
<file path=[Content_Types].xml><?xml version="1.0" encoding="utf-8"?>
<Types xmlns="http://schemas.openxmlformats.org/package/2006/content-types">
  <Default Extension="jpeg" ContentType="image/jpeg"/>
  <Default Extension="xml" ContentType="application/xml"/>
  <Default Extension="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3" Type="http://schemas.openxmlformats.org/officeDocument/2006/relationships/custom-properties" Target="docProps/custom.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ne="http://schemas.microsoft.com/office/word/2006/wordml" xmlns:wpg="http://schemas.microsoft.com/office/word/2010/wordprocessingGroup" xmlns:w15="http://schemas.microsoft.com/office/word/2012/wordml" xmlns:wpi="http://schemas.microsoft.com/office/word/2010/wordprocessingInk" xmlns:w10="urn:schemas-microsoft-com:office:word" xmlns:w14="http://schemas.microsoft.com/office/word/2010/wordml"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pPr>
        <w:pStyle w:val="3"/>
        <w:rPr>
          <w:b w:val="0"/>
          <w:u w:val="none"/>
          <w:sz w:val="20"/>
          <w:rFonts w:ascii="Times New Roman"/>
        </w:rPr>
      </w:pPr>
    </w:p>
    <w:p>
      <w:pPr>
        <w:pStyle w:val="3"/>
        <w:rPr>
          <w:b w:val="0"/>
          <w:u w:val="none"/>
          <w:sz w:val="20"/>
          <w:rFonts w:ascii="Times New Roman"/>
        </w:rPr>
      </w:pPr>
    </w:p>
    <w:p>
      <w:pPr>
        <w:pStyle w:val="3"/>
        <w:spacing w:before="7"/>
        <w:rPr>
          <w:b w:val="0"/>
          <w:u w:val="none"/>
          <w:sz w:val="13"/>
          <w:rFonts w:ascii="Times New Roman"/>
        </w:rPr>
      </w:pPr>
    </w:p>
    <w:p>
      <w:pPr>
        <w:pStyle w:val="3"/>
        <w:ind w:left="4017"/>
        <w:rPr>
          <w:b w:val="0"/>
          <w:u w:val="none"/>
          <w:sz w:val="20"/>
          <w:rFonts w:ascii="Times New Roman"/>
        </w:rPr>
      </w:pPr>
      <w:r>
        <w:rPr>
          <w:b w:val="0"/>
          <w:u w:val="none"/>
          <w:sz w:val="20"/>
          <w:rFonts w:ascii="Times New Roman"/>
        </w:rPr>
        <w:drawing>
          <wp:inline distT="0" distB="0" distL="0" distR="0">
            <wp:extent cx="780415" cy="79629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4" cstate="print"/>
                    <a:stretch>
                      <a:fillRect/>
                    </a:stretch>
                  </pic:blipFill>
                  <pic:spPr>
                    <a:xfrm>
                      <a:off x="0" y="0"/>
                      <a:ext cx="781006" cy="796290"/>
                    </a:xfrm>
                    <a:prstGeom prst="rect">
                      <a:avLst/>
                    </a:prstGeom>
                  </pic:spPr>
                </pic:pic>
              </a:graphicData>
            </a:graphic>
          </wp:inline>
        </w:drawing>
      </w:r>
    </w:p>
    <w:p>
      <w:pPr>
        <w:pStyle w:val="3"/>
        <w:spacing w:before="1"/>
        <w:rPr>
          <w:b w:val="0"/>
          <w:u w:val="none"/>
          <w:sz w:val="21"/>
          <w:rFonts w:ascii="Times New Roman"/>
        </w:rPr>
      </w:pPr>
    </w:p>
    <w:p>
      <w:pPr>
        <w:pStyle w:val="2"/>
        <w:jc w:val="center"/>
      </w:pPr>
      <w:r>
        <w:t>2024</w:t>
      </w:r>
      <w:r>
        <w:t>年</w:t>
      </w:r>
      <w:r>
        <w:rPr>
          <w:lang w:val="en-US" w:eastAsia="zh-CN"/>
          <w:rFonts w:hint="eastAsia"/>
        </w:rPr>
        <w:t>度</w:t>
      </w:r>
      <w:r>
        <w:t>学院“思政微课”比赛</w:t>
      </w:r>
    </w:p>
    <w:p>
      <w:pPr>
        <w:pStyle w:val="3"/>
        <w:rPr>
          <w:u w:val="none"/>
          <w:sz w:val="56"/>
          <w:rFonts w:ascii="楷体"/>
        </w:rPr>
      </w:pPr>
    </w:p>
    <w:p>
      <w:pPr>
        <w:bidi w:val="0"/>
        <w:jc w:val="center"/>
        <w:rPr>
          <w:sz w:val="44"/>
          <w:lang w:val="en-US" w:eastAsia="zh-CN"/>
          <w:szCs w:val="44"/>
          <w:rFonts w:hint="default"/>
        </w:rPr>
      </w:pPr>
      <w:r>
        <w:rPr>
          <w:sz w:val="44"/>
          <w:lang w:val="en-US" w:eastAsia="zh-CN"/>
          <w:szCs w:val="44"/>
          <w:rFonts w:hint="eastAsia"/>
        </w:rPr>
        <w:t>课程思政教学改革实施报告</w:t>
      </w:r>
    </w:p>
    <w:p>
      <w:pPr>
        <w:jc w:val="both"/>
        <w:spacing w:before="437" w:line="312" w:lineRule="auto"/>
        <w:ind w:right="4353"/>
        <w:rPr>
          <w:b w:val="1"/>
          <w:sz w:val="56"/>
          <w:lang w:val="en-US" w:eastAsia="zh-CN"/>
          <w:rFonts w:ascii="楷体" w:eastAsia="楷体" w:hint="eastAsia"/>
        </w:rPr>
      </w:pPr>
    </w:p>
    <w:p>
      <w:pPr>
        <w:jc w:val="both"/>
        <w:spacing w:before="437" w:line="312" w:lineRule="auto"/>
        <w:ind w:right="4353"/>
        <w:rPr>
          <w:b w:val="1"/>
          <w:sz w:val="56"/>
          <w:lang w:val="en-US" w:eastAsia="zh-CN"/>
          <w:rFonts w:ascii="楷体" w:eastAsia="楷体" w:hint="eastAsia"/>
        </w:rPr>
      </w:pPr>
    </w:p>
    <w:p>
      <w:pPr>
        <w:pStyle w:val="3"/>
        <w:spacing w:before="7"/>
        <w:rPr>
          <w:u w:val="none"/>
          <w:sz w:val="74"/>
          <w:rFonts w:ascii="楷体"/>
        </w:rPr>
      </w:pPr>
    </w:p>
    <w:p>
      <w:pPr>
        <w:pStyle w:val="3"/>
        <w:jc w:val="both"/>
        <w:tabs>
          <w:tab w:val="left" w:pos="3895"/>
          <w:tab w:val="left" w:pos="3962"/>
        </w:tabs>
        <w:spacing w:before="1" w:line="364" w:lineRule="auto"/>
        <w:ind w:firstLine="69" w:left="1329" w:right="1677"/>
        <w:rPr>
          <w:u w:val="thick"/>
          <w:spacing w:val="161"/>
          <w:lang w:val="en-US" w:eastAsia="zh-CN"/>
          <w:rFonts w:eastAsia="宋体" w:hint="eastAsia"/>
        </w:rPr>
      </w:pPr>
      <w:r>
        <w:rPr>
          <w:u w:val="none"/>
          <w:lang w:val="en-US" w:eastAsia="zh-CN"/>
          <w:rFonts w:hint="eastAsia"/>
        </w:rPr>
        <w:t>所处</w:t>
      </w:r>
      <w:r>
        <w:rPr>
          <w:u w:val="none"/>
        </w:rPr>
        <w:t>系室</w:t>
      </w:r>
      <w:r>
        <w:rPr>
          <w:u w:val="thick"/>
        </w:rPr>
        <w:t xml:space="preserve"> </w:t>
      </w:r>
      <w:r>
        <w:tab/>
        <w:rPr>
          <w:u w:val="thick"/>
        </w:rPr>
      </w:r>
      <w:r>
        <w:tab/>
        <w:rPr>
          <w:u w:val="thick"/>
        </w:rPr>
      </w:r>
      <w:r>
        <w:rPr>
          <w:u w:val="thick"/>
          <w:lang w:val="en-US" w:eastAsia="zh-CN"/>
          <w:rFonts w:hint="eastAsia"/>
        </w:rPr>
        <w:t xml:space="preserve">   化工系</w:t>
      </w:r>
      <w:r>
        <w:rPr>
          <w:u w:val="thick"/>
        </w:rPr>
        <w:t xml:space="preserve">     </w:t>
      </w:r>
      <w:r>
        <w:rPr>
          <w:u w:val="thick"/>
          <w:lang w:val="en-US" w:eastAsia="zh-CN"/>
          <w:rFonts w:hint="eastAsia"/>
        </w:rPr>
        <w:t xml:space="preserve"> </w:t>
      </w:r>
      <w:r>
        <w:rPr>
          <w:u w:val="thick"/>
          <w:spacing w:val="161"/>
        </w:rPr>
        <w:t xml:space="preserve"> </w:t>
      </w:r>
      <w:r>
        <w:rPr>
          <w:u w:val="thick"/>
          <w:spacing w:val="161"/>
          <w:lang w:val="en-US" w:eastAsia="zh-CN"/>
          <w:rFonts w:hint="eastAsia"/>
        </w:rPr>
        <w:t xml:space="preserve"> </w:t>
      </w:r>
    </w:p>
    <w:p>
      <w:pPr>
        <w:pStyle w:val="3"/>
        <w:jc w:val="both"/>
        <w:tabs>
          <w:tab w:val="left" w:pos="3895"/>
          <w:tab w:val="left" w:pos="3962"/>
        </w:tabs>
        <w:spacing w:before="1" w:line="364" w:lineRule="auto"/>
        <w:ind w:firstLine="69" w:left="1329" w:right="1677"/>
        <w:rPr>
          <w:u w:val="thick"/>
          <w:lang w:val="en-US" w:eastAsia="zh-CN"/>
          <w:rFonts w:hint="default"/>
        </w:rPr>
      </w:pPr>
      <w:r>
        <w:rPr>
          <w:u w:val="none"/>
        </w:rPr>
        <w:t>课程名称</w:t>
      </w:r>
      <w:r>
        <w:rPr>
          <w:u w:val="thick"/>
        </w:rPr>
        <w:t xml:space="preserve">    </w:t>
      </w:r>
      <w:r>
        <w:rPr>
          <w:u w:val="thick"/>
          <w:spacing w:val="158"/>
        </w:rPr>
        <w:t xml:space="preserve"> </w:t>
      </w:r>
      <w:r>
        <w:rPr>
          <w:u w:val="thick"/>
          <w:lang w:eastAsia="zh-CN"/>
          <w:rFonts w:hint="eastAsia"/>
        </w:rPr>
        <w:t>《</w:t>
      </w:r>
      <w:r>
        <w:rPr>
          <w:u w:val="thick"/>
          <w:lang w:val="en-US" w:eastAsia="zh-CN"/>
          <w:rFonts w:hint="eastAsia"/>
        </w:rPr>
        <w:t>食品安全与控制</w:t>
      </w:r>
      <w:r>
        <w:rPr>
          <w:u w:val="thick"/>
          <w:lang w:eastAsia="zh-CN"/>
          <w:rFonts w:hint="eastAsia"/>
        </w:rPr>
        <w:t>》</w:t>
      </w:r>
      <w:r>
        <w:rPr>
          <w:u w:val="thick"/>
          <w:lang w:val="en-US" w:eastAsia="zh-CN"/>
          <w:rFonts w:hint="eastAsia"/>
        </w:rPr>
        <w:t xml:space="preserve">   </w:t>
      </w:r>
    </w:p>
    <w:p>
      <w:pPr>
        <w:pStyle w:val="3"/>
        <w:jc w:val="both"/>
        <w:tabs>
          <w:tab w:val="left" w:pos="3895"/>
          <w:tab w:val="left" w:pos="3962"/>
        </w:tabs>
        <w:spacing w:before="1" w:line="364" w:lineRule="auto"/>
        <w:ind w:firstLine="69" w:left="1329" w:right="1677"/>
        <w:rPr>
          <w:u w:val="thick"/>
        </w:rPr>
      </w:pPr>
      <w:r>
        <w:rPr>
          <w:u w:val="none"/>
        </w:rPr>
        <w:t>微课名称</w:t>
      </w:r>
      <w:r>
        <w:rPr>
          <w:u w:val="thick"/>
        </w:rPr>
        <w:t xml:space="preserve"> </w:t>
      </w:r>
      <w:r>
        <w:tab/>
        <w:rPr>
          <w:u w:val="thick"/>
        </w:rPr>
      </w:r>
      <w:r>
        <w:rPr>
          <w:u w:val="thick"/>
          <w:lang w:val="en-US" w:eastAsia="zh-CN"/>
          <w:rFonts w:hint="eastAsia"/>
        </w:rPr>
        <w:t>食品安全性的内涵</w:t>
      </w:r>
      <w:r>
        <w:rPr>
          <w:u w:val="thick"/>
        </w:rPr>
        <w:t xml:space="preserve">   </w:t>
      </w:r>
    </w:p>
    <w:p>
      <w:pPr>
        <w:pStyle w:val="3"/>
        <w:jc w:val="both"/>
        <w:tabs>
          <w:tab w:val="left" w:pos="3895"/>
          <w:tab w:val="left" w:pos="3962"/>
        </w:tabs>
        <w:spacing w:before="1" w:line="364" w:lineRule="auto"/>
        <w:ind w:firstLine="69" w:left="1329" w:right="1677"/>
        <w:rPr>
          <w:rFonts w:hint="default"/>
        </w:rPr>
        <w:sectPr>
          <w:type w:val="continuous"/>
          <w:docGrid w:type="default" w:charSpace="0"/>
          <w:pgSz w:w="11910" w:h="16840"/>
          <w:pgMar w:top="1803" w:right="1440" w:bottom="1803" w:left="1440" w:header="720" w:footer="720" w:gutter="0"/>
        </w:sectPr>
      </w:pPr>
      <w:r>
        <w:rPr>
          <w:u w:val="none"/>
        </w:rPr>
        <w:t>授课教师</w:t>
      </w:r>
      <w:r>
        <w:tab/>
        <w:rPr>
          <w:u w:val="thick"/>
        </w:rPr>
      </w:r>
      <w:r>
        <w:rPr>
          <w:u w:val="thick"/>
          <w:lang w:val="en-US" w:eastAsia="zh-CN"/>
          <w:rFonts w:hint="eastAsia"/>
        </w:rPr>
        <w:t xml:space="preserve">   赵鹏娟          </w:t>
      </w:r>
    </w:p>
    <w:p>
      <w:pPr>
        <w:widowControl w:val="0"/>
        <w:keepNext w:val="0"/>
        <w:keepLines w:val="0"/>
        <w:pageBreakBefore w:val="0"/>
        <w:wordWrap w:val="1"/>
        <w:overflowPunct w:val="1"/>
        <w:topLinePunct w:val="0"/>
        <w:kinsoku w:val="1"/>
        <w:autoSpaceDE w:val="0"/>
        <w:autoSpaceDN w:val="0"/>
        <w:bidi w:val="0"/>
        <w:adjustRightInd w:val="1"/>
        <w:snapToGrid w:val="1"/>
        <w:jc w:val="center"/>
        <w:widowControl w:val="0"/>
        <w:spacing w:after="0" w:afterLines="100" w:before="0" w:beforeLines="100"/>
        <w:rPr>
          <w:b w:val="0"/>
          <w:sz w:val="30"/>
          <w:lang w:val="en-US" w:eastAsia="zh-CN"/>
          <w:bCs w:val="0"/>
          <w:szCs w:val="30"/>
          <w:rFonts w:ascii="黑体" w:hAnsi="黑体" w:eastAsia="黑体" w:cs="黑体" w:hint="eastAsia"/>
        </w:rPr>
      </w:pPr>
      <w:r>
        <w:rPr>
          <w:b w:val="0"/>
          <w:sz w:val="32"/>
          <w:lang w:eastAsia="zh-CN"/>
          <w:bCs w:val="0"/>
          <w:szCs w:val="32"/>
          <w:rFonts w:ascii="黑体" w:hAnsi="黑体" w:eastAsia="黑体" w:cs="黑体" w:hint="eastAsia"/>
        </w:rPr>
        <w:t>《</w:t>
      </w:r>
      <w:r>
        <w:rPr>
          <w:b w:val="0"/>
          <w:sz w:val="32"/>
          <w:bCs w:val="0"/>
          <w:szCs w:val="32"/>
          <w:rFonts w:ascii="黑体" w:hAnsi="黑体" w:eastAsia="黑体" w:cs="黑体" w:hint="eastAsia"/>
        </w:rPr>
        <w:t>食品安全</w:t>
      </w:r>
      <w:r>
        <w:rPr>
          <w:b w:val="0"/>
          <w:sz w:val="32"/>
          <w:lang w:val="en-US" w:eastAsia="zh-CN"/>
          <w:bCs w:val="0"/>
          <w:szCs w:val="32"/>
          <w:rFonts w:ascii="黑体" w:hAnsi="黑体" w:eastAsia="黑体" w:cs="黑体" w:hint="eastAsia"/>
        </w:rPr>
        <w:t>与</w:t>
      </w:r>
      <w:r>
        <w:rPr>
          <w:b w:val="0"/>
          <w:sz w:val="32"/>
          <w:bCs w:val="0"/>
          <w:szCs w:val="32"/>
          <w:rFonts w:ascii="黑体" w:hAnsi="黑体" w:eastAsia="黑体" w:cs="黑体" w:hint="eastAsia"/>
        </w:rPr>
        <w:t>控制</w:t>
      </w:r>
      <w:r>
        <w:rPr>
          <w:b w:val="0"/>
          <w:sz w:val="32"/>
          <w:lang w:eastAsia="zh-CN"/>
          <w:bCs w:val="0"/>
          <w:szCs w:val="32"/>
          <w:rFonts w:ascii="黑体" w:hAnsi="黑体" w:eastAsia="黑体" w:cs="黑体" w:hint="eastAsia"/>
        </w:rPr>
        <w:t>》</w:t>
      </w:r>
      <w:r>
        <w:rPr>
          <w:sz w:val="32"/>
          <w:lang w:val="en-US" w:eastAsia="zh-CN"/>
          <w:szCs w:val="32"/>
          <w:rFonts w:hint="eastAsia"/>
        </w:rPr>
        <w:t>课程思政教学改革实施报告</w:t>
      </w:r>
    </w:p>
    <w:p>
      <w:pPr>
        <w:pStyle w:val="2"/>
        <w:widowControl w:val="0"/>
        <w:keepNext w:val="0"/>
        <w:keepLines w:val="0"/>
        <w:pageBreakBefore w:val="0"/>
        <w:wordWrap w:val="1"/>
        <w:overflowPunct w:val="1"/>
        <w:topLinePunct w:val="0"/>
        <w:kinsoku w:val="1"/>
        <w:autoSpaceDE w:val="0"/>
        <w:autoSpaceDN w:val="0"/>
        <w:bidi w:val="0"/>
        <w:adjustRightInd w:val="1"/>
        <w:snapToGrid w:val="1"/>
        <w:jc w:val="left"/>
        <w:widowControl w:val="0"/>
        <w:spacing w:after="0" w:afterLines="100" w:before="0" w:beforeLines="100"/>
        <w:ind w:firstLine="0" w:firstLineChars="0" w:left="0" w:leftChars="0"/>
        <w:rPr>
          <w:b w:val="0"/>
          <w:sz w:val="30"/>
          <w:bCs w:val="0"/>
          <w:szCs w:val="30"/>
          <w:rFonts w:ascii="黑体" w:hAnsi="黑体" w:eastAsia="黑体" w:cs="黑体" w:hint="eastAsia"/>
        </w:rPr>
      </w:pPr>
      <w:r>
        <w:rPr>
          <w:b w:val="0"/>
          <w:sz w:val="30"/>
          <w:lang w:val="en-US" w:eastAsia="zh-CN"/>
          <w:bCs w:val="0"/>
          <w:szCs w:val="30"/>
          <w:rFonts w:ascii="黑体" w:hAnsi="黑体" w:eastAsia="黑体" w:cs="黑体" w:hint="eastAsia"/>
        </w:rPr>
        <w:t>1.</w:t>
      </w:r>
      <w:r>
        <w:rPr>
          <w:b w:val="0"/>
          <w:sz w:val="30"/>
          <w:lang w:eastAsia="zh-CN"/>
          <w:bCs w:val="0"/>
          <w:szCs w:val="30"/>
          <w:rFonts w:ascii="黑体" w:hAnsi="黑体" w:eastAsia="黑体" w:cs="黑体" w:hint="eastAsia"/>
        </w:rPr>
        <w:t>《</w:t>
      </w:r>
      <w:r>
        <w:rPr>
          <w:b w:val="0"/>
          <w:sz w:val="30"/>
          <w:bCs w:val="0"/>
          <w:szCs w:val="30"/>
          <w:rFonts w:ascii="黑体" w:hAnsi="黑体" w:eastAsia="黑体" w:cs="黑体" w:hint="eastAsia"/>
        </w:rPr>
        <w:t>食品安全</w:t>
      </w:r>
      <w:r>
        <w:rPr>
          <w:b w:val="0"/>
          <w:sz w:val="30"/>
          <w:lang w:val="en-US" w:eastAsia="zh-CN"/>
          <w:bCs w:val="0"/>
          <w:szCs w:val="30"/>
          <w:rFonts w:ascii="黑体" w:hAnsi="黑体" w:eastAsia="黑体" w:cs="黑体" w:hint="eastAsia"/>
        </w:rPr>
        <w:t>与</w:t>
      </w:r>
      <w:r>
        <w:rPr>
          <w:b w:val="0"/>
          <w:sz w:val="30"/>
          <w:bCs w:val="0"/>
          <w:szCs w:val="30"/>
          <w:rFonts w:ascii="黑体" w:hAnsi="黑体" w:eastAsia="黑体" w:cs="黑体" w:hint="eastAsia"/>
        </w:rPr>
        <w:t>控制</w:t>
      </w:r>
      <w:r>
        <w:rPr>
          <w:b w:val="0"/>
          <w:sz w:val="30"/>
          <w:lang w:eastAsia="zh-CN"/>
          <w:bCs w:val="0"/>
          <w:szCs w:val="30"/>
          <w:rFonts w:ascii="黑体" w:hAnsi="黑体" w:eastAsia="黑体" w:cs="黑体" w:hint="eastAsia"/>
        </w:rPr>
        <w:t>》</w:t>
      </w:r>
      <w:r>
        <w:rPr>
          <w:b w:val="0"/>
          <w:sz w:val="30"/>
          <w:bCs w:val="0"/>
          <w:szCs w:val="30"/>
          <w:rFonts w:ascii="黑体" w:hAnsi="黑体" w:eastAsia="黑体" w:cs="黑体" w:hint="eastAsia"/>
        </w:rPr>
        <w:t>课程思政的</w:t>
      </w:r>
      <w:r>
        <w:rPr>
          <w:b w:val="0"/>
          <w:sz w:val="30"/>
          <w:lang w:val="en-US" w:eastAsia="zh-CN"/>
          <w:bCs w:val="0"/>
          <w:szCs w:val="30"/>
          <w:rFonts w:ascii="黑体" w:hAnsi="黑体" w:eastAsia="黑体" w:cs="黑体" w:hint="eastAsia"/>
        </w:rPr>
        <w:t>必要</w:t>
      </w:r>
      <w:r>
        <w:rPr>
          <w:b w:val="0"/>
          <w:sz w:val="30"/>
          <w:bCs w:val="0"/>
          <w:szCs w:val="30"/>
          <w:rFonts w:ascii="黑体" w:hAnsi="黑体" w:eastAsia="黑体" w:cs="黑体" w:hint="eastAsia"/>
        </w:rPr>
        <w:t>性</w:t>
      </w:r>
    </w:p>
    <w:p>
      <w:pPr>
        <w:widowControl w:val="0"/>
        <w:keepNext w:val="0"/>
        <w:keepLines w:val="0"/>
        <w:pageBreakBefore w:val="0"/>
        <w:wordWrap w:val="1"/>
        <w:overflowPunct w:val="0"/>
        <w:topLinePunct w:val="0"/>
        <w:kinsoku w:val="1"/>
        <w:autoSpaceDE w:val="0"/>
        <w:autoSpaceDN w:val="0"/>
        <w:bidi w:val="0"/>
        <w:adjustRightInd w:val="1"/>
        <w:snapToGrid w:val="1"/>
        <w:jc w:val="both"/>
        <w:widowControl w:val="0"/>
        <w:spacing w:line="360" w:lineRule="auto"/>
        <w:ind w:firstLine="480" w:firstLineChars="200"/>
        <w:rPr>
          <w:sz w:val="24"/>
          <w:szCs w:val="24"/>
          <w:rFonts w:hint="eastAsia" w:asciiTheme="minorEastAsia" w:hAnsiTheme="minorEastAsia" w:eastAsiaTheme="minorEastAsia" w:cstheme="minorEastAsia"/>
        </w:rPr>
      </w:pPr>
      <w:r>
        <w:rPr>
          <w:sz w:val="24"/>
          <w:lang w:eastAsia="zh-CN"/>
          <w:szCs w:val="24"/>
          <w:rFonts w:hint="eastAsia" w:asciiTheme="minorEastAsia" w:hAnsiTheme="minorEastAsia" w:eastAsiaTheme="minorEastAsia" w:cstheme="minorEastAsia"/>
        </w:rPr>
        <w:t>“</w:t>
      </w:r>
      <w:r>
        <w:rPr>
          <w:sz w:val="24"/>
          <w:lang w:val="en-US" w:eastAsia="zh-CN"/>
          <w:szCs w:val="24"/>
          <w:rFonts w:hint="eastAsia" w:asciiTheme="minorEastAsia" w:hAnsiTheme="minorEastAsia" w:eastAsiaTheme="minorEastAsia" w:cstheme="minorEastAsia"/>
        </w:rPr>
        <w:t>民以食为天，食以安为先。</w:t>
      </w:r>
      <w:r>
        <w:rPr>
          <w:sz w:val="24"/>
          <w:lang w:eastAsia="zh-CN"/>
          <w:szCs w:val="24"/>
          <w:rFonts w:hint="eastAsia" w:asciiTheme="minorEastAsia" w:hAnsiTheme="minorEastAsia" w:eastAsiaTheme="minorEastAsia" w:cstheme="minorEastAsia"/>
        </w:rPr>
        <w:t>”</w:t>
      </w:r>
      <w:r>
        <w:rPr>
          <w:sz w:val="24"/>
          <w:lang w:val="en-US" w:eastAsia="zh-CN"/>
          <w:szCs w:val="24"/>
          <w:rFonts w:hint="eastAsia" w:asciiTheme="minorEastAsia" w:hAnsiTheme="minorEastAsia" w:eastAsiaTheme="minorEastAsia" w:cstheme="minorEastAsia"/>
        </w:rPr>
        <w:t>食品安全与质量控制贯穿于“从农田到餐桌”的整个食物链。</w:t>
      </w:r>
      <w:r>
        <w:rPr>
          <w:sz w:val="24"/>
          <w:lang w:eastAsia="zh-CN"/>
          <w:szCs w:val="24"/>
          <w:rFonts w:hint="eastAsia" w:asciiTheme="minorEastAsia" w:hAnsiTheme="minorEastAsia" w:eastAsiaTheme="minorEastAsia" w:cstheme="minorEastAsia"/>
        </w:rPr>
        <w:t>《</w:t>
      </w:r>
      <w:r>
        <w:rPr>
          <w:sz w:val="24"/>
          <w:szCs w:val="24"/>
          <w:rFonts w:hint="eastAsia" w:asciiTheme="minorEastAsia" w:hAnsiTheme="minorEastAsia" w:eastAsiaTheme="minorEastAsia" w:cstheme="minorEastAsia"/>
        </w:rPr>
        <w:t>食品安全</w:t>
      </w:r>
      <w:r>
        <w:rPr>
          <w:sz w:val="24"/>
          <w:lang w:val="en-US" w:eastAsia="zh-CN"/>
          <w:szCs w:val="24"/>
          <w:rFonts w:hint="eastAsia" w:asciiTheme="minorEastAsia" w:hAnsiTheme="minorEastAsia" w:eastAsiaTheme="minorEastAsia" w:cstheme="minorEastAsia"/>
        </w:rPr>
        <w:t>与</w:t>
      </w:r>
      <w:r>
        <w:rPr>
          <w:sz w:val="24"/>
          <w:szCs w:val="24"/>
          <w:rFonts w:hint="eastAsia" w:asciiTheme="minorEastAsia" w:hAnsiTheme="minorEastAsia" w:eastAsiaTheme="minorEastAsia" w:cstheme="minorEastAsia"/>
        </w:rPr>
        <w:t>控制</w:t>
      </w:r>
      <w:r>
        <w:rPr>
          <w:sz w:val="24"/>
          <w:lang w:eastAsia="zh-CN"/>
          <w:szCs w:val="24"/>
          <w:rFonts w:hint="eastAsia" w:asciiTheme="minorEastAsia" w:hAnsiTheme="minorEastAsia" w:eastAsiaTheme="minorEastAsia" w:cstheme="minorEastAsia"/>
        </w:rPr>
        <w:t>》</w:t>
      </w:r>
      <w:r>
        <w:rPr>
          <w:sz w:val="24"/>
          <w:szCs w:val="24"/>
          <w:rFonts w:hint="eastAsia" w:asciiTheme="minorEastAsia" w:hAnsiTheme="minorEastAsia" w:eastAsiaTheme="minorEastAsia" w:cstheme="minorEastAsia"/>
        </w:rPr>
        <w:t>作为食品专业的一门重要基础课程，主要</w:t>
      </w:r>
      <w:r>
        <w:rPr>
          <w:sz w:val="24"/>
          <w:lang w:val="en-US" w:eastAsia="zh-CN"/>
          <w:szCs w:val="24"/>
          <w:rFonts w:hint="eastAsia" w:asciiTheme="minorEastAsia" w:hAnsiTheme="minorEastAsia" w:eastAsiaTheme="minorEastAsia" w:cstheme="minorEastAsia"/>
        </w:rPr>
        <w:t>分为两大部分:食品安全基础和食品质量安全控制。在食品安全基础部分里，主要</w:t>
      </w:r>
      <w:r>
        <w:rPr>
          <w:sz w:val="24"/>
          <w:szCs w:val="24"/>
          <w:rFonts w:hint="eastAsia" w:asciiTheme="minorEastAsia" w:hAnsiTheme="minorEastAsia" w:eastAsiaTheme="minorEastAsia" w:cstheme="minorEastAsia"/>
        </w:rPr>
        <w:t>研究食品的安全问题、</w:t>
      </w:r>
      <w:r>
        <w:rPr>
          <w:sz w:val="24"/>
          <w:lang w:val="en-US" w:eastAsia="zh-CN"/>
          <w:szCs w:val="24"/>
          <w:rFonts w:hint="eastAsia" w:asciiTheme="minorEastAsia" w:hAnsiTheme="minorEastAsia" w:eastAsiaTheme="minorEastAsia" w:cstheme="minorEastAsia"/>
        </w:rPr>
        <w:t>对食品安全危害来源进行分析与控制、不合理的膳食结构会存在哪些不安全的因素、高新技术的是否绝对安全等；在食品质量安全控制部分，对食品安全法规与标准进行了解读，系统讲解了食品安全的源头控制-GAP体系的构建、生产过程中食品良好操作规范</w:t>
      </w:r>
      <w:r>
        <w:rPr>
          <w:sz w:val="24"/>
          <w:lang w:val="en-US" w:eastAsia="en-US"/>
          <w:szCs w:val="24"/>
          <w:rFonts w:hint="eastAsia" w:asciiTheme="minorEastAsia" w:hAnsiTheme="minorEastAsia" w:eastAsiaTheme="minorEastAsia" w:cstheme="minorEastAsia"/>
        </w:rPr>
        <w:t>（GMP）、</w:t>
      </w:r>
      <w:r>
        <w:rPr>
          <w:sz w:val="24"/>
          <w:lang w:val="en-US" w:eastAsia="zh-CN"/>
          <w:szCs w:val="24"/>
          <w:rFonts w:hint="eastAsia" w:asciiTheme="minorEastAsia" w:hAnsiTheme="minorEastAsia" w:eastAsiaTheme="minorEastAsia" w:cstheme="minorEastAsia"/>
        </w:rPr>
        <w:t xml:space="preserve">食品卫生标准操作程序 </w:t>
      </w:r>
      <w:r>
        <w:rPr>
          <w:sz w:val="24"/>
          <w:lang w:val="en-US" w:eastAsia="en-US"/>
          <w:szCs w:val="24"/>
          <w:rFonts w:hint="eastAsia" w:asciiTheme="minorEastAsia" w:hAnsiTheme="minorEastAsia" w:eastAsiaTheme="minorEastAsia" w:cstheme="minorEastAsia"/>
        </w:rPr>
        <w:t>（SSOP）</w:t>
      </w:r>
      <w:r>
        <w:rPr>
          <w:sz w:val="24"/>
          <w:lang w:val="en-US" w:eastAsia="zh-CN"/>
          <w:szCs w:val="24"/>
          <w:rFonts w:hint="eastAsia" w:asciiTheme="minorEastAsia" w:hAnsiTheme="minorEastAsia" w:eastAsiaTheme="minorEastAsia" w:cstheme="minorEastAsia"/>
        </w:rPr>
        <w:t>及食品危害分析与关键点控制（</w:t>
      </w:r>
      <w:r>
        <w:rPr>
          <w:sz w:val="24"/>
          <w:lang w:val="en-US" w:eastAsia="en-US"/>
          <w:szCs w:val="24"/>
          <w:rFonts w:hint="eastAsia" w:asciiTheme="minorEastAsia" w:hAnsiTheme="minorEastAsia" w:eastAsiaTheme="minorEastAsia" w:cstheme="minorEastAsia"/>
        </w:rPr>
        <w:t>HACCP）</w:t>
      </w:r>
      <w:r>
        <w:rPr>
          <w:sz w:val="24"/>
          <w:lang w:val="en-US" w:eastAsia="zh-CN"/>
          <w:szCs w:val="24"/>
          <w:rFonts w:hint="eastAsia" w:asciiTheme="minorEastAsia" w:hAnsiTheme="minorEastAsia" w:eastAsiaTheme="minorEastAsia" w:cstheme="minorEastAsia"/>
        </w:rPr>
        <w:t>等体系的构建、市场准入制度SC体系的建立、流通和服务环节的质量安全控制以及食品安全的追溯与食品召回等等。通过这些知识点的讲解，</w:t>
      </w:r>
      <w:r>
        <w:rPr>
          <w:sz w:val="24"/>
          <w:szCs w:val="24"/>
          <w:rFonts w:hint="eastAsia" w:asciiTheme="minorEastAsia" w:hAnsiTheme="minorEastAsia" w:eastAsiaTheme="minorEastAsia" w:cstheme="minorEastAsia"/>
        </w:rPr>
        <w:t>培养了学生的食品安全责任意识</w:t>
      </w:r>
      <w:r>
        <w:rPr>
          <w:sz w:val="24"/>
          <w:lang w:val="en-US" w:eastAsia="zh-CN"/>
          <w:szCs w:val="24"/>
          <w:rFonts w:hint="eastAsia" w:asciiTheme="minorEastAsia" w:hAnsiTheme="minorEastAsia" w:eastAsiaTheme="minorEastAsia" w:cstheme="minorEastAsia"/>
        </w:rPr>
        <w:t>和对敬畏法律的意识</w:t>
      </w:r>
      <w:r>
        <w:rPr>
          <w:sz w:val="24"/>
          <w:szCs w:val="24"/>
          <w:rFonts w:hint="eastAsia" w:asciiTheme="minorEastAsia" w:hAnsiTheme="minorEastAsia" w:eastAsiaTheme="minorEastAsia" w:cstheme="minorEastAsia"/>
        </w:rPr>
        <w:t>，</w:t>
      </w:r>
      <w:r>
        <w:rPr>
          <w:sz w:val="24"/>
          <w:lang w:val="en-US" w:eastAsia="zh-CN"/>
          <w:szCs w:val="24"/>
          <w:rFonts w:hint="eastAsia" w:asciiTheme="minorEastAsia" w:hAnsiTheme="minorEastAsia" w:eastAsiaTheme="minorEastAsia" w:cstheme="minorEastAsia"/>
        </w:rPr>
        <w:t>提高了分析食品安全问题来源的能力，</w:t>
      </w:r>
      <w:r>
        <w:rPr>
          <w:sz w:val="24"/>
          <w:szCs w:val="24"/>
          <w:rFonts w:hint="eastAsia" w:asciiTheme="minorEastAsia" w:hAnsiTheme="minorEastAsia" w:eastAsiaTheme="minorEastAsia" w:cstheme="minorEastAsia"/>
        </w:rPr>
        <w:t>使学生具备管理食品加工过程安全、溯源食品原料来源及监管产品成品安全流通的能力，使其在工作岗位上监督食品安全，主动保护广大普通消费者的健康，做一名合格的食品专业人才，守住自己的道德底线，为我国食品行业健康发展奉献自己的力量。</w:t>
      </w:r>
    </w:p>
    <w:p>
      <w:pPr>
        <w:widowControl w:val="0"/>
        <w:keepNext w:val="0"/>
        <w:keepLines w:val="0"/>
        <w:pageBreakBefore w:val="0"/>
        <w:wordWrap w:val="1"/>
        <w:overflowPunct w:val="1"/>
        <w:topLinePunct w:val="0"/>
        <w:kinsoku w:val="1"/>
        <w:autoSpaceDE w:val="0"/>
        <w:autoSpaceDN w:val="0"/>
        <w:bidi w:val="0"/>
        <w:adjustRightInd w:val="1"/>
        <w:snapToGrid w:val="1"/>
        <w:jc w:val="both"/>
        <w:widowControl w:val="0"/>
        <w:spacing w:line="360" w:lineRule="auto"/>
        <w:ind w:firstLine="480" w:firstLineChars="200"/>
        <w:rPr>
          <w:sz w:val="24"/>
          <w:lang w:val="en-US" w:eastAsia="zh-CN"/>
          <w:szCs w:val="24"/>
          <w:rFonts w:hint="default" w:asciiTheme="minorEastAsia" w:hAnsiTheme="minorEastAsia" w:eastAsiaTheme="minorEastAsia" w:cstheme="minorEastAsia"/>
        </w:rPr>
      </w:pPr>
      <w:r>
        <w:rPr>
          <w:sz w:val="24"/>
          <w:lang w:val="en-US" w:eastAsia="zh-CN"/>
          <w:szCs w:val="24"/>
          <w:rFonts w:hint="eastAsia" w:asciiTheme="minorEastAsia" w:hAnsiTheme="minorEastAsia" w:eastAsiaTheme="minorEastAsia" w:cstheme="minorEastAsia"/>
        </w:rPr>
        <w:t>与</w:t>
      </w:r>
      <w:r>
        <w:rPr>
          <w:sz w:val="24"/>
          <w:szCs w:val="24"/>
          <w:rFonts w:hint="eastAsia" w:asciiTheme="minorEastAsia" w:hAnsiTheme="minorEastAsia" w:eastAsiaTheme="minorEastAsia" w:cstheme="minorEastAsia"/>
        </w:rPr>
        <w:t>食品安全与质量控制相关的工作大都涉及</w:t>
      </w:r>
      <w:r>
        <w:rPr>
          <w:sz w:val="24"/>
          <w:lang w:val="en-US" w:eastAsia="zh-CN"/>
          <w:szCs w:val="24"/>
          <w:rFonts w:hint="eastAsia" w:asciiTheme="minorEastAsia" w:hAnsiTheme="minorEastAsia" w:eastAsiaTheme="minorEastAsia" w:cstheme="minorEastAsia"/>
        </w:rPr>
        <w:t>到</w:t>
      </w:r>
      <w:r>
        <w:rPr>
          <w:sz w:val="24"/>
          <w:szCs w:val="24"/>
          <w:rFonts w:hint="eastAsia" w:asciiTheme="minorEastAsia" w:hAnsiTheme="minorEastAsia" w:eastAsiaTheme="minorEastAsia" w:cstheme="minorEastAsia"/>
        </w:rPr>
        <w:t>食品的生产安全、质量安全、营养安全等</w:t>
      </w:r>
      <w:r>
        <w:rPr>
          <w:sz w:val="24"/>
          <w:lang w:val="en-US" w:eastAsia="zh-CN"/>
          <w:szCs w:val="24"/>
          <w:rFonts w:hint="eastAsia" w:asciiTheme="minorEastAsia" w:hAnsiTheme="minorEastAsia" w:eastAsiaTheme="minorEastAsia" w:cstheme="minorEastAsia"/>
        </w:rPr>
        <w:t>岗位</w:t>
      </w:r>
      <w:r>
        <w:rPr>
          <w:sz w:val="24"/>
          <w:szCs w:val="24"/>
          <w:rFonts w:hint="eastAsia" w:asciiTheme="minorEastAsia" w:hAnsiTheme="minorEastAsia" w:eastAsiaTheme="minorEastAsia" w:cstheme="minorEastAsia"/>
        </w:rPr>
        <w:t>，与人们的身体健康息息相关，关系到人们的生命健康</w:t>
      </w:r>
      <w:r>
        <w:rPr>
          <w:sz w:val="24"/>
          <w:lang w:eastAsia="zh-CN"/>
          <w:szCs w:val="24"/>
          <w:rFonts w:hint="eastAsia" w:asciiTheme="minorEastAsia" w:hAnsiTheme="minorEastAsia" w:eastAsiaTheme="minorEastAsia" w:cstheme="minorEastAsia"/>
        </w:rPr>
        <w:t>。</w:t>
      </w:r>
      <w:r>
        <w:rPr>
          <w:sz w:val="24"/>
          <w:szCs w:val="24"/>
          <w:rFonts w:hint="eastAsia" w:asciiTheme="minorEastAsia" w:hAnsiTheme="minorEastAsia" w:eastAsiaTheme="minorEastAsia" w:cstheme="minorEastAsia"/>
        </w:rPr>
        <w:t>学生能否胜任今后从事的食品专业相关工作，不</w:t>
      </w:r>
      <w:r>
        <w:rPr>
          <w:sz w:val="24"/>
          <w:lang w:val="en-US" w:eastAsia="zh-CN"/>
          <w:szCs w:val="24"/>
          <w:rFonts w:hint="eastAsia" w:asciiTheme="minorEastAsia" w:hAnsiTheme="minorEastAsia" w:eastAsiaTheme="minorEastAsia" w:cstheme="minorEastAsia"/>
        </w:rPr>
        <w:t>单单</w:t>
      </w:r>
      <w:r>
        <w:rPr>
          <w:sz w:val="24"/>
          <w:szCs w:val="24"/>
          <w:rFonts w:hint="eastAsia" w:asciiTheme="minorEastAsia" w:hAnsiTheme="minorEastAsia" w:eastAsiaTheme="minorEastAsia" w:cstheme="minorEastAsia"/>
        </w:rPr>
        <w:t>取决于其对课本专业理论知识掌握得有多好，而更多地取决于学生的职业道德与社会责任感，二者相辅相成、缺一不可。</w:t>
      </w:r>
      <w:r>
        <w:rPr>
          <w:sz w:val="24"/>
          <w:lang w:val="en-US" w:eastAsia="zh-CN"/>
          <w:szCs w:val="24"/>
          <w:rFonts w:hint="eastAsia" w:asciiTheme="minorEastAsia" w:hAnsiTheme="minorEastAsia" w:eastAsiaTheme="minorEastAsia" w:cstheme="minorEastAsia"/>
        </w:rPr>
        <w:t>与</w:t>
      </w:r>
      <w:r>
        <w:rPr>
          <w:sz w:val="24"/>
          <w:szCs w:val="24"/>
          <w:rFonts w:hint="eastAsia" w:asciiTheme="minorEastAsia" w:hAnsiTheme="minorEastAsia" w:eastAsiaTheme="minorEastAsia" w:cstheme="minorEastAsia"/>
        </w:rPr>
        <w:t>一般课程</w:t>
      </w:r>
      <w:r>
        <w:rPr>
          <w:sz w:val="24"/>
          <w:lang w:val="en-US" w:eastAsia="zh-CN"/>
          <w:szCs w:val="24"/>
          <w:rFonts w:hint="eastAsia" w:asciiTheme="minorEastAsia" w:hAnsiTheme="minorEastAsia" w:eastAsiaTheme="minorEastAsia" w:cstheme="minorEastAsia"/>
        </w:rPr>
        <w:t>潜移默化的思政教育相比，本课程的思政教育更为直接。课程一开始，就开门见山地告诉学生思政教育的重要性，警示学生在从事食品行业工作时，自身职业道德素养和理论知识等同重要，自身从事的行业与百姓民生及生命安全紧密相关。另外，</w:t>
      </w:r>
      <w:r>
        <w:rPr>
          <w:sz w:val="24"/>
          <w:szCs w:val="24"/>
          <w:rFonts w:hint="eastAsia" w:asciiTheme="minorEastAsia" w:hAnsiTheme="minorEastAsia" w:eastAsiaTheme="minorEastAsia" w:cstheme="minorEastAsia"/>
        </w:rPr>
        <w:t>授课中</w:t>
      </w:r>
      <w:r>
        <w:rPr>
          <w:sz w:val="24"/>
          <w:lang w:val="en-US" w:eastAsia="zh-CN"/>
          <w:szCs w:val="24"/>
          <w:rFonts w:hint="eastAsia" w:asciiTheme="minorEastAsia" w:hAnsiTheme="minorEastAsia" w:eastAsiaTheme="minorEastAsia" w:cstheme="minorEastAsia"/>
        </w:rPr>
        <w:t>涉及了</w:t>
      </w:r>
      <w:r>
        <w:rPr>
          <w:sz w:val="24"/>
          <w:szCs w:val="24"/>
          <w:rFonts w:hint="eastAsia" w:asciiTheme="minorEastAsia" w:hAnsiTheme="minorEastAsia" w:eastAsiaTheme="minorEastAsia" w:cstheme="minorEastAsia"/>
        </w:rPr>
        <w:t>许许多多生动鲜明的食品安全</w:t>
      </w:r>
      <w:r>
        <w:rPr>
          <w:sz w:val="24"/>
          <w:lang w:val="en-US" w:eastAsia="zh-CN"/>
          <w:szCs w:val="24"/>
          <w:rFonts w:hint="eastAsia" w:asciiTheme="minorEastAsia" w:hAnsiTheme="minorEastAsia" w:eastAsiaTheme="minorEastAsia" w:cstheme="minorEastAsia"/>
        </w:rPr>
        <w:t>事故的案例，这些血淋淋的教训也提醒学生要重视思政教育的必要性。这些都将警示学生毕业后恪守自己的职业道德底线，做一名合格的食品人，做好“舌尖上的安全”的守护者。</w:t>
      </w:r>
    </w:p>
    <w:p>
      <w:pPr>
        <w:pStyle w:val="2"/>
        <w:widowControl w:val="0"/>
        <w:keepNext w:val="0"/>
        <w:keepLines w:val="0"/>
        <w:pageBreakBefore w:val="0"/>
        <w:wordWrap w:val="1"/>
        <w:overflowPunct w:val="1"/>
        <w:topLinePunct w:val="0"/>
        <w:kinsoku w:val="1"/>
        <w:autoSpaceDE w:val="0"/>
        <w:autoSpaceDN w:val="0"/>
        <w:bidi w:val="0"/>
        <w:adjustRightInd w:val="1"/>
        <w:snapToGrid w:val="1"/>
        <w:jc w:val="left"/>
        <w:widowControl w:val="0"/>
        <w:spacing w:after="0" w:afterLines="100" w:before="0" w:beforeLines="100"/>
        <w:ind w:firstLine="0" w:firstLineChars="0" w:left="0" w:leftChars="0"/>
        <w:rPr>
          <w:b w:val="0"/>
          <w:sz w:val="30"/>
          <w:lang w:val="en-US" w:eastAsia="zh-CN"/>
          <w:bCs w:val="0"/>
          <w:szCs w:val="30"/>
          <w:rFonts w:ascii="黑体" w:hAnsi="黑体" w:eastAsia="黑体" w:cs="黑体" w:hint="eastAsia"/>
        </w:rPr>
      </w:pPr>
      <w:r>
        <w:rPr>
          <w:b w:val="0"/>
          <w:sz w:val="30"/>
          <w:lang w:val="en-US" w:eastAsia="zh-CN"/>
          <w:bCs w:val="0"/>
          <w:szCs w:val="30"/>
          <w:rFonts w:ascii="黑体" w:hAnsi="黑体" w:eastAsia="黑体" w:cs="黑体" w:hint="eastAsia"/>
        </w:rPr>
        <w:t>2.《食品安全</w:t>
      </w:r>
      <w:r>
        <w:rPr>
          <w:b w:val="0"/>
          <w:sz w:val="30"/>
          <w:lang w:val="en-US" w:eastAsia="zh-CN"/>
          <w:bCs w:val="0"/>
          <w:szCs w:val="30"/>
          <w:rFonts w:ascii="黑体" w:hAnsi="黑体" w:eastAsia="黑体" w:cs="黑体" w:hint="eastAsia"/>
        </w:rPr>
        <w:t>与控制》课程思政的融入点</w:t>
      </w:r>
    </w:p>
    <w:tbl>
      <w:tblPr>
        <w:tblStyle w:val="7"/>
        <w:tblOverlap w:val="never"/>
        <w:tblW w:w="9085" w:type="dxa"/>
        <w:tblInd w:type="dxa" w:w="0.000000"/>
        <w:tblLayout w:type="fixed"/>
        <w:tblpPr w:leftFromText="180" w:rightFromText="180" w:vertAnchor="text" w:horzAnchor="page" w:tblpX="1443" w:tblpY="23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2832.000000"/>
        <w:gridCol w:w="3360.000000"/>
        <w:gridCol w:w="2893.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教学单元</w:t>
            </w:r>
          </w:p>
        </w:tc>
        <w:tc>
          <w:tcPr>
            <w:tcW w:w="3360"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融入点</w:t>
            </w:r>
          </w:p>
        </w:tc>
        <w:tc>
          <w:tcPr>
            <w:tcW w:w="2893"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思政目标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食品质量安全概论</w:t>
            </w:r>
          </w:p>
        </w:tc>
        <w:tc>
          <w:tcPr>
            <w:tcW w:w="3360"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食品安全性的历史</w:t>
            </w:r>
          </w:p>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食品安全性的内涵</w:t>
            </w:r>
          </w:p>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食品安全的监管</w:t>
            </w:r>
          </w:p>
        </w:tc>
        <w:tc>
          <w:tcPr>
            <w:tcW w:w="2893" w:type="dxa"/>
            <w:vAlign w:val="center"/>
          </w:tcPr>
          <w:p>
            <w:pPr>
              <w:widowControl w:val="0"/>
              <w:autoSpaceDE w:val="0"/>
              <w:autoSpaceDN w:val="0"/>
              <w:jc w:val="both"/>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民族自豪感、食品专业责任意识、“以人民为中心”的思想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食品安全危害来源分析与控制</w:t>
            </w:r>
          </w:p>
        </w:tc>
        <w:tc>
          <w:tcPr>
            <w:tcW w:w="3360"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物理性、化学性、生物性危害</w:t>
            </w:r>
          </w:p>
        </w:tc>
        <w:tc>
          <w:tcPr>
            <w:tcW w:w="2893" w:type="dxa"/>
            <w:vMerge w:val="restart"/>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分析问题 解决问题的能力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膳食结构中的不安全因素</w:t>
            </w:r>
          </w:p>
        </w:tc>
        <w:tc>
          <w:tcPr>
            <w:tcW w:w="3360"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我国居民膳食指南</w:t>
            </w:r>
          </w:p>
        </w:tc>
        <w:tc>
          <w:tcPr>
            <w:tcW w:w="2893" w:type="dxa"/>
            <w:vMerge w:val="continue"/>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高新技术的安全性</w:t>
            </w:r>
          </w:p>
        </w:tc>
        <w:tc>
          <w:tcPr>
            <w:tcW w:w="3360"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超高压食品、</w:t>
            </w:r>
          </w:p>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辐照食品、转基因食品</w:t>
            </w:r>
          </w:p>
        </w:tc>
        <w:tc>
          <w:tcPr>
            <w:tcW w:w="2893"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理性思维、辩证思维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食品安全法规与标准的解读与应用</w:t>
            </w:r>
          </w:p>
        </w:tc>
        <w:tc>
          <w:tcPr>
            <w:tcW w:w="3360"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《食品安全法》</w:t>
            </w:r>
          </w:p>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 xml:space="preserve"> 食品标准体系</w:t>
            </w:r>
          </w:p>
        </w:tc>
        <w:tc>
          <w:tcPr>
            <w:tcW w:w="2893" w:type="dxa"/>
            <w:vAlign w:val="center"/>
          </w:tcPr>
          <w:p>
            <w:pPr>
              <w:widowControl w:val="0"/>
              <w:autoSpaceDE w:val="0"/>
              <w:autoSpaceDN w:val="0"/>
              <w:jc w:val="both"/>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 xml:space="preserve">敬畏法律 感受法律的刚性与温度  尊重权威 </w:t>
            </w:r>
          </w:p>
          <w:p>
            <w:pPr>
              <w:widowControl w:val="0"/>
              <w:autoSpaceDE w:val="0"/>
              <w:autoSpaceDN w:val="0"/>
              <w:jc w:val="both"/>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 xml:space="preserve">红线意识 对标意识 责任意识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食品安全源头控制 食品安全控制的基本原理和体系构建</w:t>
            </w:r>
          </w:p>
        </w:tc>
        <w:tc>
          <w:tcPr>
            <w:tcW w:w="3360"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 xml:space="preserve">GAP体系的构建 </w:t>
            </w:r>
          </w:p>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GMP、SSOP、HACCP体系的构建</w:t>
            </w:r>
          </w:p>
        </w:tc>
        <w:tc>
          <w:tcPr>
            <w:tcW w:w="2893"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 xml:space="preserve">标准意识 </w:t>
            </w:r>
          </w:p>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科学的世界观、方法论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市场准入制度SC体系的建立</w:t>
            </w:r>
          </w:p>
        </w:tc>
        <w:tc>
          <w:tcPr>
            <w:tcW w:w="3360"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食品生产许可证</w:t>
            </w:r>
          </w:p>
        </w:tc>
        <w:tc>
          <w:tcPr>
            <w:tcW w:w="2893"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标准意识 理性竞争意识 争先创优意识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 xml:space="preserve">食品流通和服务环节的质量安全控制 </w:t>
            </w:r>
          </w:p>
        </w:tc>
        <w:tc>
          <w:tcPr>
            <w:tcW w:w="3360" w:type="dxa"/>
            <w:vAlign w:val="center"/>
          </w:tcPr>
          <w:p>
            <w:pPr>
              <w:widowControl w:val="0"/>
              <w:autoSpaceDE w:val="0"/>
              <w:autoSpaceDN w:val="0"/>
              <w:jc w:val="both"/>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农产品批发市场、超市、餐饮食品、进出口食品的质量问题及控制措施</w:t>
            </w:r>
          </w:p>
        </w:tc>
        <w:tc>
          <w:tcPr>
            <w:tcW w:w="2893" w:type="dxa"/>
            <w:vMerge w:val="restart"/>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 xml:space="preserve">自律意识 诚实守信 </w:t>
            </w:r>
          </w:p>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全局意识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2832" w:type="dxa"/>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食品安全追溯与食品召回</w:t>
            </w:r>
          </w:p>
        </w:tc>
        <w:tc>
          <w:tcPr>
            <w:tcW w:w="3360" w:type="dxa"/>
            <w:vAlign w:val="center"/>
          </w:tcPr>
          <w:p>
            <w:pPr>
              <w:widowControl w:val="0"/>
              <w:autoSpaceDE w:val="0"/>
              <w:autoSpaceDN w:val="0"/>
              <w:jc w:val="both"/>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食品安全追溯体系的建立</w:t>
            </w:r>
          </w:p>
          <w:p>
            <w:pPr>
              <w:widowControl w:val="0"/>
              <w:autoSpaceDE w:val="0"/>
              <w:autoSpaceDN w:val="0"/>
              <w:jc w:val="both"/>
              <w:widowControl w:val="0"/>
              <w:numPr>
                <w:ilvl w:val="0"/>
                <w:numId w:val="0"/>
              </w:numPr>
              <w:spacing w:after="0" w:before="0" w:line="240" w:lineRule="auto"/>
              <w:ind w:right="0" w:rightChars="0"/>
              <w:rPr>
                <w:vertAlign w:val="baseline"/>
                <w:sz w:val="24"/>
                <w:lang w:val="en-US" w:eastAsia="zh-CN"/>
                <w:szCs w:val="24"/>
                <w:rFonts w:hint="default" w:asciiTheme="majorEastAsia" w:hAnsiTheme="majorEastAsia" w:eastAsiaTheme="majorEastAsia" w:cstheme="majorEastAsia"/>
              </w:rPr>
            </w:pPr>
            <w:r>
              <w:rPr>
                <w:vertAlign w:val="baseline"/>
                <w:sz w:val="24"/>
                <w:lang w:val="en-US" w:eastAsia="zh-CN"/>
                <w:szCs w:val="24"/>
                <w:rFonts w:hint="eastAsia" w:asciiTheme="majorEastAsia" w:hAnsiTheme="majorEastAsia" w:eastAsiaTheme="majorEastAsia" w:cstheme="majorEastAsia"/>
              </w:rPr>
              <w:t>不安全食品的召回</w:t>
            </w:r>
          </w:p>
        </w:tc>
        <w:tc>
          <w:tcPr>
            <w:tcW w:w="2893" w:type="dxa"/>
            <w:vMerge w:val="continue"/>
            <w:vAlign w:val="center"/>
          </w:tcPr>
          <w:p>
            <w:pPr>
              <w:widowControl w:val="0"/>
              <w:autoSpaceDE w:val="0"/>
              <w:autoSpaceDN w:val="0"/>
              <w:jc w:val="center"/>
              <w:widowControl w:val="0"/>
              <w:numPr>
                <w:ilvl w:val="0"/>
                <w:numId w:val="0"/>
              </w:numPr>
              <w:spacing w:after="0" w:before="0" w:line="240" w:lineRule="auto"/>
              <w:ind w:right="0" w:rightChars="0"/>
              <w:rPr>
                <w:vertAlign w:val="baseline"/>
                <w:sz w:val="24"/>
                <w:lang w:val="en-US" w:eastAsia="zh-CN"/>
                <w:szCs w:val="24"/>
                <w:rFonts w:hint="eastAsia" w:asciiTheme="majorEastAsia" w:hAnsiTheme="majorEastAsia" w:eastAsiaTheme="majorEastAsia" w:cstheme="majorEastAsia"/>
              </w:rPr>
            </w:pPr>
          </w:p>
        </w:tc>
      </w:tr>
    </w:tbl>
    <w:p>
      <w:pPr>
        <w:widowControl w:val="0"/>
        <w:autoSpaceDE w:val="0"/>
        <w:autoSpaceDN w:val="0"/>
        <w:jc w:val="left"/>
        <w:widowControl w:val="0"/>
        <w:numPr>
          <w:ilvl w:val="0"/>
          <w:numId w:val="0"/>
        </w:numPr>
        <w:spacing w:after="0" w:before="0" w:line="240" w:lineRule="auto"/>
        <w:ind w:right="0" w:rightChars="0"/>
        <w:rPr>
          <w:lang w:val="en-US" w:eastAsia="zh-CN"/>
          <w:rFonts w:hint="default"/>
        </w:rPr>
      </w:pPr>
    </w:p>
    <w:p>
      <w:pPr>
        <w:pStyle w:val="2"/>
        <w:widowControl w:val="0"/>
        <w:keepNext w:val="0"/>
        <w:keepLines w:val="0"/>
        <w:pageBreakBefore w:val="0"/>
        <w:wordWrap w:val="1"/>
        <w:overflowPunct w:val="1"/>
        <w:topLinePunct w:val="0"/>
        <w:kinsoku w:val="1"/>
        <w:autoSpaceDE w:val="0"/>
        <w:autoSpaceDN w:val="0"/>
        <w:bidi w:val="0"/>
        <w:adjustRightInd w:val="1"/>
        <w:snapToGrid w:val="1"/>
        <w:jc w:val="left"/>
        <w:widowControl w:val="0"/>
        <w:spacing w:after="0" w:afterLines="100" w:before="0" w:beforeLines="100"/>
        <w:ind w:firstLine="0" w:firstLineChars="0" w:left="0" w:leftChars="0"/>
        <w:rPr>
          <w:b w:val="0"/>
          <w:sz w:val="30"/>
          <w:lang w:val="en-US" w:eastAsia="zh-CN"/>
          <w:bCs w:val="0"/>
          <w:szCs w:val="30"/>
          <w:rFonts w:ascii="黑体" w:hAnsi="黑体" w:eastAsia="黑体" w:cs="黑体" w:hint="eastAsia"/>
        </w:rPr>
      </w:pPr>
      <w:r>
        <w:rPr>
          <w:b w:val="0"/>
          <w:sz w:val="30"/>
          <w:lang w:val="en-US" w:eastAsia="zh-CN"/>
          <w:bCs w:val="0"/>
          <w:szCs w:val="30"/>
          <w:rFonts w:ascii="黑体" w:hAnsi="黑体" w:eastAsia="黑体" w:cs="黑体" w:hint="eastAsia"/>
        </w:rPr>
        <w:t>3.《食品安全与控制》课程思政的反思</w:t>
      </w:r>
    </w:p>
    <w:p>
      <w:pPr>
        <w:pStyle w:val="2"/>
        <w:widowControl w:val="0"/>
        <w:keepNext w:val="0"/>
        <w:keepLines w:val="0"/>
        <w:pageBreakBefore w:val="0"/>
        <w:wordWrap w:val="1"/>
        <w:overflowPunct w:val="1"/>
        <w:topLinePunct w:val="0"/>
        <w:kinsoku w:val="1"/>
        <w:autoSpaceDE w:val="0"/>
        <w:autoSpaceDN w:val="0"/>
        <w:bidi w:val="0"/>
        <w:adjustRightInd w:val="1"/>
        <w:snapToGrid w:val="1"/>
        <w:jc w:val="both"/>
        <w:widowControl w:val="0"/>
        <w:spacing w:after="0" w:afterLines="100" w:before="0" w:beforeLines="100" w:line="360" w:lineRule="auto"/>
        <w:ind w:firstLine="480" w:firstLineChars="200" w:left="0" w:leftChars="0"/>
        <w:rPr>
          <w:b w:val="0"/>
          <w:sz w:val="24"/>
          <w:lang w:val="en-US" w:eastAsia="zh-CN" w:bidi="zh-CN"/>
          <w:bCs w:val="0"/>
          <w:szCs w:val="24"/>
          <w:rFonts w:hint="default" w:asciiTheme="minorEastAsia" w:hAnsiTheme="minorEastAsia" w:eastAsiaTheme="minorEastAsia" w:cstheme="minorEastAsia"/>
        </w:rPr>
        <w:sectPr>
          <w:docGrid w:type="default" w:charSpace="0"/>
          <w:pgSz w:w="11850" w:h="16783"/>
          <w:pgMar w:top="1803" w:right="1440" w:bottom="1803" w:left="1440" w:header="720" w:footer="720" w:gutter="0"/>
          <w:cols w:space="425" w:num="1"/>
        </w:sectPr>
      </w:pPr>
      <w:bookmarkStart w:id="0" w:name="_GoBack"/>
      <w:bookmarkEnd w:id="0"/>
      <w:r>
        <w:rPr>
          <w:b w:val="0"/>
          <w:sz w:val="24"/>
          <w:lang w:val="en-US" w:eastAsia="zh-CN" w:bidi="zh-CN"/>
          <w:bCs w:val="0"/>
          <w:szCs w:val="24"/>
          <w:rFonts w:hint="eastAsia" w:asciiTheme="minorEastAsia" w:hAnsiTheme="minorEastAsia" w:eastAsiaTheme="minorEastAsia" w:cstheme="minorEastAsia"/>
        </w:rPr>
        <w:t>《食品安全与控制》课程的思政资源丰富，可将思政元素融入到教学活动各个环节，在整个教学过程中贯穿思政内容的渲染和引导，培养了学生的专业能力、提高了学生的责任意识；激励学生树立崇高的理想信念，以全面提升食品专业毕业生的综合素质，更好地满足新时代对创新型食品</w:t>
      </w:r>
      <w:r>
        <w:rPr>
          <w:b w:val="0"/>
          <w:sz w:val="24"/>
          <w:lang w:val="en-US" w:eastAsia="zh-CN" w:bidi="zh-CN"/>
          <w:bCs w:val="0"/>
          <w:szCs w:val="24"/>
          <w:rFonts w:hint="eastAsia" w:asciiTheme="minorEastAsia" w:hAnsiTheme="minorEastAsia" w:eastAsiaTheme="minorEastAsia" w:cstheme="minorEastAsia"/>
        </w:rPr>
        <w:t>人才</w:t>
      </w:r>
      <w:r>
        <w:rPr>
          <w:b w:val="0"/>
          <w:sz w:val="24"/>
          <w:lang w:val="en-US" w:eastAsia="zh-CN" w:bidi="zh-CN"/>
          <w:bCs w:val="0"/>
          <w:szCs w:val="24"/>
          <w:rFonts w:hint="eastAsia" w:asciiTheme="minorEastAsia" w:hAnsiTheme="minorEastAsia" w:eastAsiaTheme="minorEastAsia" w:cstheme="minorEastAsia"/>
        </w:rPr>
        <w:t>的需求。但是，</w:t>
      </w:r>
      <w:r>
        <w:rPr>
          <w:b w:val="0"/>
          <w:sz w:val="24"/>
          <w:lang w:val="en-US" w:eastAsia="zh-CN" w:bidi="zh-CN"/>
          <w:bCs w:val="0"/>
          <w:szCs w:val="24"/>
          <w:rFonts w:hint="eastAsia" w:asciiTheme="minorEastAsia" w:hAnsiTheme="minorEastAsia" w:eastAsiaTheme="minorEastAsia" w:cstheme="minorEastAsia"/>
        </w:rPr>
        <w:t>在课程教学中，思政目标的确定需要及时完善更新，牢牢紧跟时代的脉搏和党的步伐，如果有专业思政课教师的加入，更能体现协同育人的目标，为国家培养出适应社会发展的高素质的食品专业人才。</w:t>
      </w:r>
    </w:p>
    <w:p/>
    <w:sectPr>
      <w:docGrid w:type="default" w:charSpace="0"/>
      <w:pgSz w:w="11910" w:h="16840"/>
      <w:pgMar w:top="1420" w:right="1320" w:bottom="280" w:left="1320" w:header="720" w:footer="720" w:gutter="0"/>
    </w:sectPr>
  </w:body>
</w:document>
</file>

<file path=word/fontTable.xml><?xml version="1.0" encoding="utf-8"?>
<w:fonts xmlns:w="http://schemas.openxmlformats.org/wordprocessingml/2006/main" xmlns:w14="http://schemas.microsoft.com/office/word/2010/wordml" xmlns:r="http://schemas.openxmlformats.org/officeDocument/2006/relationships" xmlns:mc="http://schemas.openxmlformats.org/markup-compatibility/2006"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兰米正黑体">
    <w:panose1 w:val="02000503000000000000"/>
    <w:charset w:val="86"/>
    <w:family w:val="auto"/>
    <w:pitch w:val="default"/>
    <w:sig w:usb0="8000002F" w:usb1="084164F8" w:usb2="00000012" w:usb3="00000000" w:csb0="00040001" w:csb1="00000000"/>
  </w:font>
  <w:font w:name="白桃啵啵茶">
    <w:panose1 w:val="02010600040101010101"/>
    <w:charset w:val="86"/>
    <w:family w:val="auto"/>
    <w:pitch w:val="default"/>
    <w:sig w:usb0="00000001" w:usb1="18010C10" w:usb2="00000012" w:usb3="00000000" w:csb0="00140001"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w14="http://schemas.microsoft.com/office/word/2010/wordml" xmlns:w10="urn:schemas-microsoft-com:office:word"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defaultTabStop w:val="720"/>
  <w:drawingGridHorizontalSpacing w:val="110"/>
  <w:displayHorizontalDrawingGridEvery w:val="2"/>
  <w:characterSpacingControl w:val="doNotCompress"/>
  <w:zoom w:percent="100"/>
  <w:compat>
    <w:ulTrailSpace/>
    <w:useFELayout/>
    <w:compatSetting w:val="12" w:uri="http://schemas.microsoft.com/office/word" w:name="compatibilityMode"/>
  </w:compat>
  <w:rsids>
    <w:rsidRoot w:val="00000000"/>
    <w:rsid w:val="004C275E"/>
    <w:rsid w:val="07E66624"/>
    <w:rsid w:val="200F515A"/>
    <w:rsid w:val="29250A73"/>
    <w:rsid w:val="308667EC"/>
    <w:rsid w:val="38922CF5"/>
    <w:rsid w:val="3E6D58B7"/>
    <w:rsid w:val="3F415D7F"/>
    <w:rsid w:val="44060274"/>
    <w:rsid w:val="4BBB38E7"/>
    <w:rsid w:val="59334ADD"/>
    <w:rsid w:val="60B47244"/>
    <w:rsid w:val="6B95198C"/>
    <w:rsid w:val="727710E7"/>
    <w:rsid w:val="769C29EF"/>
    <w:rsid w:val="76A512C4"/>
    <w:rsid w:val="7DCF0FE1"/>
  </w:rsids>
  <m:mathPr>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w10="urn:schemas-microsoft-com:office:word" xmlns:w14="http://schemas.microsoft.com/office/word/2010/wordml"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docDefaults>
    <w:rPrDefault>
      <w:rPr>
        <w:rFonts w:asciiTheme="minorHAnsi" w:hAnsiTheme="minorHAnsi" w:eastAsiaTheme="minorHAnsi" w:cstheme="minorBidi"/>
      </w:rPr>
    </w:rPrDefault>
  </w:docDefaults>
  <w:latentStyles w:defLockedState="0" w:defSemiHidden="1" w:defUnhideWhenUsed="1" w:defQFormat="0" w:defUIPriority="99" w:count="260">
    <w:lsdException w:name="Balloon Text" w:semiHidden="0" w:unhideWhenUsed="0"/>
    <w:lsdException w:name="Block Text" w:semiHidden="0" w:unhideWhenUsed="0"/>
    <w:lsdException w:name="Body Text" w:semiHidden="0" w:unhideWhenUsed="0"/>
    <w:lsdException w:name="Body Text 2" w:semiHidden="0" w:unhideWhenUsed="0"/>
    <w:lsdException w:name="Body Text 3" w:semiHidden="0" w:unhideWhenUsed="0"/>
    <w:lsdException w:name="Body Text First Indent" w:semiHidden="0" w:unhideWhenUsed="0"/>
    <w:lsdException w:name="Body Text First Indent 2" w:semiHidden="0" w:unhideWhenUsed="0"/>
    <w:lsdException w:name="Body Text Indent" w:semiHidden="0" w:unhideWhenUsed="0"/>
    <w:lsdException w:name="Body Text Indent 2" w:semiHidden="0" w:unhideWhenUsed="0"/>
    <w:lsdException w:name="Body Text Indent 3" w:semiHidden="0" w:unhideWhenUsed="0"/>
    <w:lsdException w:name="Closing" w:semiHidden="0" w:unhideWhenUsed="0"/>
    <w:lsdException w:name="Colorful Grid" w:semiHidden="0" w:unhideWhenUsed="0"/>
    <w:lsdException w:name="Colorful Grid Accent 1" w:semiHidden="0" w:unhideWhenUsed="0"/>
    <w:lsdException w:name="Colorful Grid Accent 2" w:semiHidden="0" w:unhideWhenUsed="0"/>
    <w:lsdException w:name="Colorful Grid Accent 3" w:semiHidden="0" w:unhideWhenUsed="0"/>
    <w:lsdException w:name="Colorful Grid Accent 4" w:semiHidden="0" w:unhideWhenUsed="0"/>
    <w:lsdException w:name="Colorful Grid Accent 5" w:semiHidden="0" w:unhideWhenUsed="0"/>
    <w:lsdException w:name="Colorful Grid Accent 6" w:semiHidden="0" w:unhideWhenUsed="0"/>
    <w:lsdException w:name="Colorful List" w:semiHidden="0" w:unhideWhenUsed="0"/>
    <w:lsdException w:name="Colorful List Accent 1" w:semiHidden="0" w:unhideWhenUsed="0"/>
    <w:lsdException w:name="Colorful List Accent 2" w:semiHidden="0" w:unhideWhenUsed="0"/>
    <w:lsdException w:name="Colorful List Accent 3" w:semiHidden="0" w:unhideWhenUsed="0"/>
    <w:lsdException w:name="Colorful List Accent 4" w:semiHidden="0" w:unhideWhenUsed="0"/>
    <w:lsdException w:name="Colorful List Accent 5" w:semiHidden="0" w:unhideWhenUsed="0"/>
    <w:lsdException w:name="Colorful List Accent 6" w:semiHidden="0" w:unhideWhenUsed="0"/>
    <w:lsdException w:name="Colorful Shading" w:semiHidden="0" w:unhideWhenUsed="0"/>
    <w:lsdException w:name="Colorful Shading Accent 1" w:semiHidden="0" w:unhideWhenUsed="0"/>
    <w:lsdException w:name="Colorful Shading Accent 2" w:semiHidden="0" w:unhideWhenUsed="0"/>
    <w:lsdException w:name="Colorful Shading Accent 3" w:semiHidden="0" w:unhideWhenUsed="0"/>
    <w:lsdException w:name="Colorful Shading Accent 4" w:semiHidden="0" w:unhideWhenUsed="0"/>
    <w:lsdException w:name="Colorful Shading Accent 5" w:semiHidden="0" w:unhideWhenUsed="0"/>
    <w:lsdException w:name="Colorful Shading Accent 6" w:semiHidden="0" w:unhideWhenUsed="0"/>
    <w:lsdException w:name="Dark List" w:semiHidden="0" w:unhideWhenUsed="0"/>
    <w:lsdException w:name="Dark List Accent 1" w:semiHidden="0" w:unhideWhenUsed="0"/>
    <w:lsdException w:name="Dark List Accent 2" w:semiHidden="0" w:unhideWhenUsed="0"/>
    <w:lsdException w:name="Dark List Accent 3" w:semiHidden="0" w:unhideWhenUsed="0"/>
    <w:lsdException w:name="Dark List Accent 4" w:semiHidden="0" w:unhideWhenUsed="0"/>
    <w:lsdException w:name="Dark List Accent 5" w:semiHidden="0" w:unhideWhenUsed="0"/>
    <w:lsdException w:name="Dark List Accent 6" w:semiHidden="0" w:unhideWhenUsed="0"/>
    <w:lsdException w:name="Date" w:semiHidden="0" w:unhideWhenUsed="0"/>
    <w:lsdException w:name="Default Paragraph Font"/>
    <w:lsdException w:name="Document Map" w:semiHidden="0" w:unhideWhenUsed="0"/>
    <w:lsdException w:name="E-mail Signature" w:semiHidden="0" w:unhideWhenUsed="0"/>
    <w:lsdException w:name="Emphasis" w:semiHidden="0" w:unhideWhenUsed="0"/>
    <w:lsdException w:name="FollowedHyperlink"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Hyperlink" w:semiHidden="0" w:unhideWhenUsed="0"/>
    <w:lsdException w:name="Light Grid" w:semiHidden="0" w:unhideWhenUsed="0"/>
    <w:lsdException w:name="Light Grid Accent 1" w:semiHidden="0" w:unhideWhenUsed="0"/>
    <w:lsdException w:name="Light Grid Accent 2" w:semiHidden="0" w:unhideWhenUsed="0"/>
    <w:lsdException w:name="Light Grid Accent 3" w:semiHidden="0" w:unhideWhenUsed="0"/>
    <w:lsdException w:name="Light Grid Accent 4" w:semiHidden="0" w:unhideWhenUsed="0"/>
    <w:lsdException w:name="Light Grid Accent 5" w:semiHidden="0" w:unhideWhenUsed="0"/>
    <w:lsdException w:name="Light Grid Accent 6" w:semiHidden="0" w:unhideWhenUsed="0"/>
    <w:lsdException w:name="Light List" w:semiHidden="0" w:unhideWhenUsed="0"/>
    <w:lsdException w:name="Light List Accent 1" w:semiHidden="0" w:unhideWhenUsed="0"/>
    <w:lsdException w:name="Light List Accent 2" w:semiHidden="0" w:unhideWhenUsed="0"/>
    <w:lsdException w:name="Light List Accent 3" w:semiHidden="0" w:unhideWhenUsed="0"/>
    <w:lsdException w:name="Light List Accent 4" w:semiHidden="0" w:unhideWhenUsed="0"/>
    <w:lsdException w:name="Light List Accent 5" w:semiHidden="0" w:unhideWhenUsed="0"/>
    <w:lsdException w:name="Light List Accent 6" w:semiHidden="0" w:unhideWhenUsed="0"/>
    <w:lsdException w:name="Light Shading" w:semiHidden="0" w:unhideWhenUsed="0"/>
    <w:lsdException w:name="Light Shading Accent 1" w:semiHidden="0" w:unhideWhenUsed="0"/>
    <w:lsdException w:name="Light Shading Accent 2" w:semiHidden="0" w:unhideWhenUsed="0"/>
    <w:lsdException w:name="Light Shading Accent 3" w:semiHidden="0" w:unhideWhenUsed="0"/>
    <w:lsdException w:name="Light Shading Accent 4" w:semiHidden="0" w:unhideWhenUsed="0"/>
    <w:lsdException w:name="Light Shading Accent 5" w:semiHidden="0" w:unhideWhenUsed="0"/>
    <w:lsdException w:name="Light Shading Accent 6" w:semiHidden="0" w:unhideWhenUsed="0"/>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List Number"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List Paragraph" w:semiHidden="0" w:unhideWhenUsed="0"/>
    <w:lsdException w:name="Medium Grid 1" w:semiHidden="0" w:unhideWhenUsed="0"/>
    <w:lsdException w:name="Medium Grid 1 Accent 1" w:semiHidden="0" w:unhideWhenUsed="0"/>
    <w:lsdException w:name="Medium Grid 1 Accent 2" w:semiHidden="0" w:unhideWhenUsed="0"/>
    <w:lsdException w:name="Medium Grid 1 Accent 3" w:semiHidden="0" w:unhideWhenUsed="0"/>
    <w:lsdException w:name="Medium Grid 1 Accent 4" w:semiHidden="0" w:unhideWhenUsed="0"/>
    <w:lsdException w:name="Medium Grid 1 Accent 5" w:semiHidden="0" w:unhideWhenUsed="0"/>
    <w:lsdException w:name="Medium Grid 1 Accent 6" w:semiHidden="0" w:unhideWhenUsed="0"/>
    <w:lsdException w:name="Medium Grid 2" w:semiHidden="0" w:unhideWhenUsed="0"/>
    <w:lsdException w:name="Medium Grid 2 Accent 1" w:semiHidden="0" w:unhideWhenUsed="0"/>
    <w:lsdException w:name="Medium Grid 2 Accent 2" w:semiHidden="0" w:unhideWhenUsed="0"/>
    <w:lsdException w:name="Medium Grid 2 Accent 3" w:semiHidden="0" w:unhideWhenUsed="0"/>
    <w:lsdException w:name="Medium Grid 2 Accent 4" w:semiHidden="0" w:unhideWhenUsed="0"/>
    <w:lsdException w:name="Medium Grid 2 Accent 5" w:semiHidden="0" w:unhideWhenUsed="0"/>
    <w:lsdException w:name="Medium Grid 2 Accent 6" w:semiHidden="0" w:unhideWhenUsed="0"/>
    <w:lsdException w:name="Medium Grid 3" w:semiHidden="0" w:unhideWhenUsed="0"/>
    <w:lsdException w:name="Medium Grid 3 Accent 1" w:semiHidden="0" w:unhideWhenUsed="0"/>
    <w:lsdException w:name="Medium Grid 3 Accent 2" w:semiHidden="0" w:unhideWhenUsed="0"/>
    <w:lsdException w:name="Medium Grid 3 Accent 3" w:semiHidden="0" w:unhideWhenUsed="0"/>
    <w:lsdException w:name="Medium Grid 3 Accent 4" w:semiHidden="0" w:unhideWhenUsed="0"/>
    <w:lsdException w:name="Medium Grid 3 Accent 5" w:semiHidden="0" w:unhideWhenUsed="0"/>
    <w:lsdException w:name="Medium Grid 3 Accent 6" w:semiHidden="0" w:unhideWhenUsed="0"/>
    <w:lsdException w:name="Medium List 1" w:semiHidden="0" w:unhideWhenUsed="0"/>
    <w:lsdException w:name="Medium List 1 Accent 1" w:semiHidden="0" w:unhideWhenUsed="0"/>
    <w:lsdException w:name="Medium List 1 Accent 2" w:semiHidden="0" w:unhideWhenUsed="0"/>
    <w:lsdException w:name="Medium List 1 Accent 3" w:semiHidden="0" w:unhideWhenUsed="0"/>
    <w:lsdException w:name="Medium List 1 Accent 4" w:semiHidden="0" w:unhideWhenUsed="0"/>
    <w:lsdException w:name="Medium List 1 Accent 5" w:semiHidden="0" w:unhideWhenUsed="0"/>
    <w:lsdException w:name="Medium List 1 Accent 6" w:semiHidden="0" w:unhideWhenUsed="0"/>
    <w:lsdException w:name="Medium List 2" w:semiHidden="0" w:unhideWhenUsed="0"/>
    <w:lsdException w:name="Medium List 2 Accent 1" w:semiHidden="0" w:unhideWhenUsed="0"/>
    <w:lsdException w:name="Medium List 2 Accent 2" w:semiHidden="0" w:unhideWhenUsed="0"/>
    <w:lsdException w:name="Medium List 2 Accent 3" w:semiHidden="0" w:unhideWhenUsed="0"/>
    <w:lsdException w:name="Medium List 2 Accent 4" w:semiHidden="0" w:unhideWhenUsed="0"/>
    <w:lsdException w:name="Medium List 2 Accent 5" w:semiHidden="0" w:unhideWhenUsed="0"/>
    <w:lsdException w:name="Medium List 2 Accent 6" w:semiHidden="0" w:unhideWhenUsed="0"/>
    <w:lsdException w:name="Medium Shading 1" w:semiHidden="0" w:unhideWhenUsed="0"/>
    <w:lsdException w:name="Medium Shading 1 Accent 1" w:semiHidden="0" w:unhideWhenUsed="0"/>
    <w:lsdException w:name="Medium Shading 1 Accent 2" w:semiHidden="0" w:unhideWhenUsed="0"/>
    <w:lsdException w:name="Medium Shading 1 Accent 3" w:semiHidden="0" w:unhideWhenUsed="0"/>
    <w:lsdException w:name="Medium Shading 1 Accent 4" w:semiHidden="0" w:unhideWhenUsed="0"/>
    <w:lsdException w:name="Medium Shading 1 Accent 5" w:semiHidden="0" w:unhideWhenUsed="0"/>
    <w:lsdException w:name="Medium Shading 1 Accent 6" w:semiHidden="0" w:unhideWhenUsed="0"/>
    <w:lsdException w:name="Medium Shading 2" w:semiHidden="0" w:unhideWhenUsed="0"/>
    <w:lsdException w:name="Medium Shading 2 Accent 1" w:semiHidden="0" w:unhideWhenUsed="0"/>
    <w:lsdException w:name="Medium Shading 2 Accent 2" w:semiHidden="0" w:unhideWhenUsed="0"/>
    <w:lsdException w:name="Medium Shading 2 Accent 3" w:semiHidden="0" w:unhideWhenUsed="0"/>
    <w:lsdException w:name="Medium Shading 2 Accent 4" w:semiHidden="0" w:unhideWhenUsed="0"/>
    <w:lsdException w:name="Medium Shading 2 Accent 5" w:semiHidden="0" w:unhideWhenUsed="0"/>
    <w:lsdException w:name="Medium Shading 2 Accent 6" w:semiHidden="0" w:unhideWhenUsed="0"/>
    <w:lsdException w:name="Message Header" w:semiHidden="0" w:unhideWhenUsed="0"/>
    <w:lsdException w:name="Normal" w:semiHidden="0" w:unhideWhenUsed="0"/>
    <w:lsdException w:name="Normal (Web)" w:semiHidden="0" w:unhideWhenUsed="0"/>
    <w:lsdException w:name="Normal Indent" w:semiHidden="0" w:unhideWhenUsed="0"/>
    <w:lsdException w:name="Normal Table" w:unhideWhenUsed="0"/>
    <w:lsdException w:name="Note Heading" w:semiHidden="0" w:unhideWhenUsed="0"/>
    <w:lsdException w:name="Plain Text" w:semiHidden="0" w:unhideWhenUsed="0"/>
    <w:lsdException w:name="Salutation" w:semiHidden="0" w:unhideWhenUsed="0"/>
    <w:lsdException w:name="Signature" w:semiHidden="0" w:unhideWhenUsed="0"/>
    <w:lsdException w:name="Strong" w:semiHidden="0" w:unhideWhenUsed="0"/>
    <w:lsdException w:name="Subtitle" w:semiHidden="0" w:unhideWhenUsed="0"/>
    <w:lsdException w:name="Table 3D effects 1" w:semiHidden="0" w:unhideWhenUsed="0"/>
    <w:lsdException w:name="Table 3D effects 2" w:semiHidden="0" w:unhideWhenUsed="0"/>
    <w:lsdException w:name="Table 3D effects 3" w:semiHidden="0" w:unhideWhenUsed="0"/>
    <w:lsdException w:name="Table Classic 1" w:semiHidden="0" w:unhideWhenUsed="0"/>
    <w:lsdException w:name="Table Classic 2" w:semiHidden="0" w:unhideWhenUsed="0"/>
    <w:lsdException w:name="Table Classic 3" w:semiHidden="0" w:unhideWhenUsed="0"/>
    <w:lsdException w:name="Table Classic 4" w:semiHidden="0" w:unhideWhenUsed="0"/>
    <w:lsdException w:name="Table Colorful 1" w:semiHidden="0" w:unhideWhenUsed="0"/>
    <w:lsdException w:name="Table Colorful 2" w:semiHidden="0" w:unhideWhenUsed="0"/>
    <w:lsdException w:name="Table Colorful 3" w:semiHidden="0" w:unhideWhenUsed="0"/>
    <w:lsdException w:name="Table Columns 1" w:semiHidden="0" w:unhideWhenUsed="0"/>
    <w:lsdException w:name="Table Columns 2" w:semiHidden="0" w:unhideWhenUsed="0"/>
    <w:lsdException w:name="Table Columns 3" w:semiHidden="0" w:unhideWhenUsed="0"/>
    <w:lsdException w:name="Table Columns 4" w:semiHidden="0" w:unhideWhenUsed="0"/>
    <w:lsdException w:name="Table Columns 5" w:semiHidden="0" w:unhideWhenUsed="0"/>
    <w:lsdException w:name="Table Contemporary" w:semiHidden="0" w:unhideWhenUsed="0"/>
    <w:lsdException w:name="Table Elegant" w:semiHidden="0" w:unhideWhenUsed="0"/>
    <w:lsdException w:name="Table Grid" w:semiHidden="0" w:unhideWhenUsed="0"/>
    <w:lsdException w:name="Table Grid 1" w:semiHidden="0" w:unhideWhenUsed="0"/>
    <w:lsdException w:name="Table Grid 2" w:semiHidden="0" w:unhideWhenUsed="0"/>
    <w:lsdException w:name="Table Grid 3" w:semiHidden="0" w:unhideWhenUsed="0"/>
    <w:lsdException w:name="Table Grid 4" w:semiHidden="0" w:unhideWhenUsed="0"/>
    <w:lsdException w:name="Table Grid 5" w:semiHidden="0" w:unhideWhenUsed="0"/>
    <w:lsdException w:name="Table Grid 6" w:semiHidden="0" w:unhideWhenUsed="0"/>
    <w:lsdException w:name="Table Grid 7" w:semiHidden="0" w:unhideWhenUsed="0"/>
    <w:lsdException w:name="Table Grid 8" w:semiHidden="0" w:unhideWhenUsed="0"/>
    <w:lsdException w:name="Table List 1" w:semiHidden="0" w:unhideWhenUsed="0"/>
    <w:lsdException w:name="Table List 2" w:semiHidden="0" w:unhideWhenUsed="0"/>
    <w:lsdException w:name="Table List 3" w:semiHidden="0" w:unhideWhenUsed="0"/>
    <w:lsdException w:name="Table List 4" w:semiHidden="0" w:unhideWhenUsed="0"/>
    <w:lsdException w:name="Table List 5" w:semiHidden="0" w:unhideWhenUsed="0"/>
    <w:lsdException w:name="Table List 6" w:semiHidden="0" w:unhideWhenUsed="0"/>
    <w:lsdException w:name="Table List 7" w:semiHidden="0" w:unhideWhenUsed="0"/>
    <w:lsdException w:name="Table List 8" w:semiHidden="0" w:unhideWhenUsed="0"/>
    <w:lsdException w:name="Table Professional" w:semiHidden="0" w:unhideWhenUsed="0"/>
    <w:lsdException w:name="Table Simple 1" w:semiHidden="0" w:unhideWhenUsed="0"/>
    <w:lsdException w:name="Table Simple 2" w:semiHidden="0" w:unhideWhenUsed="0"/>
    <w:lsdException w:name="Table Simple 3" w:semiHidden="0" w:unhideWhenUsed="0"/>
    <w:lsdException w:name="Table Subtle 1" w:semiHidden="0" w:unhideWhenUsed="0"/>
    <w:lsdException w:name="Table Subtle 2" w:semiHidden="0" w:unhideWhenUsed="0"/>
    <w:lsdException w:name="Table Theme" w:semiHidden="0" w:unhideWhenUsed="0"/>
    <w:lsdException w:name="Table Web 1" w:semiHidden="0" w:unhideWhenUsed="0"/>
    <w:lsdException w:name="Table Web 2" w:semiHidden="0" w:unhideWhenUsed="0"/>
    <w:lsdException w:name="Table Web 3" w:semiHidden="0" w:unhideWhenUsed="0"/>
    <w:lsdException w:name="Title" w:semiHidden="0" w:unhideWhenUsed="0"/>
    <w:lsdException w:name="annotation reference" w:semiHidden="0" w:unhideWhenUsed="0"/>
    <w:lsdException w:name="annotation subject" w:semiHidden="0" w:unhideWhenUsed="0"/>
    <w:lsdException w:name="annotation text" w:semiHidden="0" w:unhideWhenUsed="0"/>
    <w:lsdException w:name="caption"/>
    <w:lsdException w:name="endnote reference" w:semiHidden="0" w:unhideWhenUsed="0"/>
    <w:lsdException w:name="endnote text" w:semiHidden="0" w:unhideWhenUsed="0"/>
    <w:lsdException w:name="envelope address" w:semiHidden="0" w:unhideWhenUsed="0"/>
    <w:lsdException w:name="envelope return" w:semiHidden="0" w:unhideWhenUsed="0"/>
    <w:lsdException w:name="footer" w:semiHidden="0" w:unhideWhenUsed="0"/>
    <w:lsdException w:name="footnote reference" w:semiHidden="0" w:unhideWhenUsed="0"/>
    <w:lsdException w:name="footnote text" w:semiHidden="0" w:unhideWhenUsed="0"/>
    <w:lsdException w:name="header" w:semiHidden="0" w:unhideWhenUsed="0"/>
    <w:lsdException w:name="heading 1" w:semiHidden="0" w:unhideWhenUsed="0"/>
    <w:lsdException w:name="heading 2"/>
    <w:lsdException w:name="heading 3"/>
    <w:lsdException w:name="heading 4"/>
    <w:lsdException w:name="heading 5"/>
    <w:lsdException w:name="heading 6"/>
    <w:lsdException w:name="heading 7"/>
    <w:lsdException w:name="heading 8"/>
    <w:lsdException w:name="heading 9"/>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index heading" w:semiHidden="0" w:unhideWhenUsed="0"/>
    <w:lsdException w:name="line number" w:semiHidden="0" w:unhideWhenUsed="0"/>
    <w:lsdException w:name="macro" w:semiHidden="0" w:unhideWhenUsed="0"/>
    <w:lsdException w:name="page number" w:semiHidden="0" w:unhideWhenUsed="0"/>
    <w:lsdException w:name="table of authorities" w:semiHidden="0" w:unhideWhenUsed="0"/>
    <w:lsdException w:name="table of figures" w:semiHidden="0" w:unhideWhenUsed="0"/>
    <w:lsdException w:name="toa heading"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atentStyles>
  <w:style w:type="paragraph" w:styleId="1" w:default="1">
    <w:name w:val="Normal"/>
    <w:uiPriority w:val="1"/>
    <w:qFormat/>
    <w:pPr>
      <w:widowControl w:val="0"/>
      <w:autoSpaceDE w:val="0"/>
      <w:autoSpaceDN w:val="0"/>
      <w:jc w:val="left"/>
      <w:widowControl w:val="0"/>
      <w:spacing w:after="0" w:before="0" w:line="240" w:lineRule="auto"/>
      <w:ind w:left="0" w:right="0"/>
    </w:pPr>
    <w:rPr>
      <w:sz w:val="22"/>
      <w:lang w:val="zh-CN" w:eastAsia="zh-CN" w:bidi="zh-CN"/>
      <w:szCs w:val="22"/>
      <w:rFonts w:ascii="黑体" w:hAnsi="黑体" w:eastAsia="黑体" w:cs="黑体"/>
    </w:rPr>
  </w:style>
  <w:style w:type="paragraph" w:styleId="2">
    <w:name w:val="heading 1"/>
    <w:basedOn w:val="1"/>
    <w:uiPriority w:val="1"/>
    <w:qFormat/>
    <w:pPr>
      <w:outlineLvl w:val="1"/>
      <w:spacing w:before="20"/>
      <w:ind w:left="343"/>
    </w:pPr>
    <w:rPr>
      <w:b w:val="1"/>
      <w:sz w:val="56"/>
      <w:lang w:val="zh-CN" w:eastAsia="zh-CN" w:bidi="zh-CN"/>
      <w:bCs/>
      <w:szCs w:val="56"/>
      <w:rFonts w:ascii="楷体" w:hAnsi="楷体" w:eastAsia="楷体" w:cs="楷体"/>
    </w:rPr>
  </w:style>
  <w:style w:type="character" w:styleId="8" w:default="1">
    <w:name w:val="Default Paragraph Font"/>
    <w:uiPriority w:val="1"/>
    <w:semiHidden/>
    <w:unhideWhenUsed/>
    <w:qFormat/>
  </w:style>
  <w:style w:type="table" w:styleId="6" w:default="1">
    <w:name w:val="Normal Table"/>
    <w:uiPriority w:val="0"/>
    <w:semiHidden/>
    <w:qFormat/>
    <w:tblPr>
      <w:tblCellMar>
        <w:top w:type="dxa" w:w="0.000000"/>
        <w:bottom w:type="dxa" w:w="0.000000"/>
        <w:left w:type="dxa" w:w="108.000000"/>
        <w:right w:type="dxa" w:w="108.000000"/>
      </w:tblCellMar>
    </w:tblPr>
  </w:style>
  <w:style w:type="paragraph" w:styleId="3">
    <w:name w:val="Body Text"/>
    <w:basedOn w:val="1"/>
    <w:uiPriority w:val="1"/>
    <w:qFormat/>
    <w:rPr>
      <w:b w:val="1"/>
      <w:u w:val="single" w:color="000000"/>
      <w:sz w:val="32"/>
      <w:lang w:val="zh-CN" w:eastAsia="zh-CN" w:bidi="zh-CN"/>
      <w:bCs/>
      <w:szCs w:val="32"/>
      <w:rFonts w:ascii="宋体" w:hAnsi="宋体" w:eastAsia="宋体" w:cs="宋体"/>
    </w:rPr>
  </w:style>
  <w:style w:type="paragraph" w:styleId="4">
    <w:name w:val="footer"/>
    <w:basedOn w:val="1"/>
    <w:uiPriority w:val="0"/>
    <w:pPr>
      <w:snapToGrid w:val="0"/>
      <w:jc w:val="left"/>
      <w:tabs>
        <w:tab w:val="center" w:pos="4153"/>
        <w:tab w:val="right" w:pos="8306"/>
      </w:tabs>
    </w:pPr>
    <w:rPr>
      <w:sz w:val="18"/>
    </w:rPr>
  </w:style>
  <w:style w:type="paragraph" w:styleId="5">
    <w:name w:val="header"/>
    <w:basedOn w:val="1"/>
    <w:uiPriority w:val="0"/>
    <w:pPr>
      <w:snapToGrid w:val="0"/>
      <w:jc w:val="both"/>
      <w:outlineLvl w:val="9"/>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table" w:styleId="7">
    <w:name w:val="Table Grid"/>
    <w:basedOn w:val="6"/>
    <w:uiPriority w:val="0"/>
    <w:pPr>
      <w:widowControl w:val="0"/>
      <w:jc w:val="both"/>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 w:customStyle="1">
    <w:name w:val="Table Normal"/>
    <w:uiPriority w:val="2"/>
    <w:semiHidden/>
    <w:unhideWhenUsed/>
    <w:qFormat/>
    <w:tblPr>
      <w:tblCellMar>
        <w:top w:type="dxa" w:w="0.000000"/>
        <w:bottom w:type="dxa" w:w="0.000000"/>
        <w:left w:type="dxa" w:w="0.000000"/>
        <w:right w:type="dxa" w:w="0.000000"/>
      </w:tblCellMar>
    </w:tblPr>
  </w:style>
  <w:style w:type="paragraph" w:styleId="10">
    <w:name w:val="List Paragraph"/>
    <w:basedOn w:val="1"/>
    <w:uiPriority w:val="1"/>
    <w:qFormat/>
    <w:rPr>
      <w:lang w:val="zh-CN" w:eastAsia="zh-CN" w:bidi="zh-CN"/>
    </w:rPr>
  </w:style>
  <w:style w:type="paragraph" w:styleId="11" w:customStyle="1">
    <w:name w:val="Table Paragraph"/>
    <w:basedOn w:val="1"/>
    <w:uiPriority w:val="1"/>
    <w:qFormat/>
    <w:rPr>
      <w:lang w:val="zh-CN" w:eastAsia="zh-CN" w:bidi="zh-CN"/>
      <w:rFonts w:ascii="黑体" w:hAnsi="黑体" w:eastAsia="黑体" w:cs="黑体"/>
    </w:rPr>
  </w:style>
  <w:style w:type="paragraph" w:styleId="12" w:customStyle="1">
    <w:name w:val="Other|1"/>
    <w:basedOn w:val="1"/>
    <w:uiPriority w:val="0"/>
    <w:pPr>
      <w:widowControl w:val="0"/>
      <w:widowControl w:val="0"/>
      <w:shd w:val="clear" w:color="auto" w:fill="auto"/>
      <w:spacing w:line="305" w:lineRule="auto"/>
      <w:ind w:firstLine="400"/>
    </w:pPr>
    <w:rPr>
      <w:u w:val="none"/>
      <w:color w:val="292526"/>
      <w:sz w:val="20"/>
      <w:lang w:val="zh-TW" w:eastAsia="zh-TW" w:bidi="zh-TW"/>
      <w:szCs w:val="20"/>
      <w:shd w:val="clear" w:color="auto" w:fill="auto"/>
      <w:rFonts w:ascii="宋体" w:hAnsi="宋体" w:eastAsia="宋体" w:cs="宋体"/>
    </w:rPr>
  </w:style>
  <w:style w:type="paragraph" w:styleId="13" w:customStyle="1">
    <w:name w:val="Body text|1"/>
    <w:basedOn w:val="1"/>
    <w:uiPriority w:val="0"/>
    <w:pPr>
      <w:widowControl w:val="0"/>
      <w:widowControl w:val="0"/>
      <w:shd w:val="clear" w:color="auto" w:fill="auto"/>
      <w:spacing w:line="305" w:lineRule="auto"/>
      <w:ind w:firstLine="400"/>
    </w:pPr>
    <w:rPr>
      <w:u w:val="none"/>
      <w:color w:val="292526"/>
      <w:sz w:val="20"/>
      <w:lang w:val="zh-TW" w:eastAsia="zh-TW" w:bidi="zh-TW"/>
      <w:szCs w:val="20"/>
      <w:shd w:val="clear" w:color="auto" w:fill="auto"/>
      <w:rFonts w:ascii="宋体" w:hAnsi="宋体" w:eastAsia="宋体" w:cs="宋体"/>
    </w:rPr>
  </w:style>
</w:styles>
</file>

<file path=word/_rels/document.xml.rels><?xml version="1.0" encoding="UTF-8" standalone="yes"?><Relationships xmlns="http://schemas.openxmlformats.org/package/2006/relationships"><Relationship Id="rId4" Type="http://schemas.openxmlformats.org/officeDocument/2006/relationships/image" Target="media/image1.jpeg" /><Relationship Id="rId2" Type="http://schemas.openxmlformats.org/officeDocument/2006/relationships/fontTable" Target="fontTable.xml" /><Relationship Id="rId1" Type="http://schemas.openxmlformats.org/officeDocument/2006/relationships/settings" Target="settings.xml" /><Relationship Id="rId3" Type="http://schemas.openxmlformats.org/officeDocument/2006/relationships/theme" Target="theme/theme1.xml" /><Relationship Id="rId0"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
        <a:ea typeface=""/>
        <a:cs typeface=""/>
        <a:font script="Viet" typeface="Times New Roma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
        <a:ea typeface=""/>
        <a:cs typeface=""/>
        <a:font script="Viet" typeface="Arial"/>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blurRad="40000" a:dist="20000" a:dir="5400000" a:rotWithShape="0">
              <a:srgbClr val="000000">
                <a:alpha val="38000"/>
              </a:srgbClr>
            </a:outerShdw>
          </a:effectLst>
        </a:effectStyle>
        <a:effectStyle>
          <a:effectLst>
            <a:outerShdw a:blurRad="40000" a:dist="23000" a:dir="5400000" a:rotWithShape="0">
              <a:srgbClr val="000000">
                <a:alpha val="35000"/>
              </a:srgbClr>
            </a:outerShdw>
          </a:effectLst>
        </a:effectStyle>
        <a:effectStyle>
          <a:effectLst>
            <a:outerShdw a:blurRad="40000" a:dist="23000" a:dir="5400000" a: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Template>Normal</Template>
  <TotalTime>5</TotalTime>
  <Pages>0</Pages>
  <Words>0</Words>
  <Characters>0</Characters>
  <Application>WPS Office_11.1.0.9929_F1E327BC-269C-435d-A152-05C5408002CA</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黎子轩</dc:creator>
  <cp:keywords/>
  <dc:description/>
  <cp:lastModifiedBy>a</cp:lastModifiedBy>
  <cp:revision>0</cp:revision>
  <dcterms:created xsi:type="dcterms:W3CDTF">2023-05-25T11:01:00Z</dcterms:created>
  <dcterms:modified xsi:type="dcterms:W3CDTF">2023-05-30T07:06:09Z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2022-11-10T00:00:00Z</vt:filetime>
  </property>
  <property fmtid="{D5CDD505-2E9C-101B-9397-08002B2CF9AE}" pid="3" name="Creator">
    <vt:lpwstr>WPS 文字</vt:lpwstr>
  </property>
  <property fmtid="{D5CDD505-2E9C-101B-9397-08002B2CF9AE}" pid="4" name="LastSaved">
    <vt:filetime>2023-05-25T00:00:00Z</vt:filetime>
  </property>
  <property fmtid="{D5CDD505-2E9C-101B-9397-08002B2CF9AE}" pid="5" name="KSOProductBuildVer">
    <vt:lpwstr>2052-11.1.0.9929</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b w:val="0"/>
          <w:sz w:val="20"/>
          <w:u w:val="none"/>
        </w:rPr>
      </w:pPr>
    </w:p>
    <w:p>
      <w:pPr>
        <w:pStyle w:val="3"/>
        <w:rPr>
          <w:rFonts w:ascii="Times New Roman"/>
          <w:b w:val="0"/>
          <w:sz w:val="20"/>
          <w:u w:val="none"/>
        </w:rPr>
      </w:pPr>
    </w:p>
    <w:p>
      <w:pPr>
        <w:pStyle w:val="3"/>
        <w:spacing w:before="7"/>
        <w:rPr>
          <w:rFonts w:ascii="Times New Roman"/>
          <w:b w:val="0"/>
          <w:sz w:val="13"/>
          <w:u w:val="none"/>
        </w:rPr>
      </w:pPr>
    </w:p>
    <w:p>
      <w:pPr>
        <w:pStyle w:val="3"/>
        <w:ind w:left="4017"/>
        <w:rPr>
          <w:rFonts w:ascii="Times New Roman"/>
          <w:b w:val="0"/>
          <w:sz w:val="20"/>
          <w:u w:val="none"/>
        </w:rPr>
      </w:pPr>
      <w:r>
        <w:rPr>
          <w:rFonts w:ascii="Times New Roman"/>
          <w:b w:val="0"/>
          <w:sz w:val="20"/>
          <w:u w:val="none"/>
        </w:rPr>
        <w:drawing>
          <wp:inline distT="0" distB="0" distL="0" distR="0">
            <wp:extent cx="780415" cy="79629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4" cstate="print"/>
                    <a:stretch>
                      <a:fillRect/>
                    </a:stretch>
                  </pic:blipFill>
                  <pic:spPr>
                    <a:xfrm>
                      <a:off x="0" y="0"/>
                      <a:ext cx="781006" cy="796290"/>
                    </a:xfrm>
                    <a:prstGeom prst="rect">
                      <a:avLst/>
                    </a:prstGeom>
                  </pic:spPr>
                </pic:pic>
              </a:graphicData>
            </a:graphic>
          </wp:inline>
        </w:drawing>
      </w:r>
    </w:p>
    <w:p>
      <w:pPr>
        <w:pStyle w:val="3"/>
        <w:spacing w:before="1"/>
        <w:rPr>
          <w:rFonts w:ascii="Times New Roman"/>
          <w:b w:val="0"/>
          <w:sz w:val="21"/>
          <w:u w:val="none"/>
        </w:rPr>
      </w:pPr>
    </w:p>
    <w:p>
      <w:pPr>
        <w:pStyle w:val="2"/>
        <w:jc w:val="center"/>
      </w:pPr>
      <w:r>
        <w:t>202</w:t>
      </w:r>
      <w:r>
        <w:rPr>
          <w:rFonts w:hint="eastAsia"/>
          <w:lang w:val="en-US" w:eastAsia="zh-CN"/>
        </w:rPr>
        <w:t>3</w:t>
      </w:r>
      <w:r>
        <w:t>年</w:t>
      </w:r>
      <w:r>
        <w:rPr>
          <w:rFonts w:hint="eastAsia"/>
          <w:lang w:val="en-US" w:eastAsia="zh-CN"/>
        </w:rPr>
        <w:t>度</w:t>
      </w:r>
      <w:r>
        <w:t>学院“思政微课”比赛</w:t>
      </w:r>
    </w:p>
    <w:p>
      <w:pPr>
        <w:pStyle w:val="3"/>
        <w:rPr>
          <w:rFonts w:ascii="楷体"/>
          <w:sz w:val="56"/>
          <w:u w:val="none"/>
        </w:rPr>
      </w:pPr>
    </w:p>
    <w:p>
      <w:pPr>
        <w:bidi w:val="0"/>
        <w:jc w:val="center"/>
        <w:rPr>
          <w:rFonts w:hint="default"/>
          <w:sz w:val="44"/>
          <w:szCs w:val="44"/>
          <w:lang w:val="en-US" w:eastAsia="zh-CN"/>
        </w:rPr>
      </w:pPr>
      <w:r>
        <w:rPr>
          <w:rFonts w:hint="eastAsia"/>
          <w:sz w:val="44"/>
          <w:szCs w:val="44"/>
          <w:lang w:val="en-US" w:eastAsia="zh-CN"/>
        </w:rPr>
        <w:t>课程思政教学改革实施报告</w:t>
      </w:r>
    </w:p>
    <w:p>
      <w:pPr>
        <w:spacing w:before="437" w:line="312" w:lineRule="auto"/>
        <w:ind w:right="4353"/>
        <w:jc w:val="both"/>
        <w:rPr>
          <w:rFonts w:hint="eastAsia" w:ascii="楷体" w:eastAsia="楷体"/>
          <w:b/>
          <w:sz w:val="56"/>
          <w:lang w:val="en-US" w:eastAsia="zh-CN"/>
        </w:rPr>
      </w:pPr>
    </w:p>
    <w:p>
      <w:pPr>
        <w:spacing w:before="437" w:line="312" w:lineRule="auto"/>
        <w:ind w:right="4353"/>
        <w:jc w:val="both"/>
        <w:rPr>
          <w:rFonts w:hint="eastAsia" w:ascii="楷体" w:eastAsia="楷体"/>
          <w:b/>
          <w:sz w:val="56"/>
          <w:lang w:val="en-US" w:eastAsia="zh-CN"/>
        </w:rPr>
      </w:pPr>
    </w:p>
    <w:p>
      <w:pPr>
        <w:pStyle w:val="3"/>
        <w:spacing w:before="7"/>
        <w:rPr>
          <w:rFonts w:ascii="楷体"/>
          <w:sz w:val="74"/>
          <w:u w:val="none"/>
        </w:rPr>
      </w:pPr>
    </w:p>
    <w:p>
      <w:pPr>
        <w:pStyle w:val="3"/>
        <w:tabs>
          <w:tab w:val="left" w:pos="3895"/>
          <w:tab w:val="left" w:pos="3962"/>
        </w:tabs>
        <w:spacing w:before="1" w:line="364" w:lineRule="auto"/>
        <w:ind w:left="1329" w:right="1677" w:firstLine="69"/>
        <w:jc w:val="both"/>
        <w:rPr>
          <w:rFonts w:hint="eastAsia" w:eastAsia="宋体"/>
          <w:spacing w:val="161"/>
          <w:u w:val="thick"/>
          <w:lang w:val="en-US" w:eastAsia="zh-CN"/>
        </w:rPr>
      </w:pPr>
      <w:r>
        <w:rPr>
          <w:rFonts w:hint="eastAsia"/>
          <w:u w:val="none"/>
          <w:lang w:val="en-US" w:eastAsia="zh-CN"/>
        </w:rPr>
        <w:t>所处</w:t>
      </w:r>
      <w:r>
        <w:rPr>
          <w:u w:val="none"/>
        </w:rPr>
        <w:t>系室</w:t>
      </w:r>
      <w:r>
        <w:rPr>
          <w:u w:val="thick"/>
        </w:rPr>
        <w:t xml:space="preserve"> </w:t>
      </w:r>
      <w:r>
        <w:rPr>
          <w:u w:val="thick"/>
        </w:rPr>
        <w:tab/>
      </w:r>
      <w:r>
        <w:rPr>
          <w:u w:val="thick"/>
        </w:rPr>
        <w:tab/>
      </w:r>
      <w:r>
        <w:rPr>
          <w:rFonts w:hint="eastAsia"/>
          <w:u w:val="thick"/>
          <w:lang w:val="en-US" w:eastAsia="zh-CN"/>
        </w:rPr>
        <w:t xml:space="preserve">   化工系</w:t>
      </w:r>
      <w:r>
        <w:rPr>
          <w:u w:val="thick"/>
        </w:rPr>
        <w:t xml:space="preserve">     </w:t>
      </w:r>
      <w:r>
        <w:rPr>
          <w:rFonts w:hint="eastAsia"/>
          <w:u w:val="thick"/>
          <w:lang w:val="en-US" w:eastAsia="zh-CN"/>
        </w:rPr>
        <w:t xml:space="preserve"> </w:t>
      </w:r>
      <w:r>
        <w:rPr>
          <w:spacing w:val="161"/>
          <w:u w:val="thick"/>
        </w:rPr>
        <w:t xml:space="preserve"> </w:t>
      </w:r>
      <w:r>
        <w:rPr>
          <w:rFonts w:hint="eastAsia"/>
          <w:spacing w:val="161"/>
          <w:u w:val="thick"/>
          <w:lang w:val="en-US" w:eastAsia="zh-CN"/>
        </w:rPr>
        <w:t xml:space="preserve"> </w:t>
      </w:r>
    </w:p>
    <w:p>
      <w:pPr>
        <w:pStyle w:val="3"/>
        <w:tabs>
          <w:tab w:val="left" w:pos="3895"/>
          <w:tab w:val="left" w:pos="3962"/>
        </w:tabs>
        <w:spacing w:before="1" w:line="364" w:lineRule="auto"/>
        <w:ind w:left="1329" w:right="1677" w:firstLine="69"/>
        <w:jc w:val="both"/>
        <w:rPr>
          <w:rFonts w:hint="default"/>
          <w:u w:val="thick"/>
          <w:lang w:val="en-US" w:eastAsia="zh-CN"/>
        </w:rPr>
      </w:pPr>
      <w:r>
        <w:rPr>
          <w:u w:val="none"/>
        </w:rPr>
        <w:t>课程名称</w:t>
      </w:r>
      <w:r>
        <w:rPr>
          <w:u w:val="thick"/>
        </w:rPr>
        <w:t xml:space="preserve">    </w:t>
      </w:r>
      <w:r>
        <w:rPr>
          <w:spacing w:val="158"/>
          <w:u w:val="thick"/>
        </w:rPr>
        <w:t xml:space="preserve"> </w:t>
      </w:r>
      <w:r>
        <w:rPr>
          <w:rFonts w:hint="eastAsia"/>
          <w:u w:val="thick"/>
          <w:lang w:eastAsia="zh-CN"/>
        </w:rPr>
        <w:t>《</w:t>
      </w:r>
      <w:r>
        <w:rPr>
          <w:rFonts w:hint="eastAsia"/>
          <w:u w:val="thick"/>
          <w:lang w:val="en-US" w:eastAsia="zh-CN"/>
        </w:rPr>
        <w:t>食品安全与控制</w:t>
      </w:r>
      <w:r>
        <w:rPr>
          <w:rFonts w:hint="eastAsia"/>
          <w:u w:val="thick"/>
          <w:lang w:eastAsia="zh-CN"/>
        </w:rPr>
        <w:t>》</w:t>
      </w:r>
      <w:r>
        <w:rPr>
          <w:rFonts w:hint="eastAsia"/>
          <w:u w:val="thick"/>
          <w:lang w:val="en-US" w:eastAsia="zh-CN"/>
        </w:rPr>
        <w:t xml:space="preserve">   </w:t>
      </w:r>
    </w:p>
    <w:p>
      <w:pPr>
        <w:pStyle w:val="3"/>
        <w:tabs>
          <w:tab w:val="left" w:pos="3895"/>
          <w:tab w:val="left" w:pos="3962"/>
        </w:tabs>
        <w:spacing w:before="1" w:line="364" w:lineRule="auto"/>
        <w:ind w:left="1329" w:right="1677" w:firstLine="69"/>
        <w:jc w:val="both"/>
        <w:rPr>
          <w:u w:val="thick"/>
        </w:rPr>
      </w:pPr>
      <w:r>
        <w:rPr>
          <w:u w:val="none"/>
        </w:rPr>
        <w:t>微课名称</w:t>
      </w:r>
      <w:r>
        <w:rPr>
          <w:u w:val="thick"/>
        </w:rPr>
        <w:t xml:space="preserve"> </w:t>
      </w:r>
      <w:r>
        <w:rPr>
          <w:u w:val="thick"/>
        </w:rPr>
        <w:tab/>
      </w:r>
      <w:r>
        <w:rPr>
          <w:rFonts w:hint="eastAsia"/>
          <w:u w:val="thick"/>
          <w:lang w:val="en-US" w:eastAsia="zh-CN"/>
        </w:rPr>
        <w:t>食品安全性的内涵</w:t>
      </w:r>
      <w:r>
        <w:rPr>
          <w:u w:val="thick"/>
        </w:rPr>
        <w:t xml:space="preserve">   </w:t>
      </w:r>
    </w:p>
    <w:p>
      <w:pPr>
        <w:pStyle w:val="3"/>
        <w:tabs>
          <w:tab w:val="left" w:pos="3895"/>
          <w:tab w:val="left" w:pos="3962"/>
        </w:tabs>
        <w:spacing w:before="1" w:line="364" w:lineRule="auto"/>
        <w:ind w:left="1329" w:right="1677" w:firstLine="69"/>
        <w:jc w:val="both"/>
        <w:rPr>
          <w:rFonts w:hint="default"/>
        </w:rPr>
        <w:sectPr>
          <w:type w:val="continuous"/>
          <w:pgSz w:w="11910" w:h="16840"/>
          <w:pgMar w:top="1803" w:right="1440" w:bottom="1803" w:left="1440" w:header="720" w:footer="720" w:gutter="0"/>
        </w:sectPr>
      </w:pPr>
      <w:r>
        <w:rPr>
          <w:u w:val="none"/>
        </w:rPr>
        <w:t>授课教师</w:t>
      </w:r>
      <w:r>
        <w:rPr>
          <w:u w:val="thick"/>
        </w:rPr>
        <w:tab/>
      </w:r>
      <w:r>
        <w:rPr>
          <w:rFonts w:hint="eastAsia"/>
          <w:u w:val="thick"/>
          <w:lang w:val="en-US" w:eastAsia="zh-CN"/>
        </w:rPr>
        <w:t xml:space="preserve">   赵鹏娟          </w:t>
      </w:r>
    </w:p>
    <w:p>
      <w:pPr>
        <w:keepNext w:val="0"/>
        <w:keepLines w:val="0"/>
        <w:pageBreakBefore w:val="0"/>
        <w:widowControl w:val="0"/>
        <w:kinsoku/>
        <w:wordWrap/>
        <w:overflowPunct/>
        <w:topLinePunct w:val="0"/>
        <w:autoSpaceDE w:val="0"/>
        <w:autoSpaceDN w:val="0"/>
        <w:bidi w:val="0"/>
        <w:adjustRightInd/>
        <w:snapToGrid/>
        <w:spacing w:before="0" w:beforeLines="100" w:after="0" w:afterLines="100"/>
        <w:jc w:val="center"/>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食品安全</w:t>
      </w:r>
      <w:r>
        <w:rPr>
          <w:rFonts w:hint="eastAsia" w:ascii="黑体" w:hAnsi="黑体" w:eastAsia="黑体" w:cs="黑体"/>
          <w:b w:val="0"/>
          <w:bCs w:val="0"/>
          <w:sz w:val="32"/>
          <w:szCs w:val="32"/>
          <w:lang w:val="en-US" w:eastAsia="zh-CN"/>
        </w:rPr>
        <w:t>与</w:t>
      </w:r>
      <w:r>
        <w:rPr>
          <w:rFonts w:hint="eastAsia" w:ascii="黑体" w:hAnsi="黑体" w:eastAsia="黑体" w:cs="黑体"/>
          <w:b w:val="0"/>
          <w:bCs w:val="0"/>
          <w:sz w:val="32"/>
          <w:szCs w:val="32"/>
        </w:rPr>
        <w:t>控制</w:t>
      </w:r>
      <w:r>
        <w:rPr>
          <w:rFonts w:hint="eastAsia" w:ascii="黑体" w:hAnsi="黑体" w:eastAsia="黑体" w:cs="黑体"/>
          <w:b w:val="0"/>
          <w:bCs w:val="0"/>
          <w:sz w:val="32"/>
          <w:szCs w:val="32"/>
          <w:lang w:eastAsia="zh-CN"/>
        </w:rPr>
        <w:t>》</w:t>
      </w:r>
      <w:r>
        <w:rPr>
          <w:rFonts w:hint="eastAsia"/>
          <w:sz w:val="32"/>
          <w:szCs w:val="32"/>
          <w:lang w:val="en-US" w:eastAsia="zh-CN"/>
        </w:rPr>
        <w:t>课程思政教学改革实施报告</w:t>
      </w:r>
    </w:p>
    <w:p>
      <w:pPr>
        <w:pStyle w:val="2"/>
        <w:keepNext w:val="0"/>
        <w:keepLines w:val="0"/>
        <w:pageBreakBefore w:val="0"/>
        <w:widowControl w:val="0"/>
        <w:kinsoku/>
        <w:wordWrap/>
        <w:overflowPunct/>
        <w:topLinePunct w:val="0"/>
        <w:autoSpaceDE w:val="0"/>
        <w:autoSpaceDN w:val="0"/>
        <w:bidi w:val="0"/>
        <w:adjustRightInd/>
        <w:snapToGrid/>
        <w:spacing w:before="0" w:beforeLines="100" w:after="0" w:afterLines="100"/>
        <w:ind w:left="0" w:leftChars="0" w:firstLine="0" w:firstLineChars="0"/>
        <w:jc w:val="left"/>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lang w:val="en-US" w:eastAsia="zh-CN"/>
        </w:rPr>
        <w:t>1.</w:t>
      </w:r>
      <w:r>
        <w:rPr>
          <w:rFonts w:hint="eastAsia" w:ascii="黑体" w:hAnsi="黑体" w:eastAsia="黑体" w:cs="黑体"/>
          <w:b w:val="0"/>
          <w:bCs w:val="0"/>
          <w:sz w:val="30"/>
          <w:szCs w:val="30"/>
          <w:lang w:eastAsia="zh-CN"/>
        </w:rPr>
        <w:t>《</w:t>
      </w:r>
      <w:r>
        <w:rPr>
          <w:rFonts w:hint="eastAsia" w:ascii="黑体" w:hAnsi="黑体" w:eastAsia="黑体" w:cs="黑体"/>
          <w:b w:val="0"/>
          <w:bCs w:val="0"/>
          <w:sz w:val="30"/>
          <w:szCs w:val="30"/>
        </w:rPr>
        <w:t>食品安全</w:t>
      </w:r>
      <w:r>
        <w:rPr>
          <w:rFonts w:hint="eastAsia" w:ascii="黑体" w:hAnsi="黑体" w:eastAsia="黑体" w:cs="黑体"/>
          <w:b w:val="0"/>
          <w:bCs w:val="0"/>
          <w:sz w:val="30"/>
          <w:szCs w:val="30"/>
          <w:lang w:val="en-US" w:eastAsia="zh-CN"/>
        </w:rPr>
        <w:t>与</w:t>
      </w:r>
      <w:r>
        <w:rPr>
          <w:rFonts w:hint="eastAsia" w:ascii="黑体" w:hAnsi="黑体" w:eastAsia="黑体" w:cs="黑体"/>
          <w:b w:val="0"/>
          <w:bCs w:val="0"/>
          <w:sz w:val="30"/>
          <w:szCs w:val="30"/>
        </w:rPr>
        <w:t>控制</w:t>
      </w:r>
      <w:r>
        <w:rPr>
          <w:rFonts w:hint="eastAsia" w:ascii="黑体" w:hAnsi="黑体" w:eastAsia="黑体" w:cs="黑体"/>
          <w:b w:val="0"/>
          <w:bCs w:val="0"/>
          <w:sz w:val="30"/>
          <w:szCs w:val="30"/>
          <w:lang w:eastAsia="zh-CN"/>
        </w:rPr>
        <w:t>》</w:t>
      </w:r>
      <w:r>
        <w:rPr>
          <w:rFonts w:hint="eastAsia" w:ascii="黑体" w:hAnsi="黑体" w:eastAsia="黑体" w:cs="黑体"/>
          <w:b w:val="0"/>
          <w:bCs w:val="0"/>
          <w:sz w:val="30"/>
          <w:szCs w:val="30"/>
        </w:rPr>
        <w:t>课程思政的</w:t>
      </w:r>
      <w:r>
        <w:rPr>
          <w:rFonts w:hint="eastAsia" w:ascii="黑体" w:hAnsi="黑体" w:eastAsia="黑体" w:cs="黑体"/>
          <w:b w:val="0"/>
          <w:bCs w:val="0"/>
          <w:sz w:val="30"/>
          <w:szCs w:val="30"/>
          <w:lang w:val="en-US" w:eastAsia="zh-CN"/>
        </w:rPr>
        <w:t>必要</w:t>
      </w:r>
      <w:r>
        <w:rPr>
          <w:rFonts w:hint="eastAsia" w:ascii="黑体" w:hAnsi="黑体" w:eastAsia="黑体" w:cs="黑体"/>
          <w:b w:val="0"/>
          <w:bCs w:val="0"/>
          <w:sz w:val="30"/>
          <w:szCs w:val="30"/>
        </w:rPr>
        <w:t>性</w:t>
      </w:r>
    </w:p>
    <w:p>
      <w:pPr>
        <w:keepNext w:val="0"/>
        <w:keepLines w:val="0"/>
        <w:pageBreakBefore w:val="0"/>
        <w:widowControl w:val="0"/>
        <w:kinsoku/>
        <w:wordWrap/>
        <w:overflowPunct w:val="0"/>
        <w:topLinePunct w:val="0"/>
        <w:autoSpaceDE w:val="0"/>
        <w:autoSpaceDN w:val="0"/>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sz w:val="24"/>
          <w:szCs w:val="24"/>
          <w:lang w:eastAsia="zh-CN"/>
        </w:rPr>
        <w:t>“</w:t>
      </w:r>
      <w:r>
        <w:rPr>
          <w:rFonts w:hint="eastAsia" w:asciiTheme="minorEastAsia" w:hAnsiTheme="minorEastAsia" w:eastAsiaTheme="minorEastAsia" w:cstheme="minorEastAsia"/>
          <w:snapToGrid w:val="0"/>
          <w:sz w:val="24"/>
          <w:szCs w:val="24"/>
          <w:lang w:val="en-US" w:eastAsia="zh-CN"/>
        </w:rPr>
        <w:t>民以食为天，食以安为先。</w:t>
      </w:r>
      <w:r>
        <w:rPr>
          <w:rFonts w:hint="eastAsia" w:asciiTheme="minorEastAsia" w:hAnsiTheme="minorEastAsia" w:eastAsiaTheme="minorEastAsia" w:cstheme="minorEastAsia"/>
          <w:snapToGrid w:val="0"/>
          <w:sz w:val="24"/>
          <w:szCs w:val="24"/>
          <w:lang w:eastAsia="zh-CN"/>
        </w:rPr>
        <w:t>”</w:t>
      </w:r>
      <w:r>
        <w:rPr>
          <w:rFonts w:hint="eastAsia" w:asciiTheme="minorEastAsia" w:hAnsiTheme="minorEastAsia" w:eastAsiaTheme="minorEastAsia" w:cstheme="minorEastAsia"/>
          <w:snapToGrid w:val="0"/>
          <w:sz w:val="24"/>
          <w:szCs w:val="24"/>
          <w:lang w:val="en-US" w:eastAsia="zh-CN"/>
        </w:rPr>
        <w:t>食品安全与质量控制贯穿于“从农田到餐桌”的整个食物链。</w:t>
      </w:r>
      <w:r>
        <w:rPr>
          <w:rFonts w:hint="eastAsia" w:asciiTheme="minorEastAsia" w:hAnsiTheme="minorEastAsia" w:eastAsiaTheme="minorEastAsia" w:cstheme="minorEastAsia"/>
          <w:snapToGrid w:val="0"/>
          <w:sz w:val="24"/>
          <w:szCs w:val="24"/>
          <w:lang w:eastAsia="zh-CN"/>
        </w:rPr>
        <w:t>《</w:t>
      </w:r>
      <w:r>
        <w:rPr>
          <w:rFonts w:hint="eastAsia" w:asciiTheme="minorEastAsia" w:hAnsiTheme="minorEastAsia" w:eastAsiaTheme="minorEastAsia" w:cstheme="minorEastAsia"/>
          <w:snapToGrid w:val="0"/>
          <w:sz w:val="24"/>
          <w:szCs w:val="24"/>
        </w:rPr>
        <w:t>食品安全</w:t>
      </w:r>
      <w:r>
        <w:rPr>
          <w:rFonts w:hint="eastAsia" w:asciiTheme="minorEastAsia" w:hAnsiTheme="minorEastAsia" w:eastAsiaTheme="minorEastAsia" w:cstheme="minorEastAsia"/>
          <w:snapToGrid w:val="0"/>
          <w:sz w:val="24"/>
          <w:szCs w:val="24"/>
          <w:lang w:val="en-US" w:eastAsia="zh-CN"/>
        </w:rPr>
        <w:t>与</w:t>
      </w:r>
      <w:r>
        <w:rPr>
          <w:rFonts w:hint="eastAsia" w:asciiTheme="minorEastAsia" w:hAnsiTheme="minorEastAsia" w:eastAsiaTheme="minorEastAsia" w:cstheme="minorEastAsia"/>
          <w:snapToGrid w:val="0"/>
          <w:sz w:val="24"/>
          <w:szCs w:val="24"/>
        </w:rPr>
        <w:t>控制</w:t>
      </w:r>
      <w:r>
        <w:rPr>
          <w:rFonts w:hint="eastAsia" w:asciiTheme="minorEastAsia" w:hAnsiTheme="minorEastAsia" w:eastAsiaTheme="minorEastAsia" w:cstheme="minorEastAsia"/>
          <w:snapToGrid w:val="0"/>
          <w:sz w:val="24"/>
          <w:szCs w:val="24"/>
          <w:lang w:eastAsia="zh-CN"/>
        </w:rPr>
        <w:t>》</w:t>
      </w:r>
      <w:r>
        <w:rPr>
          <w:rFonts w:hint="eastAsia" w:asciiTheme="minorEastAsia" w:hAnsiTheme="minorEastAsia" w:eastAsiaTheme="minorEastAsia" w:cstheme="minorEastAsia"/>
          <w:snapToGrid w:val="0"/>
          <w:sz w:val="24"/>
          <w:szCs w:val="24"/>
        </w:rPr>
        <w:t>作为食品专业的一门重要基础课程，主要</w:t>
      </w:r>
      <w:r>
        <w:rPr>
          <w:rFonts w:hint="eastAsia" w:asciiTheme="minorEastAsia" w:hAnsiTheme="minorEastAsia" w:eastAsiaTheme="minorEastAsia" w:cstheme="minorEastAsia"/>
          <w:snapToGrid w:val="0"/>
          <w:sz w:val="24"/>
          <w:szCs w:val="24"/>
          <w:lang w:val="en-US" w:eastAsia="zh-CN"/>
        </w:rPr>
        <w:t>分为两大部分:食品安全基础和食品质量安全控制。在食品安全基础部分里，主要</w:t>
      </w:r>
      <w:r>
        <w:rPr>
          <w:rFonts w:hint="eastAsia" w:asciiTheme="minorEastAsia" w:hAnsiTheme="minorEastAsia" w:eastAsiaTheme="minorEastAsia" w:cstheme="minorEastAsia"/>
          <w:snapToGrid w:val="0"/>
          <w:sz w:val="24"/>
          <w:szCs w:val="24"/>
        </w:rPr>
        <w:t>研究食品的安全问题、</w:t>
      </w:r>
      <w:r>
        <w:rPr>
          <w:rFonts w:hint="eastAsia" w:asciiTheme="minorEastAsia" w:hAnsiTheme="minorEastAsia" w:eastAsiaTheme="minorEastAsia" w:cstheme="minorEastAsia"/>
          <w:snapToGrid w:val="0"/>
          <w:sz w:val="24"/>
          <w:szCs w:val="24"/>
          <w:lang w:val="en-US" w:eastAsia="zh-CN"/>
        </w:rPr>
        <w:t>对食品安全危害来源进行分析与控制、不合理的膳食结构会存在哪些不安全的因素、高新技术的是否绝对安全等；在食品质量安全控制部分，对食品安全法规与标准进行了解读，系统讲解了食品安全的源头控制-GAP体系的构建、生产过程中食品良好操作规范</w:t>
      </w:r>
      <w:r>
        <w:rPr>
          <w:rFonts w:hint="eastAsia" w:asciiTheme="minorEastAsia" w:hAnsiTheme="minorEastAsia" w:eastAsiaTheme="minorEastAsia" w:cstheme="minorEastAsia"/>
          <w:snapToGrid w:val="0"/>
          <w:sz w:val="24"/>
          <w:szCs w:val="24"/>
          <w:lang w:val="en-US" w:eastAsia="en-US"/>
        </w:rPr>
        <w:t>（GMP）、</w:t>
      </w:r>
      <w:r>
        <w:rPr>
          <w:rFonts w:hint="eastAsia" w:asciiTheme="minorEastAsia" w:hAnsiTheme="minorEastAsia" w:eastAsiaTheme="minorEastAsia" w:cstheme="minorEastAsia"/>
          <w:snapToGrid w:val="0"/>
          <w:sz w:val="24"/>
          <w:szCs w:val="24"/>
          <w:lang w:val="en-US" w:eastAsia="zh-CN"/>
        </w:rPr>
        <w:t xml:space="preserve">食品卫生标准操作程序 </w:t>
      </w:r>
      <w:r>
        <w:rPr>
          <w:rFonts w:hint="eastAsia" w:asciiTheme="minorEastAsia" w:hAnsiTheme="minorEastAsia" w:eastAsiaTheme="minorEastAsia" w:cstheme="minorEastAsia"/>
          <w:snapToGrid w:val="0"/>
          <w:sz w:val="24"/>
          <w:szCs w:val="24"/>
          <w:lang w:val="en-US" w:eastAsia="en-US"/>
        </w:rPr>
        <w:t>（SSOP）</w:t>
      </w:r>
      <w:r>
        <w:rPr>
          <w:rFonts w:hint="eastAsia" w:asciiTheme="minorEastAsia" w:hAnsiTheme="minorEastAsia" w:eastAsiaTheme="minorEastAsia" w:cstheme="minorEastAsia"/>
          <w:snapToGrid w:val="0"/>
          <w:sz w:val="24"/>
          <w:szCs w:val="24"/>
          <w:lang w:val="en-US" w:eastAsia="zh-CN"/>
        </w:rPr>
        <w:t>及食品危害分析与关键点控制（</w:t>
      </w:r>
      <w:r>
        <w:rPr>
          <w:rFonts w:hint="eastAsia" w:asciiTheme="minorEastAsia" w:hAnsiTheme="minorEastAsia" w:eastAsiaTheme="minorEastAsia" w:cstheme="minorEastAsia"/>
          <w:snapToGrid w:val="0"/>
          <w:sz w:val="24"/>
          <w:szCs w:val="24"/>
          <w:lang w:val="en-US" w:eastAsia="en-US"/>
        </w:rPr>
        <w:t>HACCP）</w:t>
      </w:r>
      <w:r>
        <w:rPr>
          <w:rFonts w:hint="eastAsia" w:asciiTheme="minorEastAsia" w:hAnsiTheme="minorEastAsia" w:eastAsiaTheme="minorEastAsia" w:cstheme="minorEastAsia"/>
          <w:snapToGrid w:val="0"/>
          <w:sz w:val="24"/>
          <w:szCs w:val="24"/>
          <w:lang w:val="en-US" w:eastAsia="zh-CN"/>
        </w:rPr>
        <w:t>等体系的构建、市场准入制度SC体系的建立、流通和服务环节的质量安全控制以及食品安全的追溯与食品召回等等。通过这些知识点的讲解，</w:t>
      </w:r>
      <w:r>
        <w:rPr>
          <w:rFonts w:hint="eastAsia" w:asciiTheme="minorEastAsia" w:hAnsiTheme="minorEastAsia" w:eastAsiaTheme="minorEastAsia" w:cstheme="minorEastAsia"/>
          <w:snapToGrid w:val="0"/>
          <w:sz w:val="24"/>
          <w:szCs w:val="24"/>
        </w:rPr>
        <w:t>培养了学生的食品安全责任意识</w:t>
      </w:r>
      <w:r>
        <w:rPr>
          <w:rFonts w:hint="eastAsia" w:asciiTheme="minorEastAsia" w:hAnsiTheme="minorEastAsia" w:eastAsiaTheme="minorEastAsia" w:cstheme="minorEastAsia"/>
          <w:snapToGrid w:val="0"/>
          <w:sz w:val="24"/>
          <w:szCs w:val="24"/>
          <w:lang w:val="en-US" w:eastAsia="zh-CN"/>
        </w:rPr>
        <w:t>和对敬畏法律的意识</w:t>
      </w:r>
      <w:r>
        <w:rPr>
          <w:rFonts w:hint="eastAsia" w:asciiTheme="minorEastAsia" w:hAnsiTheme="minorEastAsia" w:eastAsiaTheme="minorEastAsia" w:cstheme="minorEastAsia"/>
          <w:snapToGrid w:val="0"/>
          <w:sz w:val="24"/>
          <w:szCs w:val="24"/>
        </w:rPr>
        <w:t>，</w:t>
      </w:r>
      <w:r>
        <w:rPr>
          <w:rFonts w:hint="eastAsia" w:asciiTheme="minorEastAsia" w:hAnsiTheme="minorEastAsia" w:eastAsiaTheme="minorEastAsia" w:cstheme="minorEastAsia"/>
          <w:snapToGrid w:val="0"/>
          <w:sz w:val="24"/>
          <w:szCs w:val="24"/>
          <w:lang w:val="en-US" w:eastAsia="zh-CN"/>
        </w:rPr>
        <w:t>提高了分析食品安全问题来源的能力，</w:t>
      </w:r>
      <w:r>
        <w:rPr>
          <w:rFonts w:hint="eastAsia" w:asciiTheme="minorEastAsia" w:hAnsiTheme="minorEastAsia" w:eastAsiaTheme="minorEastAsia" w:cstheme="minorEastAsia"/>
          <w:snapToGrid w:val="0"/>
          <w:sz w:val="24"/>
          <w:szCs w:val="24"/>
        </w:rPr>
        <w:t>使学生具备管理食品加工过程安全、溯源食品原料来源及监管产品成品安全流通的能力，使其在工作岗位上监督食品安全，主动保护广大普通消费者的健康，做一名合格的食品专业人才，守住自己的道德底线，为我国食品行业健康发展奉献自己的力量。</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与</w:t>
      </w:r>
      <w:r>
        <w:rPr>
          <w:rFonts w:hint="eastAsia" w:asciiTheme="minorEastAsia" w:hAnsiTheme="minorEastAsia" w:eastAsiaTheme="minorEastAsia" w:cstheme="minorEastAsia"/>
          <w:sz w:val="24"/>
          <w:szCs w:val="24"/>
        </w:rPr>
        <w:t>食品安全与质量控制相关的工作大都涉及</w:t>
      </w:r>
      <w:r>
        <w:rPr>
          <w:rFonts w:hint="eastAsia" w:asciiTheme="minorEastAsia" w:hAnsiTheme="minorEastAsia" w:eastAsiaTheme="minorEastAsia" w:cstheme="minorEastAsia"/>
          <w:sz w:val="24"/>
          <w:szCs w:val="24"/>
          <w:lang w:val="en-US" w:eastAsia="zh-CN"/>
        </w:rPr>
        <w:t>到</w:t>
      </w:r>
      <w:r>
        <w:rPr>
          <w:rFonts w:hint="eastAsia" w:asciiTheme="minorEastAsia" w:hAnsiTheme="minorEastAsia" w:eastAsiaTheme="minorEastAsia" w:cstheme="minorEastAsia"/>
          <w:sz w:val="24"/>
          <w:szCs w:val="24"/>
        </w:rPr>
        <w:t>食品的生产安全、质量安全、营养安全等</w:t>
      </w:r>
      <w:r>
        <w:rPr>
          <w:rFonts w:hint="eastAsia" w:asciiTheme="minorEastAsia" w:hAnsiTheme="minorEastAsia" w:eastAsiaTheme="minorEastAsia" w:cstheme="minorEastAsia"/>
          <w:sz w:val="24"/>
          <w:szCs w:val="24"/>
          <w:lang w:val="en-US" w:eastAsia="zh-CN"/>
        </w:rPr>
        <w:t>岗位</w:t>
      </w:r>
      <w:r>
        <w:rPr>
          <w:rFonts w:hint="eastAsia" w:asciiTheme="minorEastAsia" w:hAnsiTheme="minorEastAsia" w:eastAsiaTheme="minorEastAsia" w:cstheme="minorEastAsia"/>
          <w:sz w:val="24"/>
          <w:szCs w:val="24"/>
        </w:rPr>
        <w:t>，与人们的身体健康息息相关，关系到人们的生命健康</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napToGrid w:val="0"/>
          <w:sz w:val="24"/>
          <w:szCs w:val="24"/>
        </w:rPr>
        <w:t>学生能否胜任今后从事的食品专业相关工作，不</w:t>
      </w:r>
      <w:r>
        <w:rPr>
          <w:rFonts w:hint="eastAsia" w:asciiTheme="minorEastAsia" w:hAnsiTheme="minorEastAsia" w:eastAsiaTheme="minorEastAsia" w:cstheme="minorEastAsia"/>
          <w:snapToGrid w:val="0"/>
          <w:sz w:val="24"/>
          <w:szCs w:val="24"/>
          <w:lang w:val="en-US" w:eastAsia="zh-CN"/>
        </w:rPr>
        <w:t>单单</w:t>
      </w:r>
      <w:r>
        <w:rPr>
          <w:rFonts w:hint="eastAsia" w:asciiTheme="minorEastAsia" w:hAnsiTheme="minorEastAsia" w:eastAsiaTheme="minorEastAsia" w:cstheme="minorEastAsia"/>
          <w:snapToGrid w:val="0"/>
          <w:sz w:val="24"/>
          <w:szCs w:val="24"/>
        </w:rPr>
        <w:t>取决于其对课本专业理论知识掌握得有多好，而更多地取决于学生的职业道德与社会责任感，二者相辅相成、缺一不可。</w:t>
      </w:r>
      <w:r>
        <w:rPr>
          <w:rFonts w:hint="eastAsia" w:asciiTheme="minorEastAsia" w:hAnsiTheme="minorEastAsia" w:eastAsiaTheme="minorEastAsia" w:cstheme="minorEastAsia"/>
          <w:snapToGrid w:val="0"/>
          <w:sz w:val="24"/>
          <w:szCs w:val="24"/>
          <w:lang w:val="en-US" w:eastAsia="zh-CN"/>
        </w:rPr>
        <w:t>与</w:t>
      </w:r>
      <w:r>
        <w:rPr>
          <w:rFonts w:hint="eastAsia" w:asciiTheme="minorEastAsia" w:hAnsiTheme="minorEastAsia" w:eastAsiaTheme="minorEastAsia" w:cstheme="minorEastAsia"/>
          <w:snapToGrid w:val="0"/>
          <w:sz w:val="24"/>
          <w:szCs w:val="24"/>
        </w:rPr>
        <w:t>一般课程</w:t>
      </w:r>
      <w:r>
        <w:rPr>
          <w:rFonts w:hint="eastAsia" w:asciiTheme="minorEastAsia" w:hAnsiTheme="minorEastAsia" w:eastAsiaTheme="minorEastAsia" w:cstheme="minorEastAsia"/>
          <w:snapToGrid w:val="0"/>
          <w:sz w:val="24"/>
          <w:szCs w:val="24"/>
          <w:lang w:val="en-US" w:eastAsia="zh-CN"/>
        </w:rPr>
        <w:t>潜移默化的思政教育相比，本课程的思政教育更为直接。课程一开始，就开门见山地告诉学生思政教育的重要性，警示学生在从事食品行业工作时，自身职业道德素养和理论知识等同重要，自身从事的行业与百姓民生及生命安全紧密相关。另外，</w:t>
      </w:r>
      <w:r>
        <w:rPr>
          <w:rFonts w:hint="eastAsia" w:asciiTheme="minorEastAsia" w:hAnsiTheme="minorEastAsia" w:eastAsiaTheme="minorEastAsia" w:cstheme="minorEastAsia"/>
          <w:sz w:val="24"/>
          <w:szCs w:val="24"/>
        </w:rPr>
        <w:t>授课中</w:t>
      </w:r>
      <w:r>
        <w:rPr>
          <w:rFonts w:hint="eastAsia" w:asciiTheme="minorEastAsia" w:hAnsiTheme="minorEastAsia" w:eastAsiaTheme="minorEastAsia" w:cstheme="minorEastAsia"/>
          <w:sz w:val="24"/>
          <w:szCs w:val="24"/>
          <w:lang w:val="en-US" w:eastAsia="zh-CN"/>
        </w:rPr>
        <w:t>涉及了</w:t>
      </w:r>
      <w:r>
        <w:rPr>
          <w:rFonts w:hint="eastAsia" w:asciiTheme="minorEastAsia" w:hAnsiTheme="minorEastAsia" w:eastAsiaTheme="minorEastAsia" w:cstheme="minorEastAsia"/>
          <w:sz w:val="24"/>
          <w:szCs w:val="24"/>
        </w:rPr>
        <w:t>许许多多生动鲜明的食品安全</w:t>
      </w:r>
      <w:r>
        <w:rPr>
          <w:rFonts w:hint="eastAsia" w:asciiTheme="minorEastAsia" w:hAnsiTheme="minorEastAsia" w:eastAsiaTheme="minorEastAsia" w:cstheme="minorEastAsia"/>
          <w:sz w:val="24"/>
          <w:szCs w:val="24"/>
          <w:lang w:val="en-US" w:eastAsia="zh-CN"/>
        </w:rPr>
        <w:t>事故的案例，这些血淋淋的教训也提醒学生要重视思政教育的必要性。这些都将警示学生毕业后恪守自己的职业道德底线，做一名合格的食品人，做好“舌尖上的安全”的守护者。</w:t>
      </w:r>
    </w:p>
    <w:p>
      <w:pPr>
        <w:pStyle w:val="2"/>
        <w:keepNext w:val="0"/>
        <w:keepLines w:val="0"/>
        <w:pageBreakBefore w:val="0"/>
        <w:widowControl w:val="0"/>
        <w:kinsoku/>
        <w:wordWrap/>
        <w:overflowPunct/>
        <w:topLinePunct w:val="0"/>
        <w:autoSpaceDE w:val="0"/>
        <w:autoSpaceDN w:val="0"/>
        <w:bidi w:val="0"/>
        <w:adjustRightInd/>
        <w:snapToGrid/>
        <w:spacing w:before="0" w:beforeLines="100" w:after="0" w:afterLines="100"/>
        <w:ind w:left="0" w:leftChars="0" w:firstLine="0" w:firstLineChars="0"/>
        <w:jc w:val="left"/>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2.《食品安全</w:t>
      </w:r>
      <w:r>
        <w:rPr>
          <w:rFonts w:hint="eastAsia" w:ascii="黑体" w:hAnsi="黑体" w:eastAsia="黑体" w:cs="黑体"/>
          <w:b w:val="0"/>
          <w:bCs w:val="0"/>
          <w:sz w:val="30"/>
          <w:szCs w:val="30"/>
          <w:lang w:val="en-US" w:eastAsia="zh-CN"/>
        </w:rPr>
        <w:t>与控制》课程思政的融入点</w:t>
      </w:r>
    </w:p>
    <w:tbl>
      <w:tblPr>
        <w:tblStyle w:val="7"/>
        <w:tblpPr w:leftFromText="180" w:rightFromText="180" w:vertAnchor="text" w:horzAnchor="page" w:tblpX="1443" w:tblpY="231"/>
        <w:tblOverlap w:val="never"/>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2"/>
        <w:gridCol w:w="3360"/>
        <w:gridCol w:w="2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2"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教学单元</w:t>
            </w:r>
          </w:p>
        </w:tc>
        <w:tc>
          <w:tcPr>
            <w:tcW w:w="3360"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融入点</w:t>
            </w:r>
          </w:p>
        </w:tc>
        <w:tc>
          <w:tcPr>
            <w:tcW w:w="2893"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思政目标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食品质量安全概论</w:t>
            </w:r>
          </w:p>
        </w:tc>
        <w:tc>
          <w:tcPr>
            <w:tcW w:w="3360"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食品安全性的历史</w:t>
            </w:r>
          </w:p>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食品安全性的内涵</w:t>
            </w:r>
          </w:p>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食品安全的监管</w:t>
            </w:r>
          </w:p>
        </w:tc>
        <w:tc>
          <w:tcPr>
            <w:tcW w:w="2893" w:type="dxa"/>
            <w:vAlign w:val="center"/>
          </w:tcPr>
          <w:p>
            <w:pPr>
              <w:widowControl w:val="0"/>
              <w:numPr>
                <w:ilvl w:val="0"/>
                <w:numId w:val="0"/>
              </w:numPr>
              <w:autoSpaceDE w:val="0"/>
              <w:autoSpaceDN w:val="0"/>
              <w:spacing w:before="0" w:after="0" w:line="240" w:lineRule="auto"/>
              <w:ind w:right="0" w:rightChars="0"/>
              <w:jc w:val="both"/>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民族自豪感、食品专业责任意识、“以人民为中心”的思想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食品安全危害来源分析与控制</w:t>
            </w:r>
          </w:p>
        </w:tc>
        <w:tc>
          <w:tcPr>
            <w:tcW w:w="3360"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物理性、化学性、生物性危害</w:t>
            </w:r>
          </w:p>
        </w:tc>
        <w:tc>
          <w:tcPr>
            <w:tcW w:w="2893" w:type="dxa"/>
            <w:vMerge w:val="restart"/>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分析问题 解决问题的能力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膳食结构中的不安全因素</w:t>
            </w:r>
          </w:p>
        </w:tc>
        <w:tc>
          <w:tcPr>
            <w:tcW w:w="3360"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我国居民膳食指南</w:t>
            </w:r>
          </w:p>
        </w:tc>
        <w:tc>
          <w:tcPr>
            <w:tcW w:w="2893" w:type="dxa"/>
            <w:vMerge w:val="continue"/>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高新技术的安全性</w:t>
            </w:r>
          </w:p>
        </w:tc>
        <w:tc>
          <w:tcPr>
            <w:tcW w:w="3360"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超高压食品、</w:t>
            </w:r>
          </w:p>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辐照食品、转基因食品</w:t>
            </w:r>
          </w:p>
        </w:tc>
        <w:tc>
          <w:tcPr>
            <w:tcW w:w="2893"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理性思维、辩证思维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2"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食品安全法规与标准的解读与应用</w:t>
            </w:r>
          </w:p>
        </w:tc>
        <w:tc>
          <w:tcPr>
            <w:tcW w:w="3360"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《食品安全法》</w:t>
            </w:r>
          </w:p>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 xml:space="preserve"> 食品标准体系</w:t>
            </w:r>
          </w:p>
        </w:tc>
        <w:tc>
          <w:tcPr>
            <w:tcW w:w="2893" w:type="dxa"/>
            <w:vAlign w:val="center"/>
          </w:tcPr>
          <w:p>
            <w:pPr>
              <w:widowControl w:val="0"/>
              <w:numPr>
                <w:ilvl w:val="0"/>
                <w:numId w:val="0"/>
              </w:numPr>
              <w:autoSpaceDE w:val="0"/>
              <w:autoSpaceDN w:val="0"/>
              <w:spacing w:before="0" w:after="0" w:line="240" w:lineRule="auto"/>
              <w:ind w:right="0" w:rightChars="0"/>
              <w:jc w:val="both"/>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 xml:space="preserve">敬畏法律 感受法律的刚性与温度  尊重权威 </w:t>
            </w:r>
          </w:p>
          <w:p>
            <w:pPr>
              <w:widowControl w:val="0"/>
              <w:numPr>
                <w:ilvl w:val="0"/>
                <w:numId w:val="0"/>
              </w:numPr>
              <w:autoSpaceDE w:val="0"/>
              <w:autoSpaceDN w:val="0"/>
              <w:spacing w:before="0" w:after="0" w:line="240" w:lineRule="auto"/>
              <w:ind w:right="0" w:rightChars="0"/>
              <w:jc w:val="both"/>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 xml:space="preserve">红线意识 对标意识 责任意识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食品安全源头控制 食品安全控制的基本原理和体系构建</w:t>
            </w:r>
          </w:p>
        </w:tc>
        <w:tc>
          <w:tcPr>
            <w:tcW w:w="3360"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 xml:space="preserve">GAP体系的构建 </w:t>
            </w:r>
          </w:p>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GMP、SSOP、HACCP体系的构建</w:t>
            </w:r>
          </w:p>
        </w:tc>
        <w:tc>
          <w:tcPr>
            <w:tcW w:w="2893"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 xml:space="preserve">标准意识 </w:t>
            </w:r>
          </w:p>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科学的世界观、方法论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市场准入制度SC体系的建立</w:t>
            </w:r>
          </w:p>
        </w:tc>
        <w:tc>
          <w:tcPr>
            <w:tcW w:w="3360"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食品生产许可证</w:t>
            </w:r>
          </w:p>
        </w:tc>
        <w:tc>
          <w:tcPr>
            <w:tcW w:w="2893"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标准意识 理性竞争意识 争先创优意识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vAlign w:val="center"/>
          </w:tcPr>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 xml:space="preserve">食品流通和服务环节的质量安全控制 </w:t>
            </w:r>
          </w:p>
        </w:tc>
        <w:tc>
          <w:tcPr>
            <w:tcW w:w="3360" w:type="dxa"/>
            <w:vAlign w:val="center"/>
          </w:tcPr>
          <w:p>
            <w:pPr>
              <w:widowControl w:val="0"/>
              <w:numPr>
                <w:ilvl w:val="0"/>
                <w:numId w:val="0"/>
              </w:numPr>
              <w:autoSpaceDE w:val="0"/>
              <w:autoSpaceDN w:val="0"/>
              <w:spacing w:before="0" w:after="0" w:line="240" w:lineRule="auto"/>
              <w:ind w:right="0" w:rightChars="0"/>
              <w:jc w:val="both"/>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农产品批发市场、超市、餐饮食品、进出口食品的质量问题及控制措施</w:t>
            </w:r>
          </w:p>
        </w:tc>
        <w:tc>
          <w:tcPr>
            <w:tcW w:w="2893" w:type="dxa"/>
            <w:vMerge w:val="restart"/>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 xml:space="preserve">自律意识 诚实守信 </w:t>
            </w:r>
          </w:p>
          <w:p>
            <w:pPr>
              <w:widowControl w:val="0"/>
              <w:numPr>
                <w:ilvl w:val="0"/>
                <w:numId w:val="0"/>
              </w:numPr>
              <w:autoSpaceDE w:val="0"/>
              <w:autoSpaceDN w:val="0"/>
              <w:spacing w:before="0" w:after="0" w:line="240" w:lineRule="auto"/>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全局意识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食品安全追溯与食品召回</w:t>
            </w:r>
          </w:p>
        </w:tc>
        <w:tc>
          <w:tcPr>
            <w:tcW w:w="3360" w:type="dxa"/>
            <w:vAlign w:val="center"/>
          </w:tcPr>
          <w:p>
            <w:pPr>
              <w:widowControl w:val="0"/>
              <w:numPr>
                <w:ilvl w:val="0"/>
                <w:numId w:val="0"/>
              </w:numPr>
              <w:autoSpaceDE w:val="0"/>
              <w:autoSpaceDN w:val="0"/>
              <w:spacing w:before="0" w:after="0" w:line="240" w:lineRule="auto"/>
              <w:ind w:right="0" w:rightChars="0"/>
              <w:jc w:val="both"/>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食品安全追溯体系的建立</w:t>
            </w:r>
          </w:p>
          <w:p>
            <w:pPr>
              <w:widowControl w:val="0"/>
              <w:numPr>
                <w:ilvl w:val="0"/>
                <w:numId w:val="0"/>
              </w:numPr>
              <w:autoSpaceDE w:val="0"/>
              <w:autoSpaceDN w:val="0"/>
              <w:spacing w:before="0" w:after="0" w:line="240" w:lineRule="auto"/>
              <w:ind w:right="0" w:rightChars="0"/>
              <w:jc w:val="both"/>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不安全食品的召回</w:t>
            </w:r>
          </w:p>
        </w:tc>
        <w:tc>
          <w:tcPr>
            <w:tcW w:w="2893" w:type="dxa"/>
            <w:vMerge w:val="continue"/>
            <w:vAlign w:val="center"/>
          </w:tcPr>
          <w:p>
            <w:pPr>
              <w:widowControl w:val="0"/>
              <w:numPr>
                <w:ilvl w:val="0"/>
                <w:numId w:val="0"/>
              </w:numPr>
              <w:autoSpaceDE w:val="0"/>
              <w:autoSpaceDN w:val="0"/>
              <w:spacing w:before="0" w:after="0" w:line="240" w:lineRule="auto"/>
              <w:ind w:right="0" w:rightChars="0"/>
              <w:jc w:val="center"/>
              <w:rPr>
                <w:rFonts w:hint="eastAsia" w:asciiTheme="majorEastAsia" w:hAnsiTheme="majorEastAsia" w:eastAsiaTheme="majorEastAsia" w:cstheme="majorEastAsia"/>
                <w:sz w:val="24"/>
                <w:szCs w:val="24"/>
                <w:vertAlign w:val="baseline"/>
                <w:lang w:val="en-US" w:eastAsia="zh-CN"/>
              </w:rPr>
            </w:pPr>
          </w:p>
        </w:tc>
      </w:tr>
    </w:tbl>
    <w:p>
      <w:pPr>
        <w:widowControl w:val="0"/>
        <w:numPr>
          <w:numId w:val="0"/>
        </w:numPr>
        <w:autoSpaceDE w:val="0"/>
        <w:autoSpaceDN w:val="0"/>
        <w:spacing w:before="0" w:after="0" w:line="240" w:lineRule="auto"/>
        <w:ind w:right="0" w:rightChars="0"/>
        <w:jc w:val="left"/>
        <w:rPr>
          <w:rFonts w:hint="default"/>
          <w:lang w:val="en-US" w:eastAsia="zh-CN"/>
        </w:rPr>
      </w:pPr>
    </w:p>
    <w:p>
      <w:pPr>
        <w:pStyle w:val="2"/>
        <w:keepNext w:val="0"/>
        <w:keepLines w:val="0"/>
        <w:pageBreakBefore w:val="0"/>
        <w:widowControl w:val="0"/>
        <w:kinsoku/>
        <w:wordWrap/>
        <w:overflowPunct/>
        <w:topLinePunct w:val="0"/>
        <w:autoSpaceDE w:val="0"/>
        <w:autoSpaceDN w:val="0"/>
        <w:bidi w:val="0"/>
        <w:adjustRightInd/>
        <w:snapToGrid/>
        <w:spacing w:before="0" w:beforeLines="100" w:after="0" w:afterLines="100"/>
        <w:ind w:left="0" w:leftChars="0" w:firstLine="0" w:firstLineChars="0"/>
        <w:jc w:val="left"/>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3.《食品安全与控制》课程思政的反思</w:t>
      </w:r>
    </w:p>
    <w:p>
      <w:pPr>
        <w:pStyle w:val="2"/>
        <w:keepNext w:val="0"/>
        <w:keepLines w:val="0"/>
        <w:pageBreakBefore w:val="0"/>
        <w:widowControl w:val="0"/>
        <w:kinsoku/>
        <w:wordWrap/>
        <w:overflowPunct/>
        <w:topLinePunct w:val="0"/>
        <w:autoSpaceDE w:val="0"/>
        <w:autoSpaceDN w:val="0"/>
        <w:bidi w:val="0"/>
        <w:adjustRightInd/>
        <w:snapToGrid/>
        <w:spacing w:before="0" w:beforeLines="100" w:after="0" w:afterLines="100" w:line="360" w:lineRule="auto"/>
        <w:ind w:left="0" w:leftChars="0" w:firstLine="480" w:firstLineChars="200"/>
        <w:jc w:val="both"/>
        <w:textAlignment w:val="auto"/>
        <w:rPr>
          <w:rFonts w:hint="default" w:asciiTheme="minorEastAsia" w:hAnsiTheme="minorEastAsia" w:eastAsiaTheme="minorEastAsia" w:cstheme="minorEastAsia"/>
          <w:b w:val="0"/>
          <w:bCs w:val="0"/>
          <w:snapToGrid w:val="0"/>
          <w:sz w:val="24"/>
          <w:szCs w:val="24"/>
          <w:lang w:val="en-US" w:eastAsia="zh-CN" w:bidi="zh-CN"/>
        </w:rPr>
        <w:sectPr>
          <w:pgSz w:w="11850" w:h="16783"/>
          <w:pgMar w:top="1803" w:right="1440" w:bottom="1803" w:left="1440" w:header="720" w:footer="720" w:gutter="0"/>
          <w:cols w:space="425" w:num="1"/>
        </w:sectPr>
      </w:pPr>
      <w:r>
        <w:rPr>
          <w:rFonts w:hint="eastAsia" w:asciiTheme="minorEastAsia" w:hAnsiTheme="minorEastAsia" w:eastAsiaTheme="minorEastAsia" w:cstheme="minorEastAsia"/>
          <w:b w:val="0"/>
          <w:bCs w:val="0"/>
          <w:snapToGrid w:val="0"/>
          <w:sz w:val="24"/>
          <w:szCs w:val="24"/>
          <w:lang w:val="en-US" w:eastAsia="zh-CN" w:bidi="zh-CN"/>
        </w:rPr>
        <w:t>《食品安全与控制》课程的思政资源丰富，可将思政元素融入到教学活动各个环节，在整个教学过程中贯穿思政内容的渲染和引导，培养了学生的专业能力、提高了学生的责任意识；激励学生树立崇高的理想信念，以全面提升食品专业毕业生的综合素质，更好地满足新时代对创新型食品</w:t>
      </w:r>
      <w:r>
        <w:rPr>
          <w:rFonts w:hint="eastAsia" w:asciiTheme="minorEastAsia" w:hAnsiTheme="minorEastAsia" w:eastAsiaTheme="minorEastAsia" w:cstheme="minorEastAsia"/>
          <w:b w:val="0"/>
          <w:bCs w:val="0"/>
          <w:snapToGrid w:val="0"/>
          <w:sz w:val="24"/>
          <w:szCs w:val="24"/>
          <w:lang w:val="en-US" w:eastAsia="zh-CN" w:bidi="zh-CN"/>
        </w:rPr>
        <w:t>人才</w:t>
      </w:r>
      <w:r>
        <w:rPr>
          <w:rFonts w:hint="eastAsia" w:asciiTheme="minorEastAsia" w:hAnsiTheme="minorEastAsia" w:eastAsiaTheme="minorEastAsia" w:cstheme="minorEastAsia"/>
          <w:b w:val="0"/>
          <w:bCs w:val="0"/>
          <w:snapToGrid w:val="0"/>
          <w:sz w:val="24"/>
          <w:szCs w:val="24"/>
          <w:lang w:val="en-US" w:eastAsia="zh-CN" w:bidi="zh-CN"/>
        </w:rPr>
        <w:t>的需求。但是，</w:t>
      </w:r>
      <w:r>
        <w:rPr>
          <w:rFonts w:hint="eastAsia" w:asciiTheme="minorEastAsia" w:hAnsiTheme="minorEastAsia" w:eastAsiaTheme="minorEastAsia" w:cstheme="minorEastAsia"/>
          <w:b w:val="0"/>
          <w:bCs w:val="0"/>
          <w:snapToGrid w:val="0"/>
          <w:sz w:val="24"/>
          <w:szCs w:val="24"/>
          <w:lang w:val="en-US" w:eastAsia="zh-CN" w:bidi="zh-CN"/>
        </w:rPr>
        <w:t>在课程教学中，思政目标的确定需要及时完善更新，牢牢紧跟时代的脉搏和党的步伐，如果有专业思政课教师的加入，更能体现协同育人的目标，为国家培养出适应社会发展的高素质的食品专业人才。</w:t>
      </w:r>
      <w:bookmarkStart w:id="0" w:name="_GoBack"/>
      <w:bookmarkEnd w:id="0"/>
    </w:p>
    <w:p/>
    <w:sectPr>
      <w:pgSz w:w="11910" w:h="16840"/>
      <w:pgMar w:top="1420" w:right="1320" w:bottom="280" w:left="1320" w:header="720" w:footer="720" w:gutter="0"/>
    </w:sectPr>
  </w:body>
</w:document>
</file>