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仿宋_GB2312" w:hAnsi="宋体" w:eastAsia="仿宋_GB2312"/>
          <w:bCs/>
          <w:sz w:val="28"/>
          <w:szCs w:val="28"/>
        </w:rPr>
      </w:pPr>
    </w:p>
    <w:p>
      <w:pPr>
        <w:tabs>
          <w:tab w:val="center" w:pos="4156"/>
        </w:tabs>
        <w:spacing w:line="360" w:lineRule="auto"/>
        <w:jc w:val="center"/>
        <w:rPr>
          <w:rFonts w:ascii="仿宋_GB2312" w:hAnsi="宋体" w:eastAsia="仿宋_GB2312"/>
          <w:bCs/>
          <w:sz w:val="28"/>
          <w:szCs w:val="28"/>
        </w:rPr>
      </w:pPr>
    </w:p>
    <w:p>
      <w:pPr>
        <w:tabs>
          <w:tab w:val="center" w:pos="4156"/>
        </w:tabs>
        <w:spacing w:line="360" w:lineRule="auto"/>
        <w:jc w:val="center"/>
        <w:rPr>
          <w:rFonts w:ascii="方正行楷简体" w:hAnsi="新宋体" w:eastAsia="方正行楷简体"/>
          <w:sz w:val="44"/>
          <w:szCs w:val="44"/>
        </w:rPr>
      </w:pPr>
    </w:p>
    <w:p>
      <w:pPr>
        <w:tabs>
          <w:tab w:val="center" w:pos="4156"/>
        </w:tabs>
        <w:spacing w:line="360" w:lineRule="auto"/>
        <w:jc w:val="center"/>
        <w:rPr>
          <w:rFonts w:ascii="方正行楷简体" w:hAnsi="新宋体" w:eastAsia="方正行楷简体"/>
          <w:sz w:val="48"/>
          <w:szCs w:val="48"/>
        </w:rPr>
      </w:pPr>
      <w:r>
        <w:rPr>
          <w:rFonts w:hint="eastAsia" w:ascii="幼圆" w:hAnsi="新宋体" w:eastAsia="幼圆"/>
          <w:b/>
          <w:color w:val="FF0000"/>
          <w:sz w:val="44"/>
          <w:szCs w:val="44"/>
        </w:rPr>
        <w:drawing>
          <wp:anchor distT="0" distB="0" distL="114300" distR="114300" simplePos="0" relativeHeight="251659264" behindDoc="1" locked="0" layoutInCell="1" allowOverlap="1">
            <wp:simplePos x="0" y="0"/>
            <wp:positionH relativeFrom="column">
              <wp:posOffset>1143000</wp:posOffset>
            </wp:positionH>
            <wp:positionV relativeFrom="paragraph">
              <wp:posOffset>54610</wp:posOffset>
            </wp:positionV>
            <wp:extent cx="539750" cy="539750"/>
            <wp:effectExtent l="0" t="0" r="12700" b="12700"/>
            <wp:wrapNone/>
            <wp:docPr id="1" name="图片 2"/>
            <wp:cNvGraphicFramePr/>
            <a:graphic xmlns:a="http://schemas.openxmlformats.org/drawingml/2006/main">
              <a:graphicData uri="http://schemas.openxmlformats.org/drawingml/2006/picture">
                <pic:pic xmlns:pic="http://schemas.openxmlformats.org/drawingml/2006/picture">
                  <pic:nvPicPr>
                    <pic:cNvPr id="1" name="图片 2"/>
                    <pic:cNvPicPr/>
                  </pic:nvPicPr>
                  <pic:blipFill>
                    <a:blip r:embed="rId10"/>
                    <a:stretch>
                      <a:fillRect/>
                    </a:stretch>
                  </pic:blipFill>
                  <pic:spPr>
                    <a:xfrm>
                      <a:off x="0" y="0"/>
                      <a:ext cx="539750" cy="539750"/>
                    </a:xfrm>
                    <a:prstGeom prst="rect">
                      <a:avLst/>
                    </a:prstGeom>
                    <a:noFill/>
                    <a:ln>
                      <a:noFill/>
                    </a:ln>
                  </pic:spPr>
                </pic:pic>
              </a:graphicData>
            </a:graphic>
          </wp:anchor>
        </w:drawing>
      </w:r>
      <w:r>
        <w:rPr>
          <w:rFonts w:hint="eastAsia" w:ascii="方正行楷简体" w:hAnsi="新宋体" w:eastAsia="方正行楷简体"/>
          <w:sz w:val="44"/>
          <w:szCs w:val="44"/>
        </w:rPr>
        <w:t xml:space="preserve">   晋城职业技术学院</w:t>
      </w:r>
    </w:p>
    <w:p>
      <w:pPr>
        <w:spacing w:beforeLines="100"/>
        <w:jc w:val="center"/>
        <w:rPr>
          <w:rFonts w:ascii="黑体" w:hAnsi="黑体" w:eastAsia="黑体"/>
          <w:spacing w:val="79"/>
          <w:sz w:val="72"/>
          <w:szCs w:val="72"/>
        </w:rPr>
      </w:pPr>
      <w:r>
        <w:rPr>
          <w:rFonts w:hint="eastAsia" w:ascii="黑体" w:hAnsi="黑体" w:eastAsia="黑体"/>
          <w:spacing w:val="79"/>
          <w:sz w:val="72"/>
          <w:szCs w:val="72"/>
        </w:rPr>
        <w:t>应用化工技术专业</w:t>
      </w:r>
    </w:p>
    <w:p>
      <w:pPr>
        <w:spacing w:beforeLines="100"/>
        <w:jc w:val="center"/>
        <w:rPr>
          <w:rFonts w:ascii="黑体" w:hAnsi="黑体" w:eastAsia="黑体"/>
          <w:spacing w:val="79"/>
          <w:sz w:val="72"/>
          <w:szCs w:val="72"/>
        </w:rPr>
      </w:pPr>
      <w:r>
        <w:rPr>
          <w:rFonts w:hint="eastAsia" w:ascii="黑体" w:hAnsi="黑体" w:eastAsia="黑体"/>
          <w:spacing w:val="79"/>
          <w:sz w:val="72"/>
          <w:szCs w:val="72"/>
        </w:rPr>
        <w:t>人才培养方案</w:t>
      </w:r>
    </w:p>
    <w:p>
      <w:pPr>
        <w:spacing w:line="360" w:lineRule="auto"/>
        <w:rPr>
          <w:rFonts w:ascii="宋体" w:hAnsi="宋体"/>
          <w:b/>
          <w:color w:val="000000"/>
          <w:sz w:val="32"/>
          <w:szCs w:val="32"/>
        </w:rPr>
      </w:pPr>
    </w:p>
    <w:p>
      <w:pPr>
        <w:spacing w:line="360" w:lineRule="auto"/>
        <w:rPr>
          <w:rFonts w:ascii="宋体" w:hAnsi="宋体"/>
          <w:b/>
          <w:color w:val="000000"/>
          <w:sz w:val="32"/>
          <w:szCs w:val="32"/>
        </w:rPr>
      </w:pPr>
    </w:p>
    <w:p>
      <w:pPr>
        <w:spacing w:line="360" w:lineRule="auto"/>
        <w:rPr>
          <w:rFonts w:ascii="宋体" w:hAnsi="宋体"/>
          <w:b/>
          <w:color w:val="000000"/>
          <w:sz w:val="32"/>
          <w:szCs w:val="32"/>
        </w:rPr>
      </w:pPr>
    </w:p>
    <w:p>
      <w:pPr>
        <w:spacing w:line="360" w:lineRule="auto"/>
        <w:rPr>
          <w:rFonts w:ascii="宋体" w:hAnsi="宋体"/>
          <w:b/>
          <w:color w:val="000000"/>
          <w:sz w:val="32"/>
          <w:szCs w:val="32"/>
        </w:rPr>
      </w:pPr>
    </w:p>
    <w:p>
      <w:pPr>
        <w:spacing w:line="360" w:lineRule="auto"/>
        <w:rPr>
          <w:rFonts w:ascii="宋体" w:hAnsi="宋体"/>
          <w:b/>
          <w:color w:val="000000"/>
          <w:sz w:val="36"/>
          <w:szCs w:val="36"/>
        </w:rPr>
      </w:pPr>
    </w:p>
    <w:p>
      <w:pPr>
        <w:spacing w:line="360" w:lineRule="auto"/>
        <w:rPr>
          <w:rFonts w:ascii="宋体" w:hAnsi="宋体"/>
          <w:b/>
          <w:color w:val="000000"/>
          <w:sz w:val="36"/>
          <w:szCs w:val="36"/>
        </w:rPr>
      </w:pPr>
    </w:p>
    <w:p>
      <w:pPr>
        <w:spacing w:line="360" w:lineRule="auto"/>
        <w:jc w:val="center"/>
        <w:rPr>
          <w:rFonts w:ascii="黑体" w:hAnsi="宋体" w:eastAsia="黑体"/>
          <w:color w:val="000000"/>
          <w:sz w:val="36"/>
          <w:szCs w:val="36"/>
        </w:rPr>
      </w:pPr>
    </w:p>
    <w:p>
      <w:pPr>
        <w:spacing w:line="360" w:lineRule="auto"/>
        <w:jc w:val="center"/>
        <w:rPr>
          <w:rFonts w:ascii="黑体" w:hAnsi="宋体" w:eastAsia="黑体"/>
          <w:color w:val="000000"/>
          <w:sz w:val="36"/>
          <w:szCs w:val="36"/>
        </w:rPr>
      </w:pPr>
    </w:p>
    <w:p>
      <w:pPr>
        <w:spacing w:line="360" w:lineRule="auto"/>
        <w:jc w:val="center"/>
        <w:rPr>
          <w:rFonts w:ascii="黑体" w:hAnsi="宋体" w:eastAsia="黑体"/>
          <w:color w:val="000000"/>
          <w:sz w:val="36"/>
          <w:szCs w:val="36"/>
        </w:rPr>
      </w:pPr>
    </w:p>
    <w:p>
      <w:pPr>
        <w:spacing w:line="360" w:lineRule="auto"/>
        <w:jc w:val="center"/>
        <w:rPr>
          <w:rFonts w:ascii="黑体" w:hAnsi="宋体" w:eastAsia="黑体"/>
          <w:color w:val="000000"/>
          <w:sz w:val="36"/>
          <w:szCs w:val="36"/>
        </w:rPr>
      </w:pPr>
      <w:r>
        <w:rPr>
          <w:rFonts w:hint="eastAsia" w:ascii="黑体" w:hAnsi="宋体" w:eastAsia="黑体"/>
          <w:color w:val="000000"/>
          <w:sz w:val="36"/>
          <w:szCs w:val="36"/>
        </w:rPr>
        <w:t>化工系</w:t>
      </w:r>
    </w:p>
    <w:p>
      <w:pPr>
        <w:tabs>
          <w:tab w:val="center" w:pos="4156"/>
        </w:tabs>
        <w:spacing w:line="360" w:lineRule="auto"/>
        <w:jc w:val="center"/>
        <w:rPr>
          <w:rFonts w:ascii="幼圆" w:hAnsi="新宋体" w:eastAsia="幼圆"/>
          <w:b/>
          <w:sz w:val="52"/>
          <w:szCs w:val="52"/>
        </w:rPr>
      </w:pPr>
      <w:r>
        <w:rPr>
          <w:rFonts w:hint="eastAsia" w:ascii="黑体" w:hAnsi="宋体" w:eastAsia="黑体"/>
          <w:color w:val="000000"/>
          <w:sz w:val="36"/>
          <w:szCs w:val="36"/>
        </w:rPr>
        <w:t>2019年12月</w:t>
      </w:r>
    </w:p>
    <w:p>
      <w:pPr>
        <w:spacing w:beforeLines="50" w:afterLines="50"/>
        <w:jc w:val="center"/>
        <w:rPr>
          <w:rFonts w:ascii="宋体" w:hAnsi="宋体"/>
          <w:b/>
          <w:bCs/>
          <w:sz w:val="44"/>
          <w:szCs w:val="44"/>
        </w:rPr>
      </w:pPr>
    </w:p>
    <w:p>
      <w:pPr>
        <w:spacing w:beforeLines="50" w:afterLines="50"/>
        <w:jc w:val="center"/>
        <w:rPr>
          <w:rFonts w:ascii="宋体" w:hAnsi="宋体"/>
          <w:b/>
          <w:bCs/>
          <w:sz w:val="44"/>
          <w:szCs w:val="44"/>
        </w:rPr>
      </w:pPr>
      <w:r>
        <w:rPr>
          <w:rFonts w:hint="eastAsia" w:ascii="宋体" w:hAnsi="宋体"/>
          <w:b/>
          <w:bCs/>
          <w:sz w:val="44"/>
          <w:szCs w:val="44"/>
        </w:rPr>
        <w:t>目    录</w:t>
      </w:r>
    </w:p>
    <w:p>
      <w:pPr>
        <w:pStyle w:val="13"/>
        <w:tabs>
          <w:tab w:val="right" w:leader="dot" w:pos="8306"/>
          <w:tab w:val="clear" w:pos="9060"/>
        </w:tabs>
        <w:snapToGrid w:val="0"/>
        <w:spacing w:line="240" w:lineRule="auto"/>
        <w:rPr>
          <w:rFonts w:ascii="华文楷体" w:hAnsi="华文楷体" w:eastAsia="华文楷体" w:cs="华文楷体"/>
        </w:rPr>
      </w:pPr>
      <w:r>
        <w:rPr>
          <w:rFonts w:ascii="楷体" w:hAnsi="楷体" w:eastAsia="楷体" w:cs="楷体"/>
          <w:b/>
          <w:bCs/>
        </w:rPr>
        <w:fldChar w:fldCharType="begin"/>
      </w:r>
      <w:r>
        <w:rPr>
          <w:rFonts w:ascii="楷体" w:hAnsi="楷体" w:eastAsia="楷体" w:cs="楷体"/>
          <w:b/>
          <w:bCs/>
        </w:rPr>
        <w:instrText xml:space="preserve">TOC \o "1-3" \h \u </w:instrText>
      </w:r>
      <w:r>
        <w:rPr>
          <w:rFonts w:ascii="楷体" w:hAnsi="楷体" w:eastAsia="楷体" w:cs="楷体"/>
          <w:b/>
          <w:bCs/>
        </w:rPr>
        <w:fldChar w:fldCharType="separate"/>
      </w:r>
      <w:r>
        <w:fldChar w:fldCharType="begin"/>
      </w:r>
      <w:r>
        <w:instrText xml:space="preserve"> HYPERLINK \l "_Toc16490" </w:instrText>
      </w:r>
      <w:r>
        <w:fldChar w:fldCharType="separate"/>
      </w:r>
      <w:r>
        <w:rPr>
          <w:rFonts w:hint="eastAsia" w:ascii="华文楷体" w:hAnsi="华文楷体" w:eastAsia="华文楷体" w:cs="华文楷体"/>
        </w:rPr>
        <w:t>第一部分应用化工技术专业人才培养方案</w:t>
      </w:r>
      <w:r>
        <w:rPr>
          <w:rFonts w:hint="eastAsia" w:ascii="华文楷体" w:hAnsi="华文楷体" w:eastAsia="华文楷体" w:cs="华文楷体"/>
        </w:rPr>
        <w:tab/>
      </w:r>
      <w:r>
        <w:rPr>
          <w:rFonts w:hint="eastAsia" w:ascii="华文楷体" w:hAnsi="华文楷体" w:eastAsia="华文楷体" w:cs="华文楷体"/>
        </w:rPr>
        <w:fldChar w:fldCharType="begin"/>
      </w:r>
      <w:r>
        <w:rPr>
          <w:rFonts w:hint="eastAsia" w:ascii="华文楷体" w:hAnsi="华文楷体" w:eastAsia="华文楷体" w:cs="华文楷体"/>
        </w:rPr>
        <w:instrText xml:space="preserve"> PAGEREF _Toc16490 </w:instrText>
      </w:r>
      <w:r>
        <w:rPr>
          <w:rFonts w:hint="eastAsia" w:ascii="华文楷体" w:hAnsi="华文楷体" w:eastAsia="华文楷体" w:cs="华文楷体"/>
        </w:rPr>
        <w:fldChar w:fldCharType="separate"/>
      </w:r>
      <w:r>
        <w:rPr>
          <w:rFonts w:ascii="华文楷体" w:hAnsi="华文楷体" w:eastAsia="华文楷体" w:cs="华文楷体"/>
        </w:rPr>
        <w:t>1</w:t>
      </w:r>
      <w:r>
        <w:rPr>
          <w:rFonts w:hint="eastAsia" w:ascii="华文楷体" w:hAnsi="华文楷体" w:eastAsia="华文楷体" w:cs="华文楷体"/>
        </w:rPr>
        <w:fldChar w:fldCharType="end"/>
      </w:r>
      <w:r>
        <w:rPr>
          <w:rFonts w:hint="eastAsia" w:ascii="华文楷体" w:hAnsi="华文楷体" w:eastAsia="华文楷体" w:cs="华文楷体"/>
        </w:rPr>
        <w:fldChar w:fldCharType="end"/>
      </w:r>
    </w:p>
    <w:p>
      <w:pPr>
        <w:pStyle w:val="15"/>
        <w:tabs>
          <w:tab w:val="right" w:leader="dot" w:pos="8306"/>
          <w:tab w:val="clear" w:pos="9000"/>
        </w:tabs>
        <w:snapToGrid w:val="0"/>
        <w:rPr>
          <w:rFonts w:ascii="华文楷体" w:hAnsi="华文楷体" w:eastAsia="华文楷体" w:cs="华文楷体"/>
          <w:sz w:val="24"/>
        </w:rPr>
      </w:pPr>
      <w:r>
        <w:fldChar w:fldCharType="begin"/>
      </w:r>
      <w:r>
        <w:instrText xml:space="preserve"> HYPERLINK \l "_Toc25977" </w:instrText>
      </w:r>
      <w:r>
        <w:fldChar w:fldCharType="separate"/>
      </w:r>
      <w:r>
        <w:rPr>
          <w:rFonts w:hint="eastAsia" w:ascii="华文楷体" w:hAnsi="华文楷体" w:eastAsia="华文楷体" w:cs="华文楷体"/>
          <w:sz w:val="24"/>
        </w:rPr>
        <w:t>一、专业名称与代码</w:t>
      </w:r>
      <w:r>
        <w:rPr>
          <w:rFonts w:hint="eastAsia" w:ascii="华文楷体" w:hAnsi="华文楷体" w:eastAsia="华文楷体" w:cs="华文楷体"/>
          <w:sz w:val="24"/>
        </w:rPr>
        <w:tab/>
      </w:r>
      <w:r>
        <w:rPr>
          <w:rFonts w:hint="eastAsia" w:ascii="华文楷体" w:hAnsi="华文楷体" w:eastAsia="华文楷体" w:cs="华文楷体"/>
          <w:sz w:val="24"/>
        </w:rPr>
        <w:fldChar w:fldCharType="begin"/>
      </w:r>
      <w:r>
        <w:rPr>
          <w:rFonts w:hint="eastAsia" w:ascii="华文楷体" w:hAnsi="华文楷体" w:eastAsia="华文楷体" w:cs="华文楷体"/>
          <w:sz w:val="24"/>
        </w:rPr>
        <w:instrText xml:space="preserve"> PAGEREF _Toc25977 </w:instrText>
      </w:r>
      <w:r>
        <w:rPr>
          <w:rFonts w:hint="eastAsia" w:ascii="华文楷体" w:hAnsi="华文楷体" w:eastAsia="华文楷体" w:cs="华文楷体"/>
          <w:sz w:val="24"/>
        </w:rPr>
        <w:fldChar w:fldCharType="separate"/>
      </w:r>
      <w:r>
        <w:rPr>
          <w:rFonts w:ascii="华文楷体" w:hAnsi="华文楷体" w:eastAsia="华文楷体" w:cs="华文楷体"/>
          <w:sz w:val="24"/>
        </w:rPr>
        <w:t>1</w:t>
      </w:r>
      <w:r>
        <w:rPr>
          <w:rFonts w:hint="eastAsia" w:ascii="华文楷体" w:hAnsi="华文楷体" w:eastAsia="华文楷体" w:cs="华文楷体"/>
          <w:sz w:val="24"/>
        </w:rPr>
        <w:fldChar w:fldCharType="end"/>
      </w:r>
      <w:r>
        <w:rPr>
          <w:rFonts w:hint="eastAsia" w:ascii="华文楷体" w:hAnsi="华文楷体" w:eastAsia="华文楷体" w:cs="华文楷体"/>
          <w:sz w:val="24"/>
        </w:rPr>
        <w:fldChar w:fldCharType="end"/>
      </w:r>
    </w:p>
    <w:p>
      <w:pPr>
        <w:pStyle w:val="15"/>
        <w:tabs>
          <w:tab w:val="right" w:leader="dot" w:pos="8306"/>
          <w:tab w:val="clear" w:pos="9000"/>
        </w:tabs>
        <w:snapToGrid w:val="0"/>
        <w:rPr>
          <w:rFonts w:ascii="华文楷体" w:hAnsi="华文楷体" w:eastAsia="华文楷体" w:cs="华文楷体"/>
          <w:sz w:val="24"/>
        </w:rPr>
      </w:pPr>
      <w:r>
        <w:fldChar w:fldCharType="begin"/>
      </w:r>
      <w:r>
        <w:instrText xml:space="preserve"> HYPERLINK \l "_Toc15001" </w:instrText>
      </w:r>
      <w:r>
        <w:fldChar w:fldCharType="separate"/>
      </w:r>
      <w:r>
        <w:rPr>
          <w:rFonts w:hint="eastAsia" w:ascii="华文楷体" w:hAnsi="华文楷体" w:eastAsia="华文楷体" w:cs="华文楷体"/>
          <w:sz w:val="24"/>
        </w:rPr>
        <w:t>二、招生对象</w:t>
      </w:r>
      <w:r>
        <w:rPr>
          <w:rFonts w:hint="eastAsia" w:ascii="华文楷体" w:hAnsi="华文楷体" w:eastAsia="华文楷体" w:cs="华文楷体"/>
          <w:sz w:val="24"/>
        </w:rPr>
        <w:tab/>
      </w:r>
      <w:r>
        <w:rPr>
          <w:rFonts w:hint="eastAsia" w:ascii="华文楷体" w:hAnsi="华文楷体" w:eastAsia="华文楷体" w:cs="华文楷体"/>
          <w:sz w:val="24"/>
        </w:rPr>
        <w:fldChar w:fldCharType="begin"/>
      </w:r>
      <w:r>
        <w:rPr>
          <w:rFonts w:hint="eastAsia" w:ascii="华文楷体" w:hAnsi="华文楷体" w:eastAsia="华文楷体" w:cs="华文楷体"/>
          <w:sz w:val="24"/>
        </w:rPr>
        <w:instrText xml:space="preserve"> PAGEREF _Toc15001 </w:instrText>
      </w:r>
      <w:r>
        <w:rPr>
          <w:rFonts w:hint="eastAsia" w:ascii="华文楷体" w:hAnsi="华文楷体" w:eastAsia="华文楷体" w:cs="华文楷体"/>
          <w:sz w:val="24"/>
        </w:rPr>
        <w:fldChar w:fldCharType="separate"/>
      </w:r>
      <w:r>
        <w:rPr>
          <w:rFonts w:ascii="华文楷体" w:hAnsi="华文楷体" w:eastAsia="华文楷体" w:cs="华文楷体"/>
          <w:sz w:val="24"/>
        </w:rPr>
        <w:t>1</w:t>
      </w:r>
      <w:r>
        <w:rPr>
          <w:rFonts w:hint="eastAsia" w:ascii="华文楷体" w:hAnsi="华文楷体" w:eastAsia="华文楷体" w:cs="华文楷体"/>
          <w:sz w:val="24"/>
        </w:rPr>
        <w:fldChar w:fldCharType="end"/>
      </w:r>
      <w:r>
        <w:rPr>
          <w:rFonts w:hint="eastAsia" w:ascii="华文楷体" w:hAnsi="华文楷体" w:eastAsia="华文楷体" w:cs="华文楷体"/>
          <w:sz w:val="24"/>
        </w:rPr>
        <w:fldChar w:fldCharType="end"/>
      </w:r>
    </w:p>
    <w:p>
      <w:pPr>
        <w:pStyle w:val="15"/>
        <w:tabs>
          <w:tab w:val="right" w:leader="dot" w:pos="8306"/>
          <w:tab w:val="clear" w:pos="9000"/>
        </w:tabs>
        <w:snapToGrid w:val="0"/>
        <w:rPr>
          <w:rFonts w:ascii="华文楷体" w:hAnsi="华文楷体" w:eastAsia="华文楷体" w:cs="华文楷体"/>
          <w:sz w:val="24"/>
        </w:rPr>
      </w:pPr>
      <w:r>
        <w:fldChar w:fldCharType="begin"/>
      </w:r>
      <w:r>
        <w:instrText xml:space="preserve"> HYPERLINK \l "_Toc22525" </w:instrText>
      </w:r>
      <w:r>
        <w:fldChar w:fldCharType="separate"/>
      </w:r>
      <w:r>
        <w:rPr>
          <w:rFonts w:hint="eastAsia" w:ascii="华文楷体" w:hAnsi="华文楷体" w:eastAsia="华文楷体" w:cs="华文楷体"/>
          <w:sz w:val="24"/>
        </w:rPr>
        <w:t>三、学制与学历</w:t>
      </w:r>
      <w:r>
        <w:rPr>
          <w:rFonts w:hint="eastAsia" w:ascii="华文楷体" w:hAnsi="华文楷体" w:eastAsia="华文楷体" w:cs="华文楷体"/>
          <w:sz w:val="24"/>
        </w:rPr>
        <w:tab/>
      </w:r>
      <w:r>
        <w:rPr>
          <w:rFonts w:hint="eastAsia" w:ascii="华文楷体" w:hAnsi="华文楷体" w:eastAsia="华文楷体" w:cs="华文楷体"/>
          <w:sz w:val="24"/>
        </w:rPr>
        <w:fldChar w:fldCharType="begin"/>
      </w:r>
      <w:r>
        <w:rPr>
          <w:rFonts w:hint="eastAsia" w:ascii="华文楷体" w:hAnsi="华文楷体" w:eastAsia="华文楷体" w:cs="华文楷体"/>
          <w:sz w:val="24"/>
        </w:rPr>
        <w:instrText xml:space="preserve"> PAGEREF _Toc22525 </w:instrText>
      </w:r>
      <w:r>
        <w:rPr>
          <w:rFonts w:hint="eastAsia" w:ascii="华文楷体" w:hAnsi="华文楷体" w:eastAsia="华文楷体" w:cs="华文楷体"/>
          <w:sz w:val="24"/>
        </w:rPr>
        <w:fldChar w:fldCharType="separate"/>
      </w:r>
      <w:r>
        <w:rPr>
          <w:rFonts w:ascii="华文楷体" w:hAnsi="华文楷体" w:eastAsia="华文楷体" w:cs="华文楷体"/>
          <w:sz w:val="24"/>
        </w:rPr>
        <w:t>1</w:t>
      </w:r>
      <w:r>
        <w:rPr>
          <w:rFonts w:hint="eastAsia" w:ascii="华文楷体" w:hAnsi="华文楷体" w:eastAsia="华文楷体" w:cs="华文楷体"/>
          <w:sz w:val="24"/>
        </w:rPr>
        <w:fldChar w:fldCharType="end"/>
      </w:r>
      <w:r>
        <w:rPr>
          <w:rFonts w:hint="eastAsia" w:ascii="华文楷体" w:hAnsi="华文楷体" w:eastAsia="华文楷体" w:cs="华文楷体"/>
          <w:sz w:val="24"/>
        </w:rPr>
        <w:fldChar w:fldCharType="end"/>
      </w:r>
    </w:p>
    <w:p>
      <w:pPr>
        <w:pStyle w:val="15"/>
        <w:tabs>
          <w:tab w:val="right" w:leader="dot" w:pos="8306"/>
          <w:tab w:val="clear" w:pos="9000"/>
        </w:tabs>
        <w:snapToGrid w:val="0"/>
        <w:rPr>
          <w:rFonts w:ascii="华文楷体" w:hAnsi="华文楷体" w:eastAsia="华文楷体" w:cs="华文楷体"/>
          <w:sz w:val="24"/>
        </w:rPr>
      </w:pPr>
      <w:r>
        <w:fldChar w:fldCharType="begin"/>
      </w:r>
      <w:r>
        <w:instrText xml:space="preserve"> HYPERLINK \l "_Toc11382" </w:instrText>
      </w:r>
      <w:r>
        <w:fldChar w:fldCharType="separate"/>
      </w:r>
      <w:r>
        <w:rPr>
          <w:rFonts w:hint="eastAsia" w:ascii="华文楷体" w:hAnsi="华文楷体" w:eastAsia="华文楷体" w:cs="华文楷体"/>
          <w:sz w:val="24"/>
        </w:rPr>
        <w:t>四、就业面向</w:t>
      </w:r>
      <w:r>
        <w:rPr>
          <w:rFonts w:hint="eastAsia" w:ascii="华文楷体" w:hAnsi="华文楷体" w:eastAsia="华文楷体" w:cs="华文楷体"/>
          <w:sz w:val="24"/>
        </w:rPr>
        <w:tab/>
      </w:r>
      <w:r>
        <w:rPr>
          <w:rFonts w:hint="eastAsia" w:ascii="华文楷体" w:hAnsi="华文楷体" w:eastAsia="华文楷体" w:cs="华文楷体"/>
          <w:sz w:val="24"/>
        </w:rPr>
        <w:fldChar w:fldCharType="begin"/>
      </w:r>
      <w:r>
        <w:rPr>
          <w:rFonts w:hint="eastAsia" w:ascii="华文楷体" w:hAnsi="华文楷体" w:eastAsia="华文楷体" w:cs="华文楷体"/>
          <w:sz w:val="24"/>
        </w:rPr>
        <w:instrText xml:space="preserve"> PAGEREF _Toc11382 </w:instrText>
      </w:r>
      <w:r>
        <w:rPr>
          <w:rFonts w:hint="eastAsia" w:ascii="华文楷体" w:hAnsi="华文楷体" w:eastAsia="华文楷体" w:cs="华文楷体"/>
          <w:sz w:val="24"/>
        </w:rPr>
        <w:fldChar w:fldCharType="separate"/>
      </w:r>
      <w:r>
        <w:rPr>
          <w:rFonts w:ascii="华文楷体" w:hAnsi="华文楷体" w:eastAsia="华文楷体" w:cs="华文楷体"/>
          <w:sz w:val="24"/>
        </w:rPr>
        <w:t>1</w:t>
      </w:r>
      <w:r>
        <w:rPr>
          <w:rFonts w:hint="eastAsia" w:ascii="华文楷体" w:hAnsi="华文楷体" w:eastAsia="华文楷体" w:cs="华文楷体"/>
          <w:sz w:val="24"/>
        </w:rPr>
        <w:fldChar w:fldCharType="end"/>
      </w:r>
      <w:r>
        <w:rPr>
          <w:rFonts w:hint="eastAsia" w:ascii="华文楷体" w:hAnsi="华文楷体" w:eastAsia="华文楷体" w:cs="华文楷体"/>
          <w:sz w:val="24"/>
        </w:rPr>
        <w:fldChar w:fldCharType="end"/>
      </w:r>
    </w:p>
    <w:p>
      <w:pPr>
        <w:pStyle w:val="15"/>
        <w:tabs>
          <w:tab w:val="right" w:leader="dot" w:pos="8306"/>
          <w:tab w:val="clear" w:pos="9000"/>
        </w:tabs>
        <w:snapToGrid w:val="0"/>
        <w:rPr>
          <w:rFonts w:ascii="华文楷体" w:hAnsi="华文楷体" w:eastAsia="华文楷体" w:cs="华文楷体"/>
          <w:sz w:val="24"/>
        </w:rPr>
      </w:pPr>
      <w:r>
        <w:fldChar w:fldCharType="begin"/>
      </w:r>
      <w:r>
        <w:instrText xml:space="preserve"> HYPERLINK \l "_Toc24656" </w:instrText>
      </w:r>
      <w:r>
        <w:fldChar w:fldCharType="separate"/>
      </w:r>
      <w:r>
        <w:rPr>
          <w:rFonts w:hint="eastAsia" w:ascii="华文楷体" w:hAnsi="华文楷体" w:eastAsia="华文楷体" w:cs="华文楷体"/>
          <w:sz w:val="24"/>
        </w:rPr>
        <w:t>五、培养目标与规格要求</w:t>
      </w:r>
      <w:r>
        <w:rPr>
          <w:rFonts w:hint="eastAsia" w:ascii="华文楷体" w:hAnsi="华文楷体" w:eastAsia="华文楷体" w:cs="华文楷体"/>
          <w:sz w:val="24"/>
        </w:rPr>
        <w:tab/>
      </w:r>
      <w:r>
        <w:rPr>
          <w:rFonts w:hint="eastAsia" w:ascii="华文楷体" w:hAnsi="华文楷体" w:eastAsia="华文楷体" w:cs="华文楷体"/>
          <w:sz w:val="24"/>
        </w:rPr>
        <w:fldChar w:fldCharType="begin"/>
      </w:r>
      <w:r>
        <w:rPr>
          <w:rFonts w:hint="eastAsia" w:ascii="华文楷体" w:hAnsi="华文楷体" w:eastAsia="华文楷体" w:cs="华文楷体"/>
          <w:sz w:val="24"/>
        </w:rPr>
        <w:instrText xml:space="preserve"> PAGEREF _Toc24656 </w:instrText>
      </w:r>
      <w:r>
        <w:rPr>
          <w:rFonts w:hint="eastAsia" w:ascii="华文楷体" w:hAnsi="华文楷体" w:eastAsia="华文楷体" w:cs="华文楷体"/>
          <w:sz w:val="24"/>
        </w:rPr>
        <w:fldChar w:fldCharType="separate"/>
      </w:r>
      <w:r>
        <w:rPr>
          <w:rFonts w:ascii="华文楷体" w:hAnsi="华文楷体" w:eastAsia="华文楷体" w:cs="华文楷体"/>
          <w:sz w:val="24"/>
        </w:rPr>
        <w:t>1</w:t>
      </w:r>
      <w:r>
        <w:rPr>
          <w:rFonts w:hint="eastAsia" w:ascii="华文楷体" w:hAnsi="华文楷体" w:eastAsia="华文楷体" w:cs="华文楷体"/>
          <w:sz w:val="24"/>
        </w:rPr>
        <w:fldChar w:fldCharType="end"/>
      </w:r>
      <w:r>
        <w:rPr>
          <w:rFonts w:hint="eastAsia" w:ascii="华文楷体" w:hAnsi="华文楷体" w:eastAsia="华文楷体" w:cs="华文楷体"/>
          <w:sz w:val="24"/>
        </w:rPr>
        <w:fldChar w:fldCharType="end"/>
      </w:r>
    </w:p>
    <w:p>
      <w:pPr>
        <w:pStyle w:val="15"/>
        <w:tabs>
          <w:tab w:val="right" w:leader="dot" w:pos="8306"/>
          <w:tab w:val="clear" w:pos="9000"/>
        </w:tabs>
        <w:snapToGrid w:val="0"/>
        <w:rPr>
          <w:rFonts w:ascii="华文楷体" w:hAnsi="华文楷体" w:eastAsia="华文楷体" w:cs="华文楷体"/>
          <w:sz w:val="24"/>
        </w:rPr>
      </w:pPr>
      <w:r>
        <w:fldChar w:fldCharType="begin"/>
      </w:r>
      <w:r>
        <w:instrText xml:space="preserve"> HYPERLINK \l "_Toc19301" </w:instrText>
      </w:r>
      <w:r>
        <w:fldChar w:fldCharType="separate"/>
      </w:r>
      <w:r>
        <w:rPr>
          <w:rFonts w:hint="eastAsia" w:ascii="华文楷体" w:hAnsi="华文楷体" w:eastAsia="华文楷体" w:cs="华文楷体"/>
          <w:sz w:val="24"/>
        </w:rPr>
        <w:t>六、职业资格证书</w:t>
      </w:r>
      <w:r>
        <w:rPr>
          <w:rFonts w:hint="eastAsia" w:ascii="华文楷体" w:hAnsi="华文楷体" w:eastAsia="华文楷体" w:cs="华文楷体"/>
          <w:sz w:val="24"/>
        </w:rPr>
        <w:tab/>
      </w:r>
      <w:r>
        <w:rPr>
          <w:rFonts w:hint="eastAsia" w:ascii="华文楷体" w:hAnsi="华文楷体" w:eastAsia="华文楷体" w:cs="华文楷体"/>
          <w:sz w:val="24"/>
        </w:rPr>
        <w:fldChar w:fldCharType="begin"/>
      </w:r>
      <w:r>
        <w:rPr>
          <w:rFonts w:hint="eastAsia" w:ascii="华文楷体" w:hAnsi="华文楷体" w:eastAsia="华文楷体" w:cs="华文楷体"/>
          <w:sz w:val="24"/>
        </w:rPr>
        <w:instrText xml:space="preserve"> PAGEREF _Toc19301 </w:instrText>
      </w:r>
      <w:r>
        <w:rPr>
          <w:rFonts w:hint="eastAsia" w:ascii="华文楷体" w:hAnsi="华文楷体" w:eastAsia="华文楷体" w:cs="华文楷体"/>
          <w:sz w:val="24"/>
        </w:rPr>
        <w:fldChar w:fldCharType="separate"/>
      </w:r>
      <w:r>
        <w:rPr>
          <w:rFonts w:ascii="华文楷体" w:hAnsi="华文楷体" w:eastAsia="华文楷体" w:cs="华文楷体"/>
          <w:sz w:val="24"/>
        </w:rPr>
        <w:t>3</w:t>
      </w:r>
      <w:r>
        <w:rPr>
          <w:rFonts w:hint="eastAsia" w:ascii="华文楷体" w:hAnsi="华文楷体" w:eastAsia="华文楷体" w:cs="华文楷体"/>
          <w:sz w:val="24"/>
        </w:rPr>
        <w:fldChar w:fldCharType="end"/>
      </w:r>
      <w:r>
        <w:rPr>
          <w:rFonts w:hint="eastAsia" w:ascii="华文楷体" w:hAnsi="华文楷体" w:eastAsia="华文楷体" w:cs="华文楷体"/>
          <w:sz w:val="24"/>
        </w:rPr>
        <w:fldChar w:fldCharType="end"/>
      </w:r>
    </w:p>
    <w:p>
      <w:pPr>
        <w:pStyle w:val="15"/>
        <w:tabs>
          <w:tab w:val="right" w:leader="dot" w:pos="8306"/>
          <w:tab w:val="clear" w:pos="9000"/>
        </w:tabs>
        <w:snapToGrid w:val="0"/>
        <w:rPr>
          <w:rFonts w:ascii="华文楷体" w:hAnsi="华文楷体" w:eastAsia="华文楷体" w:cs="华文楷体"/>
          <w:sz w:val="24"/>
        </w:rPr>
      </w:pPr>
      <w:r>
        <w:fldChar w:fldCharType="begin"/>
      </w:r>
      <w:r>
        <w:instrText xml:space="preserve"> HYPERLINK \l "_Toc26346" </w:instrText>
      </w:r>
      <w:r>
        <w:fldChar w:fldCharType="separate"/>
      </w:r>
      <w:r>
        <w:rPr>
          <w:rFonts w:hint="eastAsia" w:ascii="华文楷体" w:hAnsi="华文楷体" w:eastAsia="华文楷体" w:cs="华文楷体"/>
          <w:sz w:val="24"/>
        </w:rPr>
        <w:t>七、课程体系与核心课程（教学内容）</w:t>
      </w:r>
      <w:r>
        <w:rPr>
          <w:rFonts w:hint="eastAsia" w:ascii="华文楷体" w:hAnsi="华文楷体" w:eastAsia="华文楷体" w:cs="华文楷体"/>
          <w:sz w:val="24"/>
        </w:rPr>
        <w:tab/>
      </w:r>
      <w:r>
        <w:rPr>
          <w:rFonts w:hint="eastAsia" w:ascii="华文楷体" w:hAnsi="华文楷体" w:eastAsia="华文楷体" w:cs="华文楷体"/>
          <w:sz w:val="24"/>
        </w:rPr>
        <w:fldChar w:fldCharType="begin"/>
      </w:r>
      <w:r>
        <w:rPr>
          <w:rFonts w:hint="eastAsia" w:ascii="华文楷体" w:hAnsi="华文楷体" w:eastAsia="华文楷体" w:cs="华文楷体"/>
          <w:sz w:val="24"/>
        </w:rPr>
        <w:instrText xml:space="preserve"> PAGEREF _Toc26346 </w:instrText>
      </w:r>
      <w:r>
        <w:rPr>
          <w:rFonts w:hint="eastAsia" w:ascii="华文楷体" w:hAnsi="华文楷体" w:eastAsia="华文楷体" w:cs="华文楷体"/>
          <w:sz w:val="24"/>
        </w:rPr>
        <w:fldChar w:fldCharType="separate"/>
      </w:r>
      <w:r>
        <w:rPr>
          <w:rFonts w:ascii="华文楷体" w:hAnsi="华文楷体" w:eastAsia="华文楷体" w:cs="华文楷体"/>
          <w:sz w:val="24"/>
        </w:rPr>
        <w:t>3</w:t>
      </w:r>
      <w:r>
        <w:rPr>
          <w:rFonts w:hint="eastAsia" w:ascii="华文楷体" w:hAnsi="华文楷体" w:eastAsia="华文楷体" w:cs="华文楷体"/>
          <w:sz w:val="24"/>
        </w:rPr>
        <w:fldChar w:fldCharType="end"/>
      </w:r>
      <w:r>
        <w:rPr>
          <w:rFonts w:hint="eastAsia" w:ascii="华文楷体" w:hAnsi="华文楷体" w:eastAsia="华文楷体" w:cs="华文楷体"/>
          <w:sz w:val="24"/>
        </w:rPr>
        <w:fldChar w:fldCharType="end"/>
      </w:r>
    </w:p>
    <w:p>
      <w:pPr>
        <w:pStyle w:val="15"/>
        <w:tabs>
          <w:tab w:val="right" w:leader="dot" w:pos="8306"/>
          <w:tab w:val="clear" w:pos="9000"/>
        </w:tabs>
        <w:snapToGrid w:val="0"/>
        <w:rPr>
          <w:rFonts w:ascii="华文楷体" w:hAnsi="华文楷体" w:eastAsia="华文楷体" w:cs="华文楷体"/>
          <w:sz w:val="24"/>
        </w:rPr>
      </w:pPr>
      <w:r>
        <w:fldChar w:fldCharType="begin"/>
      </w:r>
      <w:r>
        <w:instrText xml:space="preserve"> HYPERLINK \l "_Toc27650" </w:instrText>
      </w:r>
      <w:r>
        <w:fldChar w:fldCharType="separate"/>
      </w:r>
      <w:r>
        <w:rPr>
          <w:rFonts w:hint="eastAsia" w:ascii="华文楷体" w:hAnsi="华文楷体" w:eastAsia="华文楷体" w:cs="华文楷体"/>
          <w:sz w:val="24"/>
        </w:rPr>
        <w:t>八、教学方法、手段和教学评价</w:t>
      </w:r>
      <w:r>
        <w:rPr>
          <w:rFonts w:hint="eastAsia" w:ascii="华文楷体" w:hAnsi="华文楷体" w:eastAsia="华文楷体" w:cs="华文楷体"/>
          <w:sz w:val="24"/>
        </w:rPr>
        <w:tab/>
      </w:r>
      <w:r>
        <w:rPr>
          <w:rFonts w:hint="eastAsia" w:ascii="华文楷体" w:hAnsi="华文楷体" w:eastAsia="华文楷体" w:cs="华文楷体"/>
          <w:sz w:val="24"/>
        </w:rPr>
        <w:fldChar w:fldCharType="begin"/>
      </w:r>
      <w:r>
        <w:rPr>
          <w:rFonts w:hint="eastAsia" w:ascii="华文楷体" w:hAnsi="华文楷体" w:eastAsia="华文楷体" w:cs="华文楷体"/>
          <w:sz w:val="24"/>
        </w:rPr>
        <w:instrText xml:space="preserve"> PAGEREF _Toc27650 </w:instrText>
      </w:r>
      <w:r>
        <w:rPr>
          <w:rFonts w:hint="eastAsia" w:ascii="华文楷体" w:hAnsi="华文楷体" w:eastAsia="华文楷体" w:cs="华文楷体"/>
          <w:sz w:val="24"/>
        </w:rPr>
        <w:fldChar w:fldCharType="separate"/>
      </w:r>
      <w:r>
        <w:rPr>
          <w:rFonts w:ascii="华文楷体" w:hAnsi="华文楷体" w:eastAsia="华文楷体" w:cs="华文楷体"/>
          <w:sz w:val="24"/>
        </w:rPr>
        <w:t>19</w:t>
      </w:r>
      <w:r>
        <w:rPr>
          <w:rFonts w:hint="eastAsia" w:ascii="华文楷体" w:hAnsi="华文楷体" w:eastAsia="华文楷体" w:cs="华文楷体"/>
          <w:sz w:val="24"/>
        </w:rPr>
        <w:fldChar w:fldCharType="end"/>
      </w:r>
      <w:r>
        <w:rPr>
          <w:rFonts w:hint="eastAsia" w:ascii="华文楷体" w:hAnsi="华文楷体" w:eastAsia="华文楷体" w:cs="华文楷体"/>
          <w:sz w:val="24"/>
        </w:rPr>
        <w:fldChar w:fldCharType="end"/>
      </w:r>
    </w:p>
    <w:p>
      <w:pPr>
        <w:pStyle w:val="15"/>
        <w:tabs>
          <w:tab w:val="right" w:leader="dot" w:pos="8306"/>
          <w:tab w:val="clear" w:pos="9000"/>
        </w:tabs>
        <w:snapToGrid w:val="0"/>
        <w:rPr>
          <w:rFonts w:ascii="华文楷体" w:hAnsi="华文楷体" w:eastAsia="华文楷体" w:cs="华文楷体"/>
          <w:sz w:val="24"/>
        </w:rPr>
      </w:pPr>
      <w:r>
        <w:fldChar w:fldCharType="begin"/>
      </w:r>
      <w:r>
        <w:instrText xml:space="preserve"> HYPERLINK \l "_Toc19443" </w:instrText>
      </w:r>
      <w:r>
        <w:fldChar w:fldCharType="separate"/>
      </w:r>
      <w:r>
        <w:rPr>
          <w:rFonts w:hint="eastAsia" w:ascii="华文楷体" w:hAnsi="华文楷体" w:eastAsia="华文楷体" w:cs="华文楷体"/>
          <w:sz w:val="24"/>
        </w:rPr>
        <w:t>九、毕业要求</w:t>
      </w:r>
      <w:r>
        <w:rPr>
          <w:rFonts w:hint="eastAsia" w:ascii="华文楷体" w:hAnsi="华文楷体" w:eastAsia="华文楷体" w:cs="华文楷体"/>
          <w:sz w:val="24"/>
        </w:rPr>
        <w:tab/>
      </w:r>
      <w:r>
        <w:rPr>
          <w:rFonts w:hint="eastAsia" w:ascii="华文楷体" w:hAnsi="华文楷体" w:eastAsia="华文楷体" w:cs="华文楷体"/>
          <w:sz w:val="24"/>
        </w:rPr>
        <w:fldChar w:fldCharType="begin"/>
      </w:r>
      <w:r>
        <w:rPr>
          <w:rFonts w:hint="eastAsia" w:ascii="华文楷体" w:hAnsi="华文楷体" w:eastAsia="华文楷体" w:cs="华文楷体"/>
          <w:sz w:val="24"/>
        </w:rPr>
        <w:instrText xml:space="preserve"> PAGEREF _Toc19443 </w:instrText>
      </w:r>
      <w:r>
        <w:rPr>
          <w:rFonts w:hint="eastAsia" w:ascii="华文楷体" w:hAnsi="华文楷体" w:eastAsia="华文楷体" w:cs="华文楷体"/>
          <w:sz w:val="24"/>
        </w:rPr>
        <w:fldChar w:fldCharType="separate"/>
      </w:r>
      <w:r>
        <w:rPr>
          <w:rFonts w:ascii="华文楷体" w:hAnsi="华文楷体" w:eastAsia="华文楷体" w:cs="华文楷体"/>
          <w:sz w:val="24"/>
        </w:rPr>
        <w:t>23</w:t>
      </w:r>
      <w:r>
        <w:rPr>
          <w:rFonts w:hint="eastAsia" w:ascii="华文楷体" w:hAnsi="华文楷体" w:eastAsia="华文楷体" w:cs="华文楷体"/>
          <w:sz w:val="24"/>
        </w:rPr>
        <w:fldChar w:fldCharType="end"/>
      </w:r>
      <w:r>
        <w:rPr>
          <w:rFonts w:hint="eastAsia" w:ascii="华文楷体" w:hAnsi="华文楷体" w:eastAsia="华文楷体" w:cs="华文楷体"/>
          <w:sz w:val="24"/>
        </w:rPr>
        <w:fldChar w:fldCharType="end"/>
      </w:r>
    </w:p>
    <w:p>
      <w:pPr>
        <w:pStyle w:val="15"/>
        <w:tabs>
          <w:tab w:val="right" w:leader="dot" w:pos="8306"/>
          <w:tab w:val="clear" w:pos="9000"/>
        </w:tabs>
        <w:snapToGrid w:val="0"/>
        <w:rPr>
          <w:rFonts w:ascii="华文楷体" w:hAnsi="华文楷体" w:eastAsia="华文楷体" w:cs="华文楷体"/>
          <w:sz w:val="24"/>
        </w:rPr>
      </w:pPr>
      <w:r>
        <w:fldChar w:fldCharType="begin"/>
      </w:r>
      <w:r>
        <w:instrText xml:space="preserve"> HYPERLINK \l "_Toc15334" </w:instrText>
      </w:r>
      <w:r>
        <w:fldChar w:fldCharType="separate"/>
      </w:r>
      <w:r>
        <w:rPr>
          <w:rFonts w:hint="eastAsia" w:ascii="华文楷体" w:hAnsi="华文楷体" w:eastAsia="华文楷体" w:cs="华文楷体"/>
          <w:bCs/>
          <w:sz w:val="24"/>
        </w:rPr>
        <w:t>十、学习深造建议</w:t>
      </w:r>
      <w:r>
        <w:rPr>
          <w:rFonts w:hint="eastAsia" w:ascii="华文楷体" w:hAnsi="华文楷体" w:eastAsia="华文楷体" w:cs="华文楷体"/>
          <w:sz w:val="24"/>
        </w:rPr>
        <w:tab/>
      </w:r>
      <w:r>
        <w:rPr>
          <w:rFonts w:hint="eastAsia" w:ascii="华文楷体" w:hAnsi="华文楷体" w:eastAsia="华文楷体" w:cs="华文楷体"/>
          <w:sz w:val="24"/>
        </w:rPr>
        <w:fldChar w:fldCharType="begin"/>
      </w:r>
      <w:r>
        <w:rPr>
          <w:rFonts w:hint="eastAsia" w:ascii="华文楷体" w:hAnsi="华文楷体" w:eastAsia="华文楷体" w:cs="华文楷体"/>
          <w:sz w:val="24"/>
        </w:rPr>
        <w:instrText xml:space="preserve"> PAGEREF _Toc15334 </w:instrText>
      </w:r>
      <w:r>
        <w:rPr>
          <w:rFonts w:hint="eastAsia" w:ascii="华文楷体" w:hAnsi="华文楷体" w:eastAsia="华文楷体" w:cs="华文楷体"/>
          <w:sz w:val="24"/>
        </w:rPr>
        <w:fldChar w:fldCharType="separate"/>
      </w:r>
      <w:r>
        <w:rPr>
          <w:rFonts w:ascii="华文楷体" w:hAnsi="华文楷体" w:eastAsia="华文楷体" w:cs="华文楷体"/>
          <w:sz w:val="24"/>
        </w:rPr>
        <w:t>24</w:t>
      </w:r>
      <w:r>
        <w:rPr>
          <w:rFonts w:hint="eastAsia" w:ascii="华文楷体" w:hAnsi="华文楷体" w:eastAsia="华文楷体" w:cs="华文楷体"/>
          <w:sz w:val="24"/>
        </w:rPr>
        <w:fldChar w:fldCharType="end"/>
      </w:r>
      <w:r>
        <w:rPr>
          <w:rFonts w:hint="eastAsia" w:ascii="华文楷体" w:hAnsi="华文楷体" w:eastAsia="华文楷体" w:cs="华文楷体"/>
          <w:sz w:val="24"/>
        </w:rPr>
        <w:fldChar w:fldCharType="end"/>
      </w:r>
    </w:p>
    <w:p>
      <w:pPr>
        <w:pStyle w:val="13"/>
        <w:tabs>
          <w:tab w:val="right" w:leader="dot" w:pos="8306"/>
          <w:tab w:val="clear" w:pos="9060"/>
        </w:tabs>
        <w:snapToGrid w:val="0"/>
        <w:spacing w:line="240" w:lineRule="auto"/>
        <w:rPr>
          <w:rFonts w:ascii="华文楷体" w:hAnsi="华文楷体" w:eastAsia="华文楷体" w:cs="华文楷体"/>
        </w:rPr>
      </w:pPr>
      <w:r>
        <w:fldChar w:fldCharType="begin"/>
      </w:r>
      <w:r>
        <w:instrText xml:space="preserve"> HYPERLINK \l "_Toc25706" </w:instrText>
      </w:r>
      <w:r>
        <w:fldChar w:fldCharType="separate"/>
      </w:r>
      <w:r>
        <w:rPr>
          <w:rFonts w:hint="eastAsia" w:ascii="华文楷体" w:hAnsi="华文楷体" w:eastAsia="华文楷体" w:cs="华文楷体"/>
        </w:rPr>
        <w:t>第二部分 应用化工技术专业人才需求与专业建设调研报告</w:t>
      </w:r>
      <w:r>
        <w:rPr>
          <w:rFonts w:hint="eastAsia" w:ascii="华文楷体" w:hAnsi="华文楷体" w:eastAsia="华文楷体" w:cs="华文楷体"/>
        </w:rPr>
        <w:tab/>
      </w:r>
      <w:r>
        <w:rPr>
          <w:rFonts w:hint="eastAsia" w:ascii="华文楷体" w:hAnsi="华文楷体" w:eastAsia="华文楷体" w:cs="华文楷体"/>
        </w:rPr>
        <w:fldChar w:fldCharType="begin"/>
      </w:r>
      <w:r>
        <w:rPr>
          <w:rFonts w:hint="eastAsia" w:ascii="华文楷体" w:hAnsi="华文楷体" w:eastAsia="华文楷体" w:cs="华文楷体"/>
        </w:rPr>
        <w:instrText xml:space="preserve"> PAGEREF _Toc25706 </w:instrText>
      </w:r>
      <w:r>
        <w:rPr>
          <w:rFonts w:hint="eastAsia" w:ascii="华文楷体" w:hAnsi="华文楷体" w:eastAsia="华文楷体" w:cs="华文楷体"/>
        </w:rPr>
        <w:fldChar w:fldCharType="separate"/>
      </w:r>
      <w:r>
        <w:rPr>
          <w:rFonts w:ascii="华文楷体" w:hAnsi="华文楷体" w:eastAsia="华文楷体" w:cs="华文楷体"/>
        </w:rPr>
        <w:t>25</w:t>
      </w:r>
      <w:r>
        <w:rPr>
          <w:rFonts w:hint="eastAsia" w:ascii="华文楷体" w:hAnsi="华文楷体" w:eastAsia="华文楷体" w:cs="华文楷体"/>
        </w:rPr>
        <w:fldChar w:fldCharType="end"/>
      </w:r>
      <w:r>
        <w:rPr>
          <w:rFonts w:hint="eastAsia" w:ascii="华文楷体" w:hAnsi="华文楷体" w:eastAsia="华文楷体" w:cs="华文楷体"/>
        </w:rPr>
        <w:fldChar w:fldCharType="end"/>
      </w:r>
    </w:p>
    <w:p>
      <w:pPr>
        <w:pStyle w:val="15"/>
        <w:tabs>
          <w:tab w:val="right" w:leader="dot" w:pos="8306"/>
          <w:tab w:val="clear" w:pos="9000"/>
        </w:tabs>
        <w:snapToGrid w:val="0"/>
        <w:rPr>
          <w:rFonts w:ascii="华文楷体" w:hAnsi="华文楷体" w:eastAsia="华文楷体" w:cs="华文楷体"/>
          <w:sz w:val="24"/>
        </w:rPr>
      </w:pPr>
      <w:r>
        <w:fldChar w:fldCharType="begin"/>
      </w:r>
      <w:r>
        <w:instrText xml:space="preserve"> HYPERLINK \l "_Toc23933" </w:instrText>
      </w:r>
      <w:r>
        <w:fldChar w:fldCharType="separate"/>
      </w:r>
      <w:r>
        <w:rPr>
          <w:rFonts w:hint="eastAsia" w:ascii="华文楷体" w:hAnsi="华文楷体" w:eastAsia="华文楷体" w:cs="华文楷体"/>
          <w:sz w:val="24"/>
        </w:rPr>
        <w:t>一、专业人才需求与专业建设调研基本思路与方法</w:t>
      </w:r>
      <w:r>
        <w:rPr>
          <w:rFonts w:hint="eastAsia" w:ascii="华文楷体" w:hAnsi="华文楷体" w:eastAsia="华文楷体" w:cs="华文楷体"/>
          <w:sz w:val="24"/>
        </w:rPr>
        <w:tab/>
      </w:r>
      <w:r>
        <w:rPr>
          <w:rFonts w:hint="eastAsia" w:ascii="华文楷体" w:hAnsi="华文楷体" w:eastAsia="华文楷体" w:cs="华文楷体"/>
          <w:sz w:val="24"/>
        </w:rPr>
        <w:fldChar w:fldCharType="begin"/>
      </w:r>
      <w:r>
        <w:rPr>
          <w:rFonts w:hint="eastAsia" w:ascii="华文楷体" w:hAnsi="华文楷体" w:eastAsia="华文楷体" w:cs="华文楷体"/>
          <w:sz w:val="24"/>
        </w:rPr>
        <w:instrText xml:space="preserve"> PAGEREF _Toc23933 </w:instrText>
      </w:r>
      <w:r>
        <w:rPr>
          <w:rFonts w:hint="eastAsia" w:ascii="华文楷体" w:hAnsi="华文楷体" w:eastAsia="华文楷体" w:cs="华文楷体"/>
          <w:sz w:val="24"/>
        </w:rPr>
        <w:fldChar w:fldCharType="separate"/>
      </w:r>
      <w:r>
        <w:rPr>
          <w:rFonts w:ascii="华文楷体" w:hAnsi="华文楷体" w:eastAsia="华文楷体" w:cs="华文楷体"/>
          <w:sz w:val="24"/>
        </w:rPr>
        <w:t>25</w:t>
      </w:r>
      <w:r>
        <w:rPr>
          <w:rFonts w:hint="eastAsia" w:ascii="华文楷体" w:hAnsi="华文楷体" w:eastAsia="华文楷体" w:cs="华文楷体"/>
          <w:sz w:val="24"/>
        </w:rPr>
        <w:fldChar w:fldCharType="end"/>
      </w:r>
      <w:r>
        <w:rPr>
          <w:rFonts w:hint="eastAsia" w:ascii="华文楷体" w:hAnsi="华文楷体" w:eastAsia="华文楷体" w:cs="华文楷体"/>
          <w:sz w:val="24"/>
        </w:rPr>
        <w:fldChar w:fldCharType="end"/>
      </w:r>
    </w:p>
    <w:p>
      <w:pPr>
        <w:pStyle w:val="15"/>
        <w:tabs>
          <w:tab w:val="right" w:leader="dot" w:pos="8306"/>
          <w:tab w:val="clear" w:pos="9000"/>
        </w:tabs>
        <w:snapToGrid w:val="0"/>
        <w:rPr>
          <w:rFonts w:ascii="华文楷体" w:hAnsi="华文楷体" w:eastAsia="华文楷体" w:cs="华文楷体"/>
          <w:sz w:val="24"/>
        </w:rPr>
      </w:pPr>
      <w:r>
        <w:fldChar w:fldCharType="begin"/>
      </w:r>
      <w:r>
        <w:instrText xml:space="preserve"> HYPERLINK \l "_Toc25754" </w:instrText>
      </w:r>
      <w:r>
        <w:fldChar w:fldCharType="separate"/>
      </w:r>
      <w:r>
        <w:rPr>
          <w:rFonts w:hint="eastAsia" w:ascii="华文楷体" w:hAnsi="华文楷体" w:eastAsia="华文楷体" w:cs="华文楷体"/>
          <w:sz w:val="24"/>
        </w:rPr>
        <w:t>二、专业人才需求调研</w:t>
      </w:r>
      <w:r>
        <w:rPr>
          <w:rFonts w:hint="eastAsia" w:ascii="华文楷体" w:hAnsi="华文楷体" w:eastAsia="华文楷体" w:cs="华文楷体"/>
          <w:sz w:val="24"/>
        </w:rPr>
        <w:tab/>
      </w:r>
      <w:r>
        <w:rPr>
          <w:rFonts w:hint="eastAsia" w:ascii="华文楷体" w:hAnsi="华文楷体" w:eastAsia="华文楷体" w:cs="华文楷体"/>
          <w:sz w:val="24"/>
        </w:rPr>
        <w:fldChar w:fldCharType="begin"/>
      </w:r>
      <w:r>
        <w:rPr>
          <w:rFonts w:hint="eastAsia" w:ascii="华文楷体" w:hAnsi="华文楷体" w:eastAsia="华文楷体" w:cs="华文楷体"/>
          <w:sz w:val="24"/>
        </w:rPr>
        <w:instrText xml:space="preserve"> PAGEREF _Toc25754 </w:instrText>
      </w:r>
      <w:r>
        <w:rPr>
          <w:rFonts w:hint="eastAsia" w:ascii="华文楷体" w:hAnsi="华文楷体" w:eastAsia="华文楷体" w:cs="华文楷体"/>
          <w:sz w:val="24"/>
        </w:rPr>
        <w:fldChar w:fldCharType="separate"/>
      </w:r>
      <w:r>
        <w:rPr>
          <w:rFonts w:ascii="华文楷体" w:hAnsi="华文楷体" w:eastAsia="华文楷体" w:cs="华文楷体"/>
          <w:sz w:val="24"/>
        </w:rPr>
        <w:t>26</w:t>
      </w:r>
      <w:r>
        <w:rPr>
          <w:rFonts w:hint="eastAsia" w:ascii="华文楷体" w:hAnsi="华文楷体" w:eastAsia="华文楷体" w:cs="华文楷体"/>
          <w:sz w:val="24"/>
        </w:rPr>
        <w:fldChar w:fldCharType="end"/>
      </w:r>
      <w:r>
        <w:rPr>
          <w:rFonts w:hint="eastAsia" w:ascii="华文楷体" w:hAnsi="华文楷体" w:eastAsia="华文楷体" w:cs="华文楷体"/>
          <w:sz w:val="24"/>
        </w:rPr>
        <w:fldChar w:fldCharType="end"/>
      </w:r>
    </w:p>
    <w:p>
      <w:pPr>
        <w:pStyle w:val="15"/>
        <w:tabs>
          <w:tab w:val="right" w:leader="dot" w:pos="8306"/>
          <w:tab w:val="clear" w:pos="9000"/>
        </w:tabs>
        <w:snapToGrid w:val="0"/>
        <w:rPr>
          <w:rFonts w:ascii="华文楷体" w:hAnsi="华文楷体" w:eastAsia="华文楷体" w:cs="华文楷体"/>
          <w:sz w:val="24"/>
        </w:rPr>
      </w:pPr>
      <w:r>
        <w:fldChar w:fldCharType="begin"/>
      </w:r>
      <w:r>
        <w:instrText xml:space="preserve"> HYPERLINK \l "_Toc8087" </w:instrText>
      </w:r>
      <w:r>
        <w:fldChar w:fldCharType="separate"/>
      </w:r>
      <w:r>
        <w:rPr>
          <w:rFonts w:hint="eastAsia" w:ascii="华文楷体" w:hAnsi="华文楷体" w:eastAsia="华文楷体" w:cs="华文楷体"/>
          <w:sz w:val="24"/>
        </w:rPr>
        <w:t>三、专业现状调研</w:t>
      </w:r>
      <w:r>
        <w:rPr>
          <w:rFonts w:hint="eastAsia" w:ascii="华文楷体" w:hAnsi="华文楷体" w:eastAsia="华文楷体" w:cs="华文楷体"/>
          <w:sz w:val="24"/>
        </w:rPr>
        <w:tab/>
      </w:r>
      <w:r>
        <w:rPr>
          <w:rFonts w:hint="eastAsia" w:ascii="华文楷体" w:hAnsi="华文楷体" w:eastAsia="华文楷体" w:cs="华文楷体"/>
          <w:sz w:val="24"/>
        </w:rPr>
        <w:fldChar w:fldCharType="begin"/>
      </w:r>
      <w:r>
        <w:rPr>
          <w:rFonts w:hint="eastAsia" w:ascii="华文楷体" w:hAnsi="华文楷体" w:eastAsia="华文楷体" w:cs="华文楷体"/>
          <w:sz w:val="24"/>
        </w:rPr>
        <w:instrText xml:space="preserve"> PAGEREF _Toc8087 </w:instrText>
      </w:r>
      <w:r>
        <w:rPr>
          <w:rFonts w:hint="eastAsia" w:ascii="华文楷体" w:hAnsi="华文楷体" w:eastAsia="华文楷体" w:cs="华文楷体"/>
          <w:sz w:val="24"/>
        </w:rPr>
        <w:fldChar w:fldCharType="separate"/>
      </w:r>
      <w:r>
        <w:rPr>
          <w:rFonts w:ascii="华文楷体" w:hAnsi="华文楷体" w:eastAsia="华文楷体" w:cs="华文楷体"/>
          <w:sz w:val="24"/>
        </w:rPr>
        <w:t>30</w:t>
      </w:r>
      <w:r>
        <w:rPr>
          <w:rFonts w:hint="eastAsia" w:ascii="华文楷体" w:hAnsi="华文楷体" w:eastAsia="华文楷体" w:cs="华文楷体"/>
          <w:sz w:val="24"/>
        </w:rPr>
        <w:fldChar w:fldCharType="end"/>
      </w:r>
      <w:r>
        <w:rPr>
          <w:rFonts w:hint="eastAsia" w:ascii="华文楷体" w:hAnsi="华文楷体" w:eastAsia="华文楷体" w:cs="华文楷体"/>
          <w:sz w:val="24"/>
        </w:rPr>
        <w:fldChar w:fldCharType="end"/>
      </w:r>
    </w:p>
    <w:p>
      <w:pPr>
        <w:pStyle w:val="15"/>
        <w:tabs>
          <w:tab w:val="right" w:leader="dot" w:pos="8306"/>
          <w:tab w:val="clear" w:pos="9000"/>
        </w:tabs>
        <w:snapToGrid w:val="0"/>
        <w:rPr>
          <w:rFonts w:ascii="华文楷体" w:hAnsi="华文楷体" w:eastAsia="华文楷体" w:cs="华文楷体"/>
          <w:sz w:val="24"/>
        </w:rPr>
      </w:pPr>
      <w:r>
        <w:fldChar w:fldCharType="begin"/>
      </w:r>
      <w:r>
        <w:instrText xml:space="preserve"> HYPERLINK \l "_Toc4500" </w:instrText>
      </w:r>
      <w:r>
        <w:fldChar w:fldCharType="separate"/>
      </w:r>
      <w:r>
        <w:rPr>
          <w:rFonts w:hint="eastAsia" w:ascii="华文楷体" w:hAnsi="华文楷体" w:eastAsia="华文楷体" w:cs="华文楷体"/>
          <w:sz w:val="24"/>
        </w:rPr>
        <w:t>四、专业就业面向</w:t>
      </w:r>
      <w:r>
        <w:rPr>
          <w:rFonts w:hint="eastAsia" w:ascii="华文楷体" w:hAnsi="华文楷体" w:eastAsia="华文楷体" w:cs="华文楷体"/>
          <w:sz w:val="24"/>
        </w:rPr>
        <w:tab/>
      </w:r>
      <w:r>
        <w:rPr>
          <w:rFonts w:hint="eastAsia" w:ascii="华文楷体" w:hAnsi="华文楷体" w:eastAsia="华文楷体" w:cs="华文楷体"/>
          <w:sz w:val="24"/>
        </w:rPr>
        <w:fldChar w:fldCharType="begin"/>
      </w:r>
      <w:r>
        <w:rPr>
          <w:rFonts w:hint="eastAsia" w:ascii="华文楷体" w:hAnsi="华文楷体" w:eastAsia="华文楷体" w:cs="华文楷体"/>
          <w:sz w:val="24"/>
        </w:rPr>
        <w:instrText xml:space="preserve"> PAGEREF _Toc4500 </w:instrText>
      </w:r>
      <w:r>
        <w:rPr>
          <w:rFonts w:hint="eastAsia" w:ascii="华文楷体" w:hAnsi="华文楷体" w:eastAsia="华文楷体" w:cs="华文楷体"/>
          <w:sz w:val="24"/>
        </w:rPr>
        <w:fldChar w:fldCharType="separate"/>
      </w:r>
      <w:r>
        <w:rPr>
          <w:rFonts w:ascii="华文楷体" w:hAnsi="华文楷体" w:eastAsia="华文楷体" w:cs="华文楷体"/>
          <w:sz w:val="24"/>
        </w:rPr>
        <w:t>34</w:t>
      </w:r>
      <w:r>
        <w:rPr>
          <w:rFonts w:hint="eastAsia" w:ascii="华文楷体" w:hAnsi="华文楷体" w:eastAsia="华文楷体" w:cs="华文楷体"/>
          <w:sz w:val="24"/>
        </w:rPr>
        <w:fldChar w:fldCharType="end"/>
      </w:r>
      <w:r>
        <w:rPr>
          <w:rFonts w:hint="eastAsia" w:ascii="华文楷体" w:hAnsi="华文楷体" w:eastAsia="华文楷体" w:cs="华文楷体"/>
          <w:sz w:val="24"/>
        </w:rPr>
        <w:fldChar w:fldCharType="end"/>
      </w:r>
    </w:p>
    <w:p>
      <w:pPr>
        <w:pStyle w:val="15"/>
        <w:tabs>
          <w:tab w:val="right" w:leader="dot" w:pos="8306"/>
          <w:tab w:val="clear" w:pos="9000"/>
        </w:tabs>
        <w:snapToGrid w:val="0"/>
        <w:rPr>
          <w:rFonts w:ascii="华文楷体" w:hAnsi="华文楷体" w:eastAsia="华文楷体" w:cs="华文楷体"/>
          <w:sz w:val="24"/>
        </w:rPr>
      </w:pPr>
      <w:r>
        <w:fldChar w:fldCharType="begin"/>
      </w:r>
      <w:r>
        <w:instrText xml:space="preserve"> HYPERLINK \l "_Toc22258" </w:instrText>
      </w:r>
      <w:r>
        <w:fldChar w:fldCharType="separate"/>
      </w:r>
      <w:r>
        <w:rPr>
          <w:rFonts w:hint="eastAsia" w:ascii="华文楷体" w:hAnsi="华文楷体" w:eastAsia="华文楷体" w:cs="华文楷体"/>
          <w:sz w:val="24"/>
        </w:rPr>
        <w:t>五、专业教学改革建议</w:t>
      </w:r>
      <w:r>
        <w:rPr>
          <w:rFonts w:hint="eastAsia" w:ascii="华文楷体" w:hAnsi="华文楷体" w:eastAsia="华文楷体" w:cs="华文楷体"/>
          <w:sz w:val="24"/>
        </w:rPr>
        <w:tab/>
      </w:r>
      <w:r>
        <w:rPr>
          <w:rFonts w:hint="eastAsia" w:ascii="华文楷体" w:hAnsi="华文楷体" w:eastAsia="华文楷体" w:cs="华文楷体"/>
          <w:sz w:val="24"/>
        </w:rPr>
        <w:fldChar w:fldCharType="begin"/>
      </w:r>
      <w:r>
        <w:rPr>
          <w:rFonts w:hint="eastAsia" w:ascii="华文楷体" w:hAnsi="华文楷体" w:eastAsia="华文楷体" w:cs="华文楷体"/>
          <w:sz w:val="24"/>
        </w:rPr>
        <w:instrText xml:space="preserve"> PAGEREF _Toc22258 </w:instrText>
      </w:r>
      <w:r>
        <w:rPr>
          <w:rFonts w:hint="eastAsia" w:ascii="华文楷体" w:hAnsi="华文楷体" w:eastAsia="华文楷体" w:cs="华文楷体"/>
          <w:sz w:val="24"/>
        </w:rPr>
        <w:fldChar w:fldCharType="separate"/>
      </w:r>
      <w:r>
        <w:rPr>
          <w:rFonts w:ascii="华文楷体" w:hAnsi="华文楷体" w:eastAsia="华文楷体" w:cs="华文楷体"/>
          <w:sz w:val="24"/>
        </w:rPr>
        <w:t>35</w:t>
      </w:r>
      <w:r>
        <w:rPr>
          <w:rFonts w:hint="eastAsia" w:ascii="华文楷体" w:hAnsi="华文楷体" w:eastAsia="华文楷体" w:cs="华文楷体"/>
          <w:sz w:val="24"/>
        </w:rPr>
        <w:fldChar w:fldCharType="end"/>
      </w:r>
      <w:r>
        <w:rPr>
          <w:rFonts w:hint="eastAsia" w:ascii="华文楷体" w:hAnsi="华文楷体" w:eastAsia="华文楷体" w:cs="华文楷体"/>
          <w:sz w:val="24"/>
        </w:rPr>
        <w:fldChar w:fldCharType="end"/>
      </w:r>
    </w:p>
    <w:p>
      <w:pPr>
        <w:pStyle w:val="13"/>
        <w:tabs>
          <w:tab w:val="right" w:leader="dot" w:pos="8306"/>
          <w:tab w:val="clear" w:pos="9060"/>
        </w:tabs>
        <w:snapToGrid w:val="0"/>
        <w:spacing w:line="240" w:lineRule="auto"/>
        <w:rPr>
          <w:rFonts w:ascii="华文楷体" w:hAnsi="华文楷体" w:eastAsia="华文楷体" w:cs="华文楷体"/>
        </w:rPr>
      </w:pPr>
      <w:r>
        <w:fldChar w:fldCharType="begin"/>
      </w:r>
      <w:r>
        <w:instrText xml:space="preserve"> HYPERLINK \l "_Toc26693" </w:instrText>
      </w:r>
      <w:r>
        <w:fldChar w:fldCharType="separate"/>
      </w:r>
      <w:r>
        <w:rPr>
          <w:rFonts w:hint="eastAsia" w:ascii="华文楷体" w:hAnsi="华文楷体" w:eastAsia="华文楷体" w:cs="华文楷体"/>
        </w:rPr>
        <w:t>第三部分应用化工技术专业职业岗位与工作任务分析报告</w:t>
      </w:r>
      <w:r>
        <w:rPr>
          <w:rFonts w:hint="eastAsia" w:ascii="华文楷体" w:hAnsi="华文楷体" w:eastAsia="华文楷体" w:cs="华文楷体"/>
        </w:rPr>
        <w:tab/>
      </w:r>
      <w:r>
        <w:rPr>
          <w:rFonts w:hint="eastAsia" w:ascii="华文楷体" w:hAnsi="华文楷体" w:eastAsia="华文楷体" w:cs="华文楷体"/>
        </w:rPr>
        <w:fldChar w:fldCharType="begin"/>
      </w:r>
      <w:r>
        <w:rPr>
          <w:rFonts w:hint="eastAsia" w:ascii="华文楷体" w:hAnsi="华文楷体" w:eastAsia="华文楷体" w:cs="华文楷体"/>
        </w:rPr>
        <w:instrText xml:space="preserve"> PAGEREF _Toc26693 </w:instrText>
      </w:r>
      <w:r>
        <w:rPr>
          <w:rFonts w:hint="eastAsia" w:ascii="华文楷体" w:hAnsi="华文楷体" w:eastAsia="华文楷体" w:cs="华文楷体"/>
        </w:rPr>
        <w:fldChar w:fldCharType="separate"/>
      </w:r>
      <w:r>
        <w:rPr>
          <w:rFonts w:ascii="华文楷体" w:hAnsi="华文楷体" w:eastAsia="华文楷体" w:cs="华文楷体"/>
        </w:rPr>
        <w:t>41</w:t>
      </w:r>
      <w:r>
        <w:rPr>
          <w:rFonts w:hint="eastAsia" w:ascii="华文楷体" w:hAnsi="华文楷体" w:eastAsia="华文楷体" w:cs="华文楷体"/>
        </w:rPr>
        <w:fldChar w:fldCharType="end"/>
      </w:r>
      <w:r>
        <w:rPr>
          <w:rFonts w:hint="eastAsia" w:ascii="华文楷体" w:hAnsi="华文楷体" w:eastAsia="华文楷体" w:cs="华文楷体"/>
        </w:rPr>
        <w:fldChar w:fldCharType="end"/>
      </w:r>
    </w:p>
    <w:p>
      <w:pPr>
        <w:pStyle w:val="15"/>
        <w:tabs>
          <w:tab w:val="right" w:leader="dot" w:pos="8306"/>
          <w:tab w:val="clear" w:pos="9000"/>
        </w:tabs>
        <w:snapToGrid w:val="0"/>
        <w:rPr>
          <w:rFonts w:ascii="华文楷体" w:hAnsi="华文楷体" w:eastAsia="华文楷体" w:cs="华文楷体"/>
          <w:sz w:val="24"/>
        </w:rPr>
      </w:pPr>
      <w:r>
        <w:fldChar w:fldCharType="begin"/>
      </w:r>
      <w:r>
        <w:instrText xml:space="preserve"> HYPERLINK \l "_Toc6179" </w:instrText>
      </w:r>
      <w:r>
        <w:fldChar w:fldCharType="separate"/>
      </w:r>
      <w:r>
        <w:rPr>
          <w:rFonts w:hint="eastAsia" w:ascii="华文楷体" w:hAnsi="华文楷体" w:eastAsia="华文楷体" w:cs="华文楷体"/>
          <w:sz w:val="24"/>
        </w:rPr>
        <w:t>一、就业岗位</w:t>
      </w:r>
      <w:r>
        <w:rPr>
          <w:rFonts w:hint="eastAsia" w:ascii="华文楷体" w:hAnsi="华文楷体" w:eastAsia="华文楷体" w:cs="华文楷体"/>
          <w:sz w:val="24"/>
        </w:rPr>
        <w:tab/>
      </w:r>
      <w:r>
        <w:rPr>
          <w:rFonts w:hint="eastAsia" w:ascii="华文楷体" w:hAnsi="华文楷体" w:eastAsia="华文楷体" w:cs="华文楷体"/>
          <w:sz w:val="24"/>
        </w:rPr>
        <w:fldChar w:fldCharType="begin"/>
      </w:r>
      <w:r>
        <w:rPr>
          <w:rFonts w:hint="eastAsia" w:ascii="华文楷体" w:hAnsi="华文楷体" w:eastAsia="华文楷体" w:cs="华文楷体"/>
          <w:sz w:val="24"/>
        </w:rPr>
        <w:instrText xml:space="preserve"> PAGEREF _Toc6179 </w:instrText>
      </w:r>
      <w:r>
        <w:rPr>
          <w:rFonts w:hint="eastAsia" w:ascii="华文楷体" w:hAnsi="华文楷体" w:eastAsia="华文楷体" w:cs="华文楷体"/>
          <w:sz w:val="24"/>
        </w:rPr>
        <w:fldChar w:fldCharType="separate"/>
      </w:r>
      <w:r>
        <w:rPr>
          <w:rFonts w:ascii="华文楷体" w:hAnsi="华文楷体" w:eastAsia="华文楷体" w:cs="华文楷体"/>
          <w:sz w:val="24"/>
        </w:rPr>
        <w:t>41</w:t>
      </w:r>
      <w:r>
        <w:rPr>
          <w:rFonts w:hint="eastAsia" w:ascii="华文楷体" w:hAnsi="华文楷体" w:eastAsia="华文楷体" w:cs="华文楷体"/>
          <w:sz w:val="24"/>
        </w:rPr>
        <w:fldChar w:fldCharType="end"/>
      </w:r>
      <w:r>
        <w:rPr>
          <w:rFonts w:hint="eastAsia" w:ascii="华文楷体" w:hAnsi="华文楷体" w:eastAsia="华文楷体" w:cs="华文楷体"/>
          <w:sz w:val="24"/>
        </w:rPr>
        <w:fldChar w:fldCharType="end"/>
      </w:r>
    </w:p>
    <w:p>
      <w:pPr>
        <w:pStyle w:val="15"/>
        <w:tabs>
          <w:tab w:val="right" w:leader="dot" w:pos="8306"/>
          <w:tab w:val="clear" w:pos="9000"/>
        </w:tabs>
        <w:snapToGrid w:val="0"/>
        <w:rPr>
          <w:rFonts w:ascii="华文楷体" w:hAnsi="华文楷体" w:eastAsia="华文楷体" w:cs="华文楷体"/>
          <w:sz w:val="24"/>
        </w:rPr>
      </w:pPr>
      <w:r>
        <w:fldChar w:fldCharType="begin"/>
      </w:r>
      <w:r>
        <w:instrText xml:space="preserve"> HYPERLINK \l "_Toc25555" </w:instrText>
      </w:r>
      <w:r>
        <w:fldChar w:fldCharType="separate"/>
      </w:r>
      <w:r>
        <w:rPr>
          <w:rFonts w:hint="eastAsia" w:ascii="华文楷体" w:hAnsi="华文楷体" w:eastAsia="华文楷体" w:cs="华文楷体"/>
          <w:sz w:val="24"/>
        </w:rPr>
        <w:t>二、职业岗位分析</w:t>
      </w:r>
      <w:r>
        <w:rPr>
          <w:rFonts w:hint="eastAsia" w:ascii="华文楷体" w:hAnsi="华文楷体" w:eastAsia="华文楷体" w:cs="华文楷体"/>
          <w:sz w:val="24"/>
        </w:rPr>
        <w:tab/>
      </w:r>
      <w:r>
        <w:rPr>
          <w:rFonts w:hint="eastAsia" w:ascii="华文楷体" w:hAnsi="华文楷体" w:eastAsia="华文楷体" w:cs="华文楷体"/>
          <w:sz w:val="24"/>
        </w:rPr>
        <w:fldChar w:fldCharType="begin"/>
      </w:r>
      <w:r>
        <w:rPr>
          <w:rFonts w:hint="eastAsia" w:ascii="华文楷体" w:hAnsi="华文楷体" w:eastAsia="华文楷体" w:cs="华文楷体"/>
          <w:sz w:val="24"/>
        </w:rPr>
        <w:instrText xml:space="preserve"> PAGEREF _Toc25555 </w:instrText>
      </w:r>
      <w:r>
        <w:rPr>
          <w:rFonts w:hint="eastAsia" w:ascii="华文楷体" w:hAnsi="华文楷体" w:eastAsia="华文楷体" w:cs="华文楷体"/>
          <w:sz w:val="24"/>
        </w:rPr>
        <w:fldChar w:fldCharType="separate"/>
      </w:r>
      <w:r>
        <w:rPr>
          <w:rFonts w:ascii="华文楷体" w:hAnsi="华文楷体" w:eastAsia="华文楷体" w:cs="华文楷体"/>
          <w:sz w:val="24"/>
        </w:rPr>
        <w:t>41</w:t>
      </w:r>
      <w:r>
        <w:rPr>
          <w:rFonts w:hint="eastAsia" w:ascii="华文楷体" w:hAnsi="华文楷体" w:eastAsia="华文楷体" w:cs="华文楷体"/>
          <w:sz w:val="24"/>
        </w:rPr>
        <w:fldChar w:fldCharType="end"/>
      </w:r>
      <w:r>
        <w:rPr>
          <w:rFonts w:hint="eastAsia" w:ascii="华文楷体" w:hAnsi="华文楷体" w:eastAsia="华文楷体" w:cs="华文楷体"/>
          <w:sz w:val="24"/>
        </w:rPr>
        <w:fldChar w:fldCharType="end"/>
      </w:r>
    </w:p>
    <w:p>
      <w:pPr>
        <w:pStyle w:val="15"/>
        <w:tabs>
          <w:tab w:val="right" w:leader="dot" w:pos="8306"/>
          <w:tab w:val="clear" w:pos="9000"/>
        </w:tabs>
        <w:snapToGrid w:val="0"/>
        <w:rPr>
          <w:rFonts w:ascii="华文楷体" w:hAnsi="华文楷体" w:eastAsia="华文楷体" w:cs="华文楷体"/>
          <w:sz w:val="24"/>
        </w:rPr>
      </w:pPr>
      <w:r>
        <w:fldChar w:fldCharType="begin"/>
      </w:r>
      <w:r>
        <w:instrText xml:space="preserve"> HYPERLINK \l "_Toc29538" </w:instrText>
      </w:r>
      <w:r>
        <w:fldChar w:fldCharType="separate"/>
      </w:r>
      <w:r>
        <w:rPr>
          <w:rFonts w:hint="eastAsia" w:ascii="华文楷体" w:hAnsi="华文楷体" w:eastAsia="华文楷体" w:cs="华文楷体"/>
          <w:sz w:val="24"/>
        </w:rPr>
        <w:t>三、课程安排</w:t>
      </w:r>
      <w:r>
        <w:rPr>
          <w:rFonts w:hint="eastAsia" w:ascii="华文楷体" w:hAnsi="华文楷体" w:eastAsia="华文楷体" w:cs="华文楷体"/>
          <w:sz w:val="24"/>
        </w:rPr>
        <w:tab/>
      </w:r>
      <w:r>
        <w:rPr>
          <w:rFonts w:hint="eastAsia" w:ascii="华文楷体" w:hAnsi="华文楷体" w:eastAsia="华文楷体" w:cs="华文楷体"/>
          <w:sz w:val="24"/>
        </w:rPr>
        <w:fldChar w:fldCharType="begin"/>
      </w:r>
      <w:r>
        <w:rPr>
          <w:rFonts w:hint="eastAsia" w:ascii="华文楷体" w:hAnsi="华文楷体" w:eastAsia="华文楷体" w:cs="华文楷体"/>
          <w:sz w:val="24"/>
        </w:rPr>
        <w:instrText xml:space="preserve"> PAGEREF _Toc29538 </w:instrText>
      </w:r>
      <w:r>
        <w:rPr>
          <w:rFonts w:hint="eastAsia" w:ascii="华文楷体" w:hAnsi="华文楷体" w:eastAsia="华文楷体" w:cs="华文楷体"/>
          <w:sz w:val="24"/>
        </w:rPr>
        <w:fldChar w:fldCharType="separate"/>
      </w:r>
      <w:r>
        <w:rPr>
          <w:rFonts w:ascii="华文楷体" w:hAnsi="华文楷体" w:eastAsia="华文楷体" w:cs="华文楷体"/>
          <w:sz w:val="24"/>
        </w:rPr>
        <w:t>44</w:t>
      </w:r>
      <w:r>
        <w:rPr>
          <w:rFonts w:hint="eastAsia" w:ascii="华文楷体" w:hAnsi="华文楷体" w:eastAsia="华文楷体" w:cs="华文楷体"/>
          <w:sz w:val="24"/>
        </w:rPr>
        <w:fldChar w:fldCharType="end"/>
      </w:r>
      <w:r>
        <w:rPr>
          <w:rFonts w:hint="eastAsia" w:ascii="华文楷体" w:hAnsi="华文楷体" w:eastAsia="华文楷体" w:cs="华文楷体"/>
          <w:sz w:val="24"/>
        </w:rPr>
        <w:fldChar w:fldCharType="end"/>
      </w:r>
    </w:p>
    <w:p>
      <w:pPr>
        <w:pStyle w:val="13"/>
        <w:tabs>
          <w:tab w:val="right" w:leader="dot" w:pos="8306"/>
          <w:tab w:val="clear" w:pos="9060"/>
        </w:tabs>
        <w:snapToGrid w:val="0"/>
        <w:spacing w:line="240" w:lineRule="auto"/>
        <w:rPr>
          <w:rFonts w:ascii="华文楷体" w:hAnsi="华文楷体" w:eastAsia="华文楷体" w:cs="华文楷体"/>
        </w:rPr>
      </w:pPr>
      <w:r>
        <w:fldChar w:fldCharType="begin"/>
      </w:r>
      <w:r>
        <w:instrText xml:space="preserve"> HYPERLINK \l "_Toc28877" </w:instrText>
      </w:r>
      <w:r>
        <w:fldChar w:fldCharType="separate"/>
      </w:r>
      <w:r>
        <w:rPr>
          <w:rFonts w:hint="eastAsia" w:ascii="华文楷体" w:hAnsi="华文楷体" w:eastAsia="华文楷体" w:cs="华文楷体"/>
          <w:bCs/>
          <w:kern w:val="44"/>
        </w:rPr>
        <w:t>第四部分 应用化工技术专业核心课程标准</w:t>
      </w:r>
      <w:r>
        <w:rPr>
          <w:rFonts w:hint="eastAsia" w:ascii="华文楷体" w:hAnsi="华文楷体" w:eastAsia="华文楷体" w:cs="华文楷体"/>
        </w:rPr>
        <w:tab/>
      </w:r>
      <w:r>
        <w:rPr>
          <w:rFonts w:hint="eastAsia" w:ascii="华文楷体" w:hAnsi="华文楷体" w:eastAsia="华文楷体" w:cs="华文楷体"/>
        </w:rPr>
        <w:fldChar w:fldCharType="begin"/>
      </w:r>
      <w:r>
        <w:rPr>
          <w:rFonts w:hint="eastAsia" w:ascii="华文楷体" w:hAnsi="华文楷体" w:eastAsia="华文楷体" w:cs="华文楷体"/>
        </w:rPr>
        <w:instrText xml:space="preserve"> PAGEREF _Toc28877 </w:instrText>
      </w:r>
      <w:r>
        <w:rPr>
          <w:rFonts w:hint="eastAsia" w:ascii="华文楷体" w:hAnsi="华文楷体" w:eastAsia="华文楷体" w:cs="华文楷体"/>
        </w:rPr>
        <w:fldChar w:fldCharType="separate"/>
      </w:r>
      <w:r>
        <w:rPr>
          <w:rFonts w:ascii="华文楷体" w:hAnsi="华文楷体" w:eastAsia="华文楷体" w:cs="华文楷体"/>
        </w:rPr>
        <w:t>46</w:t>
      </w:r>
      <w:r>
        <w:rPr>
          <w:rFonts w:hint="eastAsia" w:ascii="华文楷体" w:hAnsi="华文楷体" w:eastAsia="华文楷体" w:cs="华文楷体"/>
        </w:rPr>
        <w:fldChar w:fldCharType="end"/>
      </w:r>
      <w:r>
        <w:rPr>
          <w:rFonts w:hint="eastAsia" w:ascii="华文楷体" w:hAnsi="华文楷体" w:eastAsia="华文楷体" w:cs="华文楷体"/>
        </w:rPr>
        <w:fldChar w:fldCharType="end"/>
      </w:r>
    </w:p>
    <w:p>
      <w:pPr>
        <w:pStyle w:val="15"/>
        <w:tabs>
          <w:tab w:val="right" w:leader="dot" w:pos="8306"/>
          <w:tab w:val="clear" w:pos="9000"/>
        </w:tabs>
        <w:snapToGrid w:val="0"/>
        <w:rPr>
          <w:rFonts w:ascii="华文楷体" w:hAnsi="华文楷体" w:eastAsia="华文楷体" w:cs="华文楷体"/>
          <w:sz w:val="24"/>
        </w:rPr>
      </w:pPr>
      <w:r>
        <w:fldChar w:fldCharType="begin"/>
      </w:r>
      <w:r>
        <w:instrText xml:space="preserve"> HYPERLINK \l "_Toc9200" </w:instrText>
      </w:r>
      <w:r>
        <w:fldChar w:fldCharType="separate"/>
      </w:r>
      <w:r>
        <w:rPr>
          <w:rFonts w:hint="eastAsia" w:ascii="华文楷体" w:hAnsi="华文楷体" w:eastAsia="华文楷体" w:cs="华文楷体"/>
          <w:sz w:val="24"/>
        </w:rPr>
        <w:t>一、《化工单元操作》核心课程标准</w:t>
      </w:r>
      <w:r>
        <w:rPr>
          <w:rFonts w:hint="eastAsia" w:ascii="华文楷体" w:hAnsi="华文楷体" w:eastAsia="华文楷体" w:cs="华文楷体"/>
          <w:sz w:val="24"/>
        </w:rPr>
        <w:tab/>
      </w:r>
      <w:r>
        <w:rPr>
          <w:rFonts w:hint="eastAsia" w:ascii="华文楷体" w:hAnsi="华文楷体" w:eastAsia="华文楷体" w:cs="华文楷体"/>
          <w:sz w:val="24"/>
        </w:rPr>
        <w:fldChar w:fldCharType="begin"/>
      </w:r>
      <w:r>
        <w:rPr>
          <w:rFonts w:hint="eastAsia" w:ascii="华文楷体" w:hAnsi="华文楷体" w:eastAsia="华文楷体" w:cs="华文楷体"/>
          <w:sz w:val="24"/>
        </w:rPr>
        <w:instrText xml:space="preserve"> PAGEREF _Toc9200 </w:instrText>
      </w:r>
      <w:r>
        <w:rPr>
          <w:rFonts w:hint="eastAsia" w:ascii="华文楷体" w:hAnsi="华文楷体" w:eastAsia="华文楷体" w:cs="华文楷体"/>
          <w:sz w:val="24"/>
        </w:rPr>
        <w:fldChar w:fldCharType="separate"/>
      </w:r>
      <w:r>
        <w:rPr>
          <w:rFonts w:ascii="华文楷体" w:hAnsi="华文楷体" w:eastAsia="华文楷体" w:cs="华文楷体"/>
          <w:sz w:val="24"/>
        </w:rPr>
        <w:t>46</w:t>
      </w:r>
      <w:r>
        <w:rPr>
          <w:rFonts w:hint="eastAsia" w:ascii="华文楷体" w:hAnsi="华文楷体" w:eastAsia="华文楷体" w:cs="华文楷体"/>
          <w:sz w:val="24"/>
        </w:rPr>
        <w:fldChar w:fldCharType="end"/>
      </w:r>
      <w:r>
        <w:rPr>
          <w:rFonts w:hint="eastAsia" w:ascii="华文楷体" w:hAnsi="华文楷体" w:eastAsia="华文楷体" w:cs="华文楷体"/>
          <w:sz w:val="24"/>
        </w:rPr>
        <w:fldChar w:fldCharType="end"/>
      </w:r>
    </w:p>
    <w:p>
      <w:pPr>
        <w:pStyle w:val="15"/>
        <w:tabs>
          <w:tab w:val="right" w:leader="dot" w:pos="8306"/>
          <w:tab w:val="clear" w:pos="9000"/>
        </w:tabs>
        <w:snapToGrid w:val="0"/>
        <w:rPr>
          <w:rFonts w:ascii="华文楷体" w:hAnsi="华文楷体" w:eastAsia="华文楷体" w:cs="华文楷体"/>
          <w:sz w:val="24"/>
        </w:rPr>
      </w:pPr>
      <w:r>
        <w:fldChar w:fldCharType="begin"/>
      </w:r>
      <w:r>
        <w:instrText xml:space="preserve"> HYPERLINK \l "_Toc20941" </w:instrText>
      </w:r>
      <w:r>
        <w:fldChar w:fldCharType="separate"/>
      </w:r>
      <w:r>
        <w:rPr>
          <w:rFonts w:hint="eastAsia" w:ascii="华文楷体" w:hAnsi="华文楷体" w:eastAsia="华文楷体" w:cs="华文楷体"/>
          <w:sz w:val="24"/>
        </w:rPr>
        <w:t>二、《无机化工生产技术》核心课程标准</w:t>
      </w:r>
      <w:r>
        <w:rPr>
          <w:rFonts w:hint="eastAsia" w:ascii="华文楷体" w:hAnsi="华文楷体" w:eastAsia="华文楷体" w:cs="华文楷体"/>
          <w:sz w:val="24"/>
        </w:rPr>
        <w:tab/>
      </w:r>
      <w:r>
        <w:rPr>
          <w:rFonts w:hint="eastAsia" w:ascii="华文楷体" w:hAnsi="华文楷体" w:eastAsia="华文楷体" w:cs="华文楷体"/>
          <w:sz w:val="24"/>
        </w:rPr>
        <w:fldChar w:fldCharType="begin"/>
      </w:r>
      <w:r>
        <w:rPr>
          <w:rFonts w:hint="eastAsia" w:ascii="华文楷体" w:hAnsi="华文楷体" w:eastAsia="华文楷体" w:cs="华文楷体"/>
          <w:sz w:val="24"/>
        </w:rPr>
        <w:instrText xml:space="preserve"> PAGEREF _Toc20941 </w:instrText>
      </w:r>
      <w:r>
        <w:rPr>
          <w:rFonts w:hint="eastAsia" w:ascii="华文楷体" w:hAnsi="华文楷体" w:eastAsia="华文楷体" w:cs="华文楷体"/>
          <w:sz w:val="24"/>
        </w:rPr>
        <w:fldChar w:fldCharType="separate"/>
      </w:r>
      <w:r>
        <w:rPr>
          <w:rFonts w:ascii="华文楷体" w:hAnsi="华文楷体" w:eastAsia="华文楷体" w:cs="华文楷体"/>
          <w:sz w:val="24"/>
        </w:rPr>
        <w:t>53</w:t>
      </w:r>
      <w:r>
        <w:rPr>
          <w:rFonts w:hint="eastAsia" w:ascii="华文楷体" w:hAnsi="华文楷体" w:eastAsia="华文楷体" w:cs="华文楷体"/>
          <w:sz w:val="24"/>
        </w:rPr>
        <w:fldChar w:fldCharType="end"/>
      </w:r>
      <w:r>
        <w:rPr>
          <w:rFonts w:hint="eastAsia" w:ascii="华文楷体" w:hAnsi="华文楷体" w:eastAsia="华文楷体" w:cs="华文楷体"/>
          <w:sz w:val="24"/>
        </w:rPr>
        <w:fldChar w:fldCharType="end"/>
      </w:r>
    </w:p>
    <w:p>
      <w:pPr>
        <w:pStyle w:val="15"/>
        <w:tabs>
          <w:tab w:val="right" w:leader="dot" w:pos="8306"/>
          <w:tab w:val="clear" w:pos="9000"/>
        </w:tabs>
        <w:snapToGrid w:val="0"/>
        <w:rPr>
          <w:rFonts w:ascii="华文楷体" w:hAnsi="华文楷体" w:eastAsia="华文楷体" w:cs="华文楷体"/>
          <w:sz w:val="24"/>
        </w:rPr>
      </w:pPr>
      <w:r>
        <w:fldChar w:fldCharType="begin"/>
      </w:r>
      <w:r>
        <w:instrText xml:space="preserve"> HYPERLINK \l "_Toc22039" </w:instrText>
      </w:r>
      <w:r>
        <w:fldChar w:fldCharType="separate"/>
      </w:r>
      <w:r>
        <w:rPr>
          <w:rFonts w:hint="eastAsia" w:ascii="华文楷体" w:hAnsi="华文楷体" w:eastAsia="华文楷体" w:cs="华文楷体"/>
          <w:bCs/>
          <w:sz w:val="24"/>
        </w:rPr>
        <w:t>三、《环境监测与分析》核心课程标准</w:t>
      </w:r>
      <w:r>
        <w:rPr>
          <w:rFonts w:hint="eastAsia" w:ascii="华文楷体" w:hAnsi="华文楷体" w:eastAsia="华文楷体" w:cs="华文楷体"/>
          <w:sz w:val="24"/>
        </w:rPr>
        <w:tab/>
      </w:r>
      <w:r>
        <w:rPr>
          <w:rFonts w:hint="eastAsia" w:ascii="华文楷体" w:hAnsi="华文楷体" w:eastAsia="华文楷体" w:cs="华文楷体"/>
          <w:sz w:val="24"/>
        </w:rPr>
        <w:fldChar w:fldCharType="begin"/>
      </w:r>
      <w:r>
        <w:rPr>
          <w:rFonts w:hint="eastAsia" w:ascii="华文楷体" w:hAnsi="华文楷体" w:eastAsia="华文楷体" w:cs="华文楷体"/>
          <w:sz w:val="24"/>
        </w:rPr>
        <w:instrText xml:space="preserve"> PAGEREF _Toc22039 </w:instrText>
      </w:r>
      <w:r>
        <w:rPr>
          <w:rFonts w:hint="eastAsia" w:ascii="华文楷体" w:hAnsi="华文楷体" w:eastAsia="华文楷体" w:cs="华文楷体"/>
          <w:sz w:val="24"/>
        </w:rPr>
        <w:fldChar w:fldCharType="separate"/>
      </w:r>
      <w:r>
        <w:rPr>
          <w:rFonts w:ascii="华文楷体" w:hAnsi="华文楷体" w:eastAsia="华文楷体" w:cs="华文楷体"/>
          <w:sz w:val="24"/>
        </w:rPr>
        <w:t>59</w:t>
      </w:r>
      <w:r>
        <w:rPr>
          <w:rFonts w:hint="eastAsia" w:ascii="华文楷体" w:hAnsi="华文楷体" w:eastAsia="华文楷体" w:cs="华文楷体"/>
          <w:sz w:val="24"/>
        </w:rPr>
        <w:fldChar w:fldCharType="end"/>
      </w:r>
      <w:r>
        <w:rPr>
          <w:rFonts w:hint="eastAsia" w:ascii="华文楷体" w:hAnsi="华文楷体" w:eastAsia="华文楷体" w:cs="华文楷体"/>
          <w:sz w:val="24"/>
        </w:rPr>
        <w:fldChar w:fldCharType="end"/>
      </w:r>
    </w:p>
    <w:p>
      <w:pPr>
        <w:pStyle w:val="15"/>
        <w:tabs>
          <w:tab w:val="right" w:leader="dot" w:pos="8306"/>
          <w:tab w:val="clear" w:pos="9000"/>
        </w:tabs>
        <w:snapToGrid w:val="0"/>
        <w:rPr>
          <w:rFonts w:ascii="华文楷体" w:hAnsi="华文楷体" w:eastAsia="华文楷体" w:cs="华文楷体"/>
          <w:sz w:val="24"/>
        </w:rPr>
      </w:pPr>
      <w:r>
        <w:fldChar w:fldCharType="begin"/>
      </w:r>
      <w:r>
        <w:instrText xml:space="preserve"> HYPERLINK \l "_Toc13446" </w:instrText>
      </w:r>
      <w:r>
        <w:fldChar w:fldCharType="separate"/>
      </w:r>
      <w:r>
        <w:rPr>
          <w:rFonts w:hint="eastAsia" w:ascii="华文楷体" w:hAnsi="华文楷体" w:eastAsia="华文楷体" w:cs="华文楷体"/>
          <w:sz w:val="24"/>
        </w:rPr>
        <w:t>四、《化工安全技术》核心课程标准</w:t>
      </w:r>
      <w:r>
        <w:rPr>
          <w:rFonts w:hint="eastAsia" w:ascii="华文楷体" w:hAnsi="华文楷体" w:eastAsia="华文楷体" w:cs="华文楷体"/>
          <w:sz w:val="24"/>
        </w:rPr>
        <w:tab/>
      </w:r>
      <w:r>
        <w:rPr>
          <w:rFonts w:hint="eastAsia" w:ascii="华文楷体" w:hAnsi="华文楷体" w:eastAsia="华文楷体" w:cs="华文楷体"/>
          <w:sz w:val="24"/>
        </w:rPr>
        <w:fldChar w:fldCharType="begin"/>
      </w:r>
      <w:r>
        <w:rPr>
          <w:rFonts w:hint="eastAsia" w:ascii="华文楷体" w:hAnsi="华文楷体" w:eastAsia="华文楷体" w:cs="华文楷体"/>
          <w:sz w:val="24"/>
        </w:rPr>
        <w:instrText xml:space="preserve"> PAGEREF _Toc13446 </w:instrText>
      </w:r>
      <w:r>
        <w:rPr>
          <w:rFonts w:hint="eastAsia" w:ascii="华文楷体" w:hAnsi="华文楷体" w:eastAsia="华文楷体" w:cs="华文楷体"/>
          <w:sz w:val="24"/>
        </w:rPr>
        <w:fldChar w:fldCharType="separate"/>
      </w:r>
      <w:r>
        <w:rPr>
          <w:rFonts w:ascii="华文楷体" w:hAnsi="华文楷体" w:eastAsia="华文楷体" w:cs="华文楷体"/>
          <w:sz w:val="24"/>
        </w:rPr>
        <w:t>65</w:t>
      </w:r>
      <w:r>
        <w:rPr>
          <w:rFonts w:hint="eastAsia" w:ascii="华文楷体" w:hAnsi="华文楷体" w:eastAsia="华文楷体" w:cs="华文楷体"/>
          <w:sz w:val="24"/>
        </w:rPr>
        <w:fldChar w:fldCharType="end"/>
      </w:r>
      <w:r>
        <w:rPr>
          <w:rFonts w:hint="eastAsia" w:ascii="华文楷体" w:hAnsi="华文楷体" w:eastAsia="华文楷体" w:cs="华文楷体"/>
          <w:sz w:val="24"/>
        </w:rPr>
        <w:fldChar w:fldCharType="end"/>
      </w:r>
    </w:p>
    <w:p>
      <w:pPr>
        <w:pStyle w:val="15"/>
        <w:tabs>
          <w:tab w:val="right" w:leader="dot" w:pos="8306"/>
          <w:tab w:val="clear" w:pos="9000"/>
        </w:tabs>
        <w:snapToGrid w:val="0"/>
        <w:rPr>
          <w:rFonts w:ascii="华文楷体" w:hAnsi="华文楷体" w:eastAsia="华文楷体" w:cs="华文楷体"/>
          <w:sz w:val="24"/>
        </w:rPr>
      </w:pPr>
      <w:r>
        <w:fldChar w:fldCharType="begin"/>
      </w:r>
      <w:r>
        <w:instrText xml:space="preserve"> HYPERLINK \l "_Toc22654" </w:instrText>
      </w:r>
      <w:r>
        <w:fldChar w:fldCharType="separate"/>
      </w:r>
      <w:r>
        <w:rPr>
          <w:rFonts w:hint="eastAsia" w:ascii="华文楷体" w:hAnsi="华文楷体" w:eastAsia="华文楷体" w:cs="华文楷体"/>
          <w:sz w:val="24"/>
        </w:rPr>
        <w:t>五、《化工设备基础》核心课程标准</w:t>
      </w:r>
      <w:r>
        <w:rPr>
          <w:rFonts w:hint="eastAsia" w:ascii="华文楷体" w:hAnsi="华文楷体" w:eastAsia="华文楷体" w:cs="华文楷体"/>
          <w:sz w:val="24"/>
        </w:rPr>
        <w:tab/>
      </w:r>
      <w:r>
        <w:rPr>
          <w:rFonts w:hint="eastAsia" w:ascii="华文楷体" w:hAnsi="华文楷体" w:eastAsia="华文楷体" w:cs="华文楷体"/>
          <w:sz w:val="24"/>
        </w:rPr>
        <w:fldChar w:fldCharType="begin"/>
      </w:r>
      <w:r>
        <w:rPr>
          <w:rFonts w:hint="eastAsia" w:ascii="华文楷体" w:hAnsi="华文楷体" w:eastAsia="华文楷体" w:cs="华文楷体"/>
          <w:sz w:val="24"/>
        </w:rPr>
        <w:instrText xml:space="preserve"> PAGEREF _Toc22654 </w:instrText>
      </w:r>
      <w:r>
        <w:rPr>
          <w:rFonts w:hint="eastAsia" w:ascii="华文楷体" w:hAnsi="华文楷体" w:eastAsia="华文楷体" w:cs="华文楷体"/>
          <w:sz w:val="24"/>
        </w:rPr>
        <w:fldChar w:fldCharType="separate"/>
      </w:r>
      <w:r>
        <w:rPr>
          <w:rFonts w:ascii="华文楷体" w:hAnsi="华文楷体" w:eastAsia="华文楷体" w:cs="华文楷体"/>
          <w:sz w:val="24"/>
        </w:rPr>
        <w:t>71</w:t>
      </w:r>
      <w:r>
        <w:rPr>
          <w:rFonts w:hint="eastAsia" w:ascii="华文楷体" w:hAnsi="华文楷体" w:eastAsia="华文楷体" w:cs="华文楷体"/>
          <w:sz w:val="24"/>
        </w:rPr>
        <w:fldChar w:fldCharType="end"/>
      </w:r>
      <w:r>
        <w:rPr>
          <w:rFonts w:hint="eastAsia" w:ascii="华文楷体" w:hAnsi="华文楷体" w:eastAsia="华文楷体" w:cs="华文楷体"/>
          <w:sz w:val="24"/>
        </w:rPr>
        <w:fldChar w:fldCharType="end"/>
      </w:r>
    </w:p>
    <w:p>
      <w:pPr>
        <w:pStyle w:val="15"/>
        <w:tabs>
          <w:tab w:val="right" w:leader="dot" w:pos="8306"/>
          <w:tab w:val="clear" w:pos="9000"/>
        </w:tabs>
        <w:snapToGrid w:val="0"/>
        <w:rPr>
          <w:rFonts w:ascii="华文楷体" w:hAnsi="华文楷体" w:eastAsia="华文楷体" w:cs="华文楷体"/>
          <w:sz w:val="24"/>
        </w:rPr>
      </w:pPr>
      <w:r>
        <w:fldChar w:fldCharType="begin"/>
      </w:r>
      <w:r>
        <w:instrText xml:space="preserve"> HYPERLINK \l "_Toc27450" </w:instrText>
      </w:r>
      <w:r>
        <w:fldChar w:fldCharType="separate"/>
      </w:r>
      <w:r>
        <w:rPr>
          <w:rFonts w:hint="eastAsia" w:ascii="华文楷体" w:hAnsi="华文楷体" w:eastAsia="华文楷体" w:cs="华文楷体"/>
          <w:sz w:val="24"/>
        </w:rPr>
        <w:t>六、《现代煤化工技术》核心课程标准</w:t>
      </w:r>
      <w:r>
        <w:rPr>
          <w:rFonts w:hint="eastAsia" w:ascii="华文楷体" w:hAnsi="华文楷体" w:eastAsia="华文楷体" w:cs="华文楷体"/>
          <w:sz w:val="24"/>
        </w:rPr>
        <w:tab/>
      </w:r>
      <w:r>
        <w:rPr>
          <w:rFonts w:hint="eastAsia" w:ascii="华文楷体" w:hAnsi="华文楷体" w:eastAsia="华文楷体" w:cs="华文楷体"/>
          <w:sz w:val="24"/>
        </w:rPr>
        <w:fldChar w:fldCharType="begin"/>
      </w:r>
      <w:r>
        <w:rPr>
          <w:rFonts w:hint="eastAsia" w:ascii="华文楷体" w:hAnsi="华文楷体" w:eastAsia="华文楷体" w:cs="华文楷体"/>
          <w:sz w:val="24"/>
        </w:rPr>
        <w:instrText xml:space="preserve"> PAGEREF _Toc27450 </w:instrText>
      </w:r>
      <w:r>
        <w:rPr>
          <w:rFonts w:hint="eastAsia" w:ascii="华文楷体" w:hAnsi="华文楷体" w:eastAsia="华文楷体" w:cs="华文楷体"/>
          <w:sz w:val="24"/>
        </w:rPr>
        <w:fldChar w:fldCharType="separate"/>
      </w:r>
      <w:r>
        <w:rPr>
          <w:rFonts w:ascii="华文楷体" w:hAnsi="华文楷体" w:eastAsia="华文楷体" w:cs="华文楷体"/>
          <w:sz w:val="24"/>
        </w:rPr>
        <w:t>79</w:t>
      </w:r>
      <w:r>
        <w:rPr>
          <w:rFonts w:hint="eastAsia" w:ascii="华文楷体" w:hAnsi="华文楷体" w:eastAsia="华文楷体" w:cs="华文楷体"/>
          <w:sz w:val="24"/>
        </w:rPr>
        <w:fldChar w:fldCharType="end"/>
      </w:r>
      <w:r>
        <w:rPr>
          <w:rFonts w:hint="eastAsia" w:ascii="华文楷体" w:hAnsi="华文楷体" w:eastAsia="华文楷体" w:cs="华文楷体"/>
          <w:sz w:val="24"/>
        </w:rPr>
        <w:fldChar w:fldCharType="end"/>
      </w:r>
    </w:p>
    <w:p>
      <w:pPr>
        <w:pStyle w:val="13"/>
        <w:tabs>
          <w:tab w:val="right" w:leader="dot" w:pos="8306"/>
          <w:tab w:val="clear" w:pos="9060"/>
        </w:tabs>
        <w:snapToGrid w:val="0"/>
        <w:spacing w:line="240" w:lineRule="auto"/>
        <w:rPr>
          <w:rFonts w:ascii="华文楷体" w:hAnsi="华文楷体" w:eastAsia="华文楷体" w:cs="华文楷体"/>
        </w:rPr>
      </w:pPr>
      <w:r>
        <w:fldChar w:fldCharType="begin"/>
      </w:r>
      <w:r>
        <w:instrText xml:space="preserve"> HYPERLINK \l "_Toc16845" </w:instrText>
      </w:r>
      <w:r>
        <w:fldChar w:fldCharType="separate"/>
      </w:r>
      <w:r>
        <w:rPr>
          <w:rFonts w:hint="eastAsia" w:ascii="华文楷体" w:hAnsi="华文楷体" w:eastAsia="华文楷体" w:cs="华文楷体"/>
        </w:rPr>
        <w:t>第五部分 应用化工技术专业教学实施保障方案</w:t>
      </w:r>
      <w:r>
        <w:rPr>
          <w:rFonts w:hint="eastAsia" w:ascii="华文楷体" w:hAnsi="华文楷体" w:eastAsia="华文楷体" w:cs="华文楷体"/>
        </w:rPr>
        <w:tab/>
      </w:r>
      <w:r>
        <w:rPr>
          <w:rFonts w:hint="eastAsia" w:ascii="华文楷体" w:hAnsi="华文楷体" w:eastAsia="华文楷体" w:cs="华文楷体"/>
        </w:rPr>
        <w:fldChar w:fldCharType="begin"/>
      </w:r>
      <w:r>
        <w:rPr>
          <w:rFonts w:hint="eastAsia" w:ascii="华文楷体" w:hAnsi="华文楷体" w:eastAsia="华文楷体" w:cs="华文楷体"/>
        </w:rPr>
        <w:instrText xml:space="preserve"> PAGEREF _Toc16845 </w:instrText>
      </w:r>
      <w:r>
        <w:rPr>
          <w:rFonts w:hint="eastAsia" w:ascii="华文楷体" w:hAnsi="华文楷体" w:eastAsia="华文楷体" w:cs="华文楷体"/>
        </w:rPr>
        <w:fldChar w:fldCharType="separate"/>
      </w:r>
      <w:r>
        <w:rPr>
          <w:rFonts w:ascii="华文楷体" w:hAnsi="华文楷体" w:eastAsia="华文楷体" w:cs="华文楷体"/>
        </w:rPr>
        <w:t>84</w:t>
      </w:r>
      <w:r>
        <w:rPr>
          <w:rFonts w:hint="eastAsia" w:ascii="华文楷体" w:hAnsi="华文楷体" w:eastAsia="华文楷体" w:cs="华文楷体"/>
        </w:rPr>
        <w:fldChar w:fldCharType="end"/>
      </w:r>
      <w:r>
        <w:rPr>
          <w:rFonts w:hint="eastAsia" w:ascii="华文楷体" w:hAnsi="华文楷体" w:eastAsia="华文楷体" w:cs="华文楷体"/>
        </w:rPr>
        <w:fldChar w:fldCharType="end"/>
      </w:r>
    </w:p>
    <w:p>
      <w:pPr>
        <w:pStyle w:val="15"/>
        <w:tabs>
          <w:tab w:val="right" w:leader="dot" w:pos="8306"/>
          <w:tab w:val="clear" w:pos="9000"/>
        </w:tabs>
        <w:snapToGrid w:val="0"/>
        <w:rPr>
          <w:rFonts w:ascii="华文楷体" w:hAnsi="华文楷体" w:eastAsia="华文楷体" w:cs="华文楷体"/>
          <w:sz w:val="24"/>
        </w:rPr>
      </w:pPr>
      <w:r>
        <w:fldChar w:fldCharType="begin"/>
      </w:r>
      <w:r>
        <w:instrText xml:space="preserve"> HYPERLINK \l "_Toc26473" </w:instrText>
      </w:r>
      <w:r>
        <w:fldChar w:fldCharType="separate"/>
      </w:r>
      <w:r>
        <w:rPr>
          <w:rFonts w:hint="eastAsia" w:ascii="华文楷体" w:hAnsi="华文楷体" w:eastAsia="华文楷体" w:cs="华文楷体"/>
          <w:sz w:val="24"/>
        </w:rPr>
        <w:t>一、人才培养方案的实施与保障</w:t>
      </w:r>
      <w:r>
        <w:rPr>
          <w:rFonts w:hint="eastAsia" w:ascii="华文楷体" w:hAnsi="华文楷体" w:eastAsia="华文楷体" w:cs="华文楷体"/>
          <w:sz w:val="24"/>
        </w:rPr>
        <w:tab/>
      </w:r>
      <w:r>
        <w:rPr>
          <w:rFonts w:hint="eastAsia" w:ascii="华文楷体" w:hAnsi="华文楷体" w:eastAsia="华文楷体" w:cs="华文楷体"/>
          <w:sz w:val="24"/>
        </w:rPr>
        <w:fldChar w:fldCharType="begin"/>
      </w:r>
      <w:r>
        <w:rPr>
          <w:rFonts w:hint="eastAsia" w:ascii="华文楷体" w:hAnsi="华文楷体" w:eastAsia="华文楷体" w:cs="华文楷体"/>
          <w:sz w:val="24"/>
        </w:rPr>
        <w:instrText xml:space="preserve"> PAGEREF _Toc26473 </w:instrText>
      </w:r>
      <w:r>
        <w:rPr>
          <w:rFonts w:hint="eastAsia" w:ascii="华文楷体" w:hAnsi="华文楷体" w:eastAsia="华文楷体" w:cs="华文楷体"/>
          <w:sz w:val="24"/>
        </w:rPr>
        <w:fldChar w:fldCharType="separate"/>
      </w:r>
      <w:r>
        <w:rPr>
          <w:rFonts w:ascii="华文楷体" w:hAnsi="华文楷体" w:eastAsia="华文楷体" w:cs="华文楷体"/>
          <w:sz w:val="24"/>
        </w:rPr>
        <w:t>84</w:t>
      </w:r>
      <w:r>
        <w:rPr>
          <w:rFonts w:hint="eastAsia" w:ascii="华文楷体" w:hAnsi="华文楷体" w:eastAsia="华文楷体" w:cs="华文楷体"/>
          <w:sz w:val="24"/>
        </w:rPr>
        <w:fldChar w:fldCharType="end"/>
      </w:r>
      <w:r>
        <w:rPr>
          <w:rFonts w:hint="eastAsia" w:ascii="华文楷体" w:hAnsi="华文楷体" w:eastAsia="华文楷体" w:cs="华文楷体"/>
          <w:sz w:val="24"/>
        </w:rPr>
        <w:fldChar w:fldCharType="end"/>
      </w:r>
    </w:p>
    <w:p>
      <w:pPr>
        <w:pStyle w:val="15"/>
        <w:tabs>
          <w:tab w:val="right" w:leader="dot" w:pos="8306"/>
          <w:tab w:val="clear" w:pos="9000"/>
        </w:tabs>
        <w:snapToGrid w:val="0"/>
        <w:rPr>
          <w:rFonts w:ascii="华文楷体" w:hAnsi="华文楷体" w:eastAsia="华文楷体" w:cs="华文楷体"/>
          <w:sz w:val="24"/>
        </w:rPr>
      </w:pPr>
      <w:r>
        <w:fldChar w:fldCharType="begin"/>
      </w:r>
      <w:r>
        <w:instrText xml:space="preserve"> HYPERLINK \l "_Toc21895" </w:instrText>
      </w:r>
      <w:r>
        <w:fldChar w:fldCharType="separate"/>
      </w:r>
      <w:r>
        <w:rPr>
          <w:rFonts w:hint="eastAsia" w:ascii="华文楷体" w:hAnsi="华文楷体" w:eastAsia="华文楷体" w:cs="华文楷体"/>
          <w:sz w:val="24"/>
        </w:rPr>
        <w:t>二、双师教学团队建设的保障</w:t>
      </w:r>
      <w:r>
        <w:rPr>
          <w:rFonts w:hint="eastAsia" w:ascii="华文楷体" w:hAnsi="华文楷体" w:eastAsia="华文楷体" w:cs="华文楷体"/>
          <w:sz w:val="24"/>
        </w:rPr>
        <w:tab/>
      </w:r>
      <w:r>
        <w:rPr>
          <w:rFonts w:hint="eastAsia" w:ascii="华文楷体" w:hAnsi="华文楷体" w:eastAsia="华文楷体" w:cs="华文楷体"/>
          <w:sz w:val="24"/>
        </w:rPr>
        <w:fldChar w:fldCharType="begin"/>
      </w:r>
      <w:r>
        <w:rPr>
          <w:rFonts w:hint="eastAsia" w:ascii="华文楷体" w:hAnsi="华文楷体" w:eastAsia="华文楷体" w:cs="华文楷体"/>
          <w:sz w:val="24"/>
        </w:rPr>
        <w:instrText xml:space="preserve"> PAGEREF _Toc21895 </w:instrText>
      </w:r>
      <w:r>
        <w:rPr>
          <w:rFonts w:hint="eastAsia" w:ascii="华文楷体" w:hAnsi="华文楷体" w:eastAsia="华文楷体" w:cs="华文楷体"/>
          <w:sz w:val="24"/>
        </w:rPr>
        <w:fldChar w:fldCharType="separate"/>
      </w:r>
      <w:r>
        <w:rPr>
          <w:rFonts w:ascii="华文楷体" w:hAnsi="华文楷体" w:eastAsia="华文楷体" w:cs="华文楷体"/>
          <w:sz w:val="24"/>
        </w:rPr>
        <w:t>87</w:t>
      </w:r>
      <w:r>
        <w:rPr>
          <w:rFonts w:hint="eastAsia" w:ascii="华文楷体" w:hAnsi="华文楷体" w:eastAsia="华文楷体" w:cs="华文楷体"/>
          <w:sz w:val="24"/>
        </w:rPr>
        <w:fldChar w:fldCharType="end"/>
      </w:r>
      <w:r>
        <w:rPr>
          <w:rFonts w:hint="eastAsia" w:ascii="华文楷体" w:hAnsi="华文楷体" w:eastAsia="华文楷体" w:cs="华文楷体"/>
          <w:sz w:val="24"/>
        </w:rPr>
        <w:fldChar w:fldCharType="end"/>
      </w:r>
    </w:p>
    <w:p>
      <w:pPr>
        <w:pStyle w:val="15"/>
        <w:tabs>
          <w:tab w:val="right" w:leader="dot" w:pos="8306"/>
          <w:tab w:val="clear" w:pos="9000"/>
        </w:tabs>
        <w:snapToGrid w:val="0"/>
        <w:rPr>
          <w:rFonts w:ascii="华文楷体" w:hAnsi="华文楷体" w:eastAsia="华文楷体" w:cs="华文楷体"/>
          <w:sz w:val="24"/>
        </w:rPr>
      </w:pPr>
      <w:r>
        <w:fldChar w:fldCharType="begin"/>
      </w:r>
      <w:r>
        <w:instrText xml:space="preserve"> HYPERLINK \l "_Toc16119" </w:instrText>
      </w:r>
      <w:r>
        <w:fldChar w:fldCharType="separate"/>
      </w:r>
      <w:r>
        <w:rPr>
          <w:rFonts w:hint="eastAsia" w:ascii="华文楷体" w:hAnsi="华文楷体" w:eastAsia="华文楷体" w:cs="华文楷体"/>
          <w:sz w:val="24"/>
        </w:rPr>
        <w:t>三、校企合作，共建校内外实习实训基地措施</w:t>
      </w:r>
      <w:r>
        <w:rPr>
          <w:rFonts w:hint="eastAsia" w:ascii="华文楷体" w:hAnsi="华文楷体" w:eastAsia="华文楷体" w:cs="华文楷体"/>
          <w:sz w:val="24"/>
        </w:rPr>
        <w:tab/>
      </w:r>
      <w:r>
        <w:rPr>
          <w:rFonts w:hint="eastAsia" w:ascii="华文楷体" w:hAnsi="华文楷体" w:eastAsia="华文楷体" w:cs="华文楷体"/>
          <w:sz w:val="24"/>
        </w:rPr>
        <w:fldChar w:fldCharType="begin"/>
      </w:r>
      <w:r>
        <w:rPr>
          <w:rFonts w:hint="eastAsia" w:ascii="华文楷体" w:hAnsi="华文楷体" w:eastAsia="华文楷体" w:cs="华文楷体"/>
          <w:sz w:val="24"/>
        </w:rPr>
        <w:instrText xml:space="preserve"> PAGEREF _Toc16119 </w:instrText>
      </w:r>
      <w:r>
        <w:rPr>
          <w:rFonts w:hint="eastAsia" w:ascii="华文楷体" w:hAnsi="华文楷体" w:eastAsia="华文楷体" w:cs="华文楷体"/>
          <w:sz w:val="24"/>
        </w:rPr>
        <w:fldChar w:fldCharType="separate"/>
      </w:r>
      <w:r>
        <w:rPr>
          <w:rFonts w:ascii="华文楷体" w:hAnsi="华文楷体" w:eastAsia="华文楷体" w:cs="华文楷体"/>
          <w:sz w:val="24"/>
        </w:rPr>
        <w:t>92</w:t>
      </w:r>
      <w:r>
        <w:rPr>
          <w:rFonts w:hint="eastAsia" w:ascii="华文楷体" w:hAnsi="华文楷体" w:eastAsia="华文楷体" w:cs="华文楷体"/>
          <w:sz w:val="24"/>
        </w:rPr>
        <w:fldChar w:fldCharType="end"/>
      </w:r>
      <w:r>
        <w:rPr>
          <w:rFonts w:hint="eastAsia" w:ascii="华文楷体" w:hAnsi="华文楷体" w:eastAsia="华文楷体" w:cs="华文楷体"/>
          <w:sz w:val="24"/>
        </w:rPr>
        <w:fldChar w:fldCharType="end"/>
      </w:r>
    </w:p>
    <w:p>
      <w:pPr>
        <w:pStyle w:val="15"/>
        <w:tabs>
          <w:tab w:val="right" w:leader="dot" w:pos="8306"/>
          <w:tab w:val="clear" w:pos="9000"/>
        </w:tabs>
        <w:snapToGrid w:val="0"/>
        <w:rPr>
          <w:rFonts w:ascii="华文楷体" w:hAnsi="华文楷体" w:eastAsia="华文楷体" w:cs="华文楷体"/>
          <w:sz w:val="24"/>
        </w:rPr>
      </w:pPr>
      <w:r>
        <w:fldChar w:fldCharType="begin"/>
      </w:r>
      <w:r>
        <w:instrText xml:space="preserve"> HYPERLINK \l "_Toc570" </w:instrText>
      </w:r>
      <w:r>
        <w:fldChar w:fldCharType="separate"/>
      </w:r>
      <w:r>
        <w:rPr>
          <w:rFonts w:hint="eastAsia" w:ascii="华文楷体" w:hAnsi="华文楷体" w:eastAsia="华文楷体" w:cs="华文楷体"/>
          <w:sz w:val="24"/>
        </w:rPr>
        <w:t>四、教学监督与评价机制保障</w:t>
      </w:r>
      <w:r>
        <w:rPr>
          <w:rFonts w:hint="eastAsia" w:ascii="华文楷体" w:hAnsi="华文楷体" w:eastAsia="华文楷体" w:cs="华文楷体"/>
          <w:sz w:val="24"/>
        </w:rPr>
        <w:tab/>
      </w:r>
      <w:r>
        <w:rPr>
          <w:rFonts w:hint="eastAsia" w:ascii="华文楷体" w:hAnsi="华文楷体" w:eastAsia="华文楷体" w:cs="华文楷体"/>
          <w:sz w:val="24"/>
        </w:rPr>
        <w:fldChar w:fldCharType="begin"/>
      </w:r>
      <w:r>
        <w:rPr>
          <w:rFonts w:hint="eastAsia" w:ascii="华文楷体" w:hAnsi="华文楷体" w:eastAsia="华文楷体" w:cs="华文楷体"/>
          <w:sz w:val="24"/>
        </w:rPr>
        <w:instrText xml:space="preserve"> PAGEREF _Toc570 </w:instrText>
      </w:r>
      <w:r>
        <w:rPr>
          <w:rFonts w:hint="eastAsia" w:ascii="华文楷体" w:hAnsi="华文楷体" w:eastAsia="华文楷体" w:cs="华文楷体"/>
          <w:sz w:val="24"/>
        </w:rPr>
        <w:fldChar w:fldCharType="separate"/>
      </w:r>
      <w:r>
        <w:rPr>
          <w:rFonts w:ascii="华文楷体" w:hAnsi="华文楷体" w:eastAsia="华文楷体" w:cs="华文楷体"/>
          <w:sz w:val="24"/>
        </w:rPr>
        <w:t>94</w:t>
      </w:r>
      <w:r>
        <w:rPr>
          <w:rFonts w:hint="eastAsia" w:ascii="华文楷体" w:hAnsi="华文楷体" w:eastAsia="华文楷体" w:cs="华文楷体"/>
          <w:sz w:val="24"/>
        </w:rPr>
        <w:fldChar w:fldCharType="end"/>
      </w:r>
      <w:r>
        <w:rPr>
          <w:rFonts w:hint="eastAsia" w:ascii="华文楷体" w:hAnsi="华文楷体" w:eastAsia="华文楷体" w:cs="华文楷体"/>
          <w:sz w:val="24"/>
        </w:rPr>
        <w:fldChar w:fldCharType="end"/>
      </w:r>
    </w:p>
    <w:p>
      <w:pPr>
        <w:pStyle w:val="15"/>
        <w:tabs>
          <w:tab w:val="right" w:leader="dot" w:pos="8306"/>
          <w:tab w:val="clear" w:pos="9000"/>
        </w:tabs>
        <w:snapToGrid w:val="0"/>
      </w:pPr>
      <w:r>
        <w:fldChar w:fldCharType="begin"/>
      </w:r>
      <w:r>
        <w:instrText xml:space="preserve"> HYPERLINK \l "_Toc10476" </w:instrText>
      </w:r>
      <w:r>
        <w:fldChar w:fldCharType="separate"/>
      </w:r>
      <w:r>
        <w:rPr>
          <w:rFonts w:hint="eastAsia" w:ascii="华文楷体" w:hAnsi="华文楷体" w:eastAsia="华文楷体" w:cs="华文楷体"/>
          <w:sz w:val="24"/>
        </w:rPr>
        <w:t>五、机制保障</w:t>
      </w:r>
      <w:r>
        <w:rPr>
          <w:rFonts w:hint="eastAsia" w:ascii="华文楷体" w:hAnsi="华文楷体" w:eastAsia="华文楷体" w:cs="华文楷体"/>
          <w:sz w:val="24"/>
        </w:rPr>
        <w:tab/>
      </w:r>
      <w:r>
        <w:rPr>
          <w:rFonts w:hint="eastAsia" w:ascii="华文楷体" w:hAnsi="华文楷体" w:eastAsia="华文楷体" w:cs="华文楷体"/>
          <w:sz w:val="24"/>
        </w:rPr>
        <w:fldChar w:fldCharType="begin"/>
      </w:r>
      <w:r>
        <w:rPr>
          <w:rFonts w:hint="eastAsia" w:ascii="华文楷体" w:hAnsi="华文楷体" w:eastAsia="华文楷体" w:cs="华文楷体"/>
          <w:sz w:val="24"/>
        </w:rPr>
        <w:instrText xml:space="preserve"> PAGEREF _Toc10476 </w:instrText>
      </w:r>
      <w:r>
        <w:rPr>
          <w:rFonts w:hint="eastAsia" w:ascii="华文楷体" w:hAnsi="华文楷体" w:eastAsia="华文楷体" w:cs="华文楷体"/>
          <w:sz w:val="24"/>
        </w:rPr>
        <w:fldChar w:fldCharType="separate"/>
      </w:r>
      <w:r>
        <w:rPr>
          <w:rFonts w:ascii="华文楷体" w:hAnsi="华文楷体" w:eastAsia="华文楷体" w:cs="华文楷体"/>
          <w:sz w:val="24"/>
        </w:rPr>
        <w:t>96</w:t>
      </w:r>
      <w:r>
        <w:rPr>
          <w:rFonts w:hint="eastAsia" w:ascii="华文楷体" w:hAnsi="华文楷体" w:eastAsia="华文楷体" w:cs="华文楷体"/>
          <w:sz w:val="24"/>
        </w:rPr>
        <w:fldChar w:fldCharType="end"/>
      </w:r>
      <w:r>
        <w:rPr>
          <w:rFonts w:hint="eastAsia" w:ascii="华文楷体" w:hAnsi="华文楷体" w:eastAsia="华文楷体" w:cs="华文楷体"/>
          <w:sz w:val="24"/>
        </w:rPr>
        <w:fldChar w:fldCharType="end"/>
      </w:r>
    </w:p>
    <w:p>
      <w:pPr>
        <w:spacing w:line="500" w:lineRule="exact"/>
        <w:rPr>
          <w:rFonts w:ascii="楷体" w:hAnsi="楷体" w:eastAsia="楷体" w:cs="楷体"/>
          <w:b/>
          <w:bCs/>
          <w:sz w:val="24"/>
        </w:rPr>
      </w:pPr>
      <w:r>
        <w:rPr>
          <w:rFonts w:ascii="楷体" w:hAnsi="楷体" w:eastAsia="楷体" w:cs="楷体"/>
          <w:bCs/>
        </w:rPr>
        <w:fldChar w:fldCharType="end"/>
      </w:r>
    </w:p>
    <w:p>
      <w:pPr>
        <w:pStyle w:val="2"/>
        <w:jc w:val="center"/>
        <w:rPr>
          <w:rFonts w:ascii="黑体" w:hAnsi="黑体" w:eastAsia="黑体"/>
          <w:b w:val="0"/>
          <w:sz w:val="36"/>
          <w:szCs w:val="36"/>
        </w:rPr>
        <w:sectPr>
          <w:footerReference r:id="rId3" w:type="default"/>
          <w:pgSz w:w="11906" w:h="16838"/>
          <w:pgMar w:top="1440" w:right="1800" w:bottom="1440" w:left="1800" w:header="851" w:footer="992" w:gutter="0"/>
          <w:pgNumType w:start="1"/>
          <w:cols w:space="425" w:num="1"/>
          <w:docGrid w:type="lines" w:linePitch="312" w:charSpace="0"/>
        </w:sectPr>
      </w:pPr>
      <w:bookmarkStart w:id="0" w:name="_Toc17278737"/>
      <w:bookmarkStart w:id="1" w:name="_Toc16490"/>
    </w:p>
    <w:p>
      <w:pPr>
        <w:pStyle w:val="2"/>
        <w:jc w:val="center"/>
        <w:rPr>
          <w:rFonts w:ascii="黑体" w:hAnsi="黑体" w:eastAsia="黑体"/>
          <w:b w:val="0"/>
          <w:sz w:val="36"/>
          <w:szCs w:val="36"/>
        </w:rPr>
      </w:pPr>
      <w:r>
        <w:rPr>
          <w:rFonts w:hint="eastAsia" w:ascii="黑体" w:hAnsi="黑体" w:eastAsia="黑体"/>
          <w:b w:val="0"/>
          <w:sz w:val="36"/>
          <w:szCs w:val="36"/>
        </w:rPr>
        <w:t>第一部分应用化工技术专业</w:t>
      </w:r>
      <w:bookmarkStart w:id="2" w:name="_Toc17224415"/>
      <w:r>
        <w:rPr>
          <w:rFonts w:hint="eastAsia" w:ascii="黑体" w:hAnsi="黑体" w:eastAsia="黑体"/>
          <w:b w:val="0"/>
          <w:sz w:val="36"/>
          <w:szCs w:val="36"/>
        </w:rPr>
        <w:t>人才培养方案</w:t>
      </w:r>
      <w:bookmarkEnd w:id="0"/>
      <w:bookmarkEnd w:id="1"/>
      <w:bookmarkEnd w:id="2"/>
    </w:p>
    <w:p>
      <w:pPr>
        <w:pStyle w:val="3"/>
        <w:ind w:firstLine="480" w:firstLineChars="150"/>
        <w:rPr>
          <w:b w:val="0"/>
        </w:rPr>
      </w:pPr>
      <w:bookmarkStart w:id="3" w:name="_Toc25977"/>
      <w:bookmarkStart w:id="4" w:name="_Toc17278738"/>
      <w:r>
        <w:rPr>
          <w:rFonts w:hint="eastAsia"/>
          <w:b w:val="0"/>
        </w:rPr>
        <w:t>一、专业名称与代码</w:t>
      </w:r>
      <w:bookmarkEnd w:id="3"/>
      <w:bookmarkEnd w:id="4"/>
    </w:p>
    <w:p>
      <w:pPr>
        <w:spacing w:line="360" w:lineRule="auto"/>
        <w:ind w:firstLine="403" w:firstLineChars="168"/>
        <w:rPr>
          <w:rFonts w:asciiTheme="minorEastAsia" w:hAnsiTheme="minorEastAsia"/>
          <w:bCs/>
          <w:sz w:val="24"/>
        </w:rPr>
      </w:pPr>
      <w:r>
        <w:rPr>
          <w:rFonts w:hint="eastAsia" w:asciiTheme="minorEastAsia" w:hAnsiTheme="minorEastAsia"/>
          <w:bCs/>
          <w:sz w:val="24"/>
        </w:rPr>
        <w:t>专业名称：应用化工技术</w:t>
      </w:r>
    </w:p>
    <w:p>
      <w:pPr>
        <w:spacing w:line="360" w:lineRule="auto"/>
        <w:ind w:firstLine="403" w:firstLineChars="168"/>
        <w:rPr>
          <w:rFonts w:asciiTheme="minorEastAsia" w:hAnsiTheme="minorEastAsia"/>
          <w:bCs/>
          <w:sz w:val="24"/>
        </w:rPr>
      </w:pPr>
      <w:r>
        <w:rPr>
          <w:rFonts w:hint="eastAsia" w:asciiTheme="minorEastAsia" w:hAnsiTheme="minorEastAsia"/>
          <w:bCs/>
          <w:sz w:val="24"/>
        </w:rPr>
        <w:t>专业代码：570201</w:t>
      </w:r>
    </w:p>
    <w:p>
      <w:pPr>
        <w:pStyle w:val="3"/>
        <w:ind w:firstLine="480" w:firstLineChars="150"/>
        <w:rPr>
          <w:b w:val="0"/>
        </w:rPr>
      </w:pPr>
      <w:bookmarkStart w:id="5" w:name="_Toc15001"/>
      <w:bookmarkStart w:id="6" w:name="_Toc17278739"/>
      <w:r>
        <w:rPr>
          <w:rFonts w:hint="eastAsia"/>
          <w:b w:val="0"/>
        </w:rPr>
        <w:t>二、招生对象</w:t>
      </w:r>
      <w:bookmarkEnd w:id="5"/>
      <w:bookmarkEnd w:id="6"/>
    </w:p>
    <w:p>
      <w:pPr>
        <w:spacing w:line="360" w:lineRule="auto"/>
        <w:ind w:firstLine="403" w:firstLineChars="168"/>
        <w:rPr>
          <w:rFonts w:asciiTheme="minorEastAsia" w:hAnsiTheme="minorEastAsia"/>
          <w:bCs/>
          <w:sz w:val="24"/>
        </w:rPr>
      </w:pPr>
      <w:r>
        <w:rPr>
          <w:rFonts w:hint="eastAsia" w:asciiTheme="minorEastAsia" w:hAnsiTheme="minorEastAsia"/>
          <w:bCs/>
          <w:sz w:val="24"/>
        </w:rPr>
        <w:t>普通高中毕业生/“三校生”（职高、中专、技校毕业生）/高校毕业生</w:t>
      </w:r>
    </w:p>
    <w:p>
      <w:pPr>
        <w:pStyle w:val="3"/>
        <w:ind w:firstLine="480" w:firstLineChars="150"/>
        <w:rPr>
          <w:b w:val="0"/>
        </w:rPr>
      </w:pPr>
      <w:bookmarkStart w:id="7" w:name="_Toc17278740"/>
      <w:bookmarkStart w:id="8" w:name="_Toc22525"/>
      <w:r>
        <w:rPr>
          <w:rFonts w:hint="eastAsia"/>
          <w:b w:val="0"/>
        </w:rPr>
        <w:t>三、学制与学历</w:t>
      </w:r>
      <w:bookmarkEnd w:id="7"/>
      <w:bookmarkEnd w:id="8"/>
    </w:p>
    <w:p>
      <w:pPr>
        <w:spacing w:line="360" w:lineRule="auto"/>
        <w:ind w:firstLine="403" w:firstLineChars="168"/>
        <w:rPr>
          <w:rFonts w:asciiTheme="minorEastAsia" w:hAnsiTheme="minorEastAsia"/>
          <w:bCs/>
          <w:sz w:val="24"/>
        </w:rPr>
      </w:pPr>
      <w:r>
        <w:rPr>
          <w:rFonts w:hint="eastAsia" w:asciiTheme="minorEastAsia" w:hAnsiTheme="minorEastAsia"/>
          <w:bCs/>
          <w:sz w:val="24"/>
        </w:rPr>
        <w:t>要求：三年，专科</w:t>
      </w:r>
    </w:p>
    <w:p>
      <w:pPr>
        <w:pStyle w:val="3"/>
        <w:ind w:firstLine="480" w:firstLineChars="150"/>
        <w:rPr>
          <w:b w:val="0"/>
        </w:rPr>
      </w:pPr>
      <w:bookmarkStart w:id="9" w:name="_Toc17278741"/>
      <w:bookmarkStart w:id="10" w:name="_Toc11382"/>
      <w:r>
        <w:rPr>
          <w:rFonts w:hint="eastAsia"/>
          <w:b w:val="0"/>
        </w:rPr>
        <w:t>四、就业面向</w:t>
      </w:r>
      <w:bookmarkEnd w:id="9"/>
      <w:bookmarkEnd w:id="10"/>
    </w:p>
    <w:p>
      <w:pPr>
        <w:spacing w:line="360" w:lineRule="auto"/>
        <w:ind w:firstLine="480" w:firstLineChars="200"/>
        <w:rPr>
          <w:rFonts w:eastAsia="黑体"/>
          <w:bCs/>
          <w:sz w:val="32"/>
          <w:szCs w:val="32"/>
        </w:rPr>
      </w:pPr>
      <w:r>
        <w:rPr>
          <w:rFonts w:hint="eastAsia" w:asciiTheme="minorEastAsia" w:hAnsiTheme="minorEastAsia"/>
          <w:bCs/>
          <w:sz w:val="24"/>
        </w:rPr>
        <w:t>主要面向</w:t>
      </w:r>
      <w:r>
        <w:rPr>
          <w:rFonts w:hint="eastAsia"/>
          <w:sz w:val="24"/>
        </w:rPr>
        <w:t>化工、能源业、医药、环保业、精细化工、冶金等部门从事一线生产操作、生产管理、分析检测、产品营销等方面的工作；</w:t>
      </w:r>
      <w:r>
        <w:rPr>
          <w:color w:val="000000"/>
          <w:sz w:val="24"/>
        </w:rPr>
        <w:t>也可以在化工设计和政府相关职能部门从事规划、管理、标准、监督、检测、技术咨询等工作。</w:t>
      </w:r>
    </w:p>
    <w:p>
      <w:pPr>
        <w:spacing w:line="360" w:lineRule="auto"/>
        <w:ind w:left="403"/>
        <w:rPr>
          <w:kern w:val="0"/>
          <w:sz w:val="24"/>
        </w:rPr>
      </w:pPr>
      <w:r>
        <w:rPr>
          <w:rFonts w:hint="eastAsia"/>
          <w:kern w:val="0"/>
          <w:sz w:val="24"/>
        </w:rPr>
        <w:t>（一）首次就业岗位</w:t>
      </w:r>
    </w:p>
    <w:p>
      <w:pPr>
        <w:spacing w:line="360" w:lineRule="auto"/>
        <w:ind w:firstLine="480" w:firstLineChars="200"/>
        <w:rPr>
          <w:color w:val="000000" w:themeColor="text1"/>
          <w:sz w:val="24"/>
        </w:rPr>
      </w:pPr>
      <w:r>
        <w:rPr>
          <w:rFonts w:hint="eastAsia"/>
          <w:color w:val="000000" w:themeColor="text1"/>
          <w:sz w:val="24"/>
        </w:rPr>
        <w:t>化工生产现场操作、化工设备操作与维护、化工生产中控操作、化工仪表使用及维护、化工产品检验（化工分析）等岗位。</w:t>
      </w:r>
    </w:p>
    <w:p>
      <w:pPr>
        <w:spacing w:line="360" w:lineRule="auto"/>
        <w:ind w:firstLine="403" w:firstLineChars="168"/>
        <w:rPr>
          <w:rFonts w:ascii="宋体" w:hAnsi="宋体"/>
          <w:sz w:val="24"/>
        </w:rPr>
      </w:pPr>
      <w:r>
        <w:rPr>
          <w:rFonts w:hint="eastAsia" w:asciiTheme="minorEastAsia" w:hAnsiTheme="minorEastAsia"/>
          <w:bCs/>
          <w:sz w:val="24"/>
        </w:rPr>
        <w:t>（二）</w:t>
      </w:r>
      <w:r>
        <w:rPr>
          <w:rFonts w:hint="eastAsia" w:ascii="宋体" w:hAnsi="宋体"/>
          <w:sz w:val="24"/>
        </w:rPr>
        <w:t>发展岗位</w:t>
      </w:r>
    </w:p>
    <w:p>
      <w:pPr>
        <w:autoSpaceDE w:val="0"/>
        <w:autoSpaceDN w:val="0"/>
        <w:spacing w:line="360" w:lineRule="auto"/>
        <w:ind w:firstLine="480" w:firstLineChars="200"/>
        <w:rPr>
          <w:rFonts w:ascii="宋体" w:hAnsi="宋体"/>
          <w:sz w:val="24"/>
        </w:rPr>
      </w:pPr>
      <w:r>
        <w:rPr>
          <w:rFonts w:hint="eastAsia" w:ascii="宋体" w:hAnsi="宋体"/>
          <w:sz w:val="24"/>
        </w:rPr>
        <w:t>化工生产班长组、化工生产技术及管理岗（如车间主任、运行工程师等）。</w:t>
      </w:r>
    </w:p>
    <w:p>
      <w:pPr>
        <w:pStyle w:val="3"/>
        <w:ind w:firstLine="480" w:firstLineChars="150"/>
        <w:rPr>
          <w:b w:val="0"/>
        </w:rPr>
      </w:pPr>
      <w:bookmarkStart w:id="11" w:name="_Toc17278742"/>
      <w:bookmarkStart w:id="12" w:name="_Toc24656"/>
      <w:r>
        <w:rPr>
          <w:rFonts w:hint="eastAsia"/>
          <w:b w:val="0"/>
        </w:rPr>
        <w:t>五、培养目标与规格要求</w:t>
      </w:r>
      <w:bookmarkEnd w:id="11"/>
      <w:bookmarkEnd w:id="12"/>
    </w:p>
    <w:p>
      <w:pPr>
        <w:spacing w:line="360" w:lineRule="auto"/>
        <w:ind w:firstLine="300" w:firstLineChars="100"/>
        <w:rPr>
          <w:rFonts w:ascii="黑体" w:hAnsi="黑体" w:eastAsia="黑体" w:cs="黑体"/>
          <w:bCs/>
          <w:sz w:val="30"/>
          <w:szCs w:val="30"/>
        </w:rPr>
      </w:pPr>
      <w:r>
        <w:rPr>
          <w:rFonts w:hint="eastAsia" w:ascii="黑体" w:hAnsi="黑体" w:eastAsia="黑体" w:cs="黑体"/>
          <w:bCs/>
          <w:sz w:val="30"/>
          <w:szCs w:val="30"/>
        </w:rPr>
        <w:t>（一）专业培养目标</w:t>
      </w:r>
    </w:p>
    <w:p>
      <w:pPr>
        <w:spacing w:line="360" w:lineRule="auto"/>
        <w:ind w:firstLine="403" w:firstLineChars="168"/>
        <w:rPr>
          <w:rFonts w:asciiTheme="minorEastAsia" w:hAnsiTheme="minorEastAsia"/>
          <w:bCs/>
          <w:sz w:val="24"/>
        </w:rPr>
      </w:pPr>
      <w:r>
        <w:rPr>
          <w:rFonts w:hint="eastAsia" w:asciiTheme="minorEastAsia" w:hAnsiTheme="minorEastAsia"/>
          <w:bCs/>
          <w:sz w:val="24"/>
        </w:rPr>
        <w:t>本专业培养适应社会主义现代化建设需要，德、智、体、美全面发展的，具有良好的职业道德和素养，具有现代企业意识、能适应地方经济建设需要，掌握应用化工技术专业必需的基础理论知识和方法技能，获得化工单元设备操作与维护、化工工艺管理、化工产品分析与检验以及化工环境监测等基本训练，具有创新精神和实践能力的高素质技术技能人才。</w:t>
      </w:r>
    </w:p>
    <w:p>
      <w:pPr>
        <w:spacing w:line="360" w:lineRule="auto"/>
        <w:ind w:firstLine="300" w:firstLineChars="100"/>
        <w:rPr>
          <w:rFonts w:ascii="黑体" w:hAnsi="黑体" w:eastAsia="黑体" w:cs="黑体"/>
          <w:bCs/>
          <w:sz w:val="30"/>
          <w:szCs w:val="30"/>
        </w:rPr>
      </w:pPr>
      <w:r>
        <w:rPr>
          <w:rFonts w:hint="eastAsia" w:ascii="黑体" w:hAnsi="黑体" w:eastAsia="黑体" w:cs="黑体"/>
          <w:bCs/>
          <w:sz w:val="30"/>
          <w:szCs w:val="30"/>
        </w:rPr>
        <w:t>（二）人才培养规格要求和知识、能力、素质结构</w:t>
      </w:r>
    </w:p>
    <w:p>
      <w:pPr>
        <w:spacing w:line="360" w:lineRule="auto"/>
        <w:ind w:firstLine="403" w:firstLineChars="168"/>
        <w:rPr>
          <w:rFonts w:asciiTheme="minorEastAsia" w:hAnsiTheme="minorEastAsia"/>
          <w:bCs/>
          <w:sz w:val="24"/>
        </w:rPr>
      </w:pPr>
      <w:r>
        <w:rPr>
          <w:rFonts w:hint="eastAsia" w:asciiTheme="minorEastAsia" w:hAnsiTheme="minorEastAsia"/>
          <w:bCs/>
          <w:sz w:val="24"/>
        </w:rPr>
        <w:t>1.培养规格</w:t>
      </w:r>
    </w:p>
    <w:p>
      <w:pPr>
        <w:spacing w:line="360" w:lineRule="auto"/>
        <w:ind w:firstLine="403" w:firstLineChars="168"/>
        <w:rPr>
          <w:rFonts w:asciiTheme="minorEastAsia" w:hAnsiTheme="minorEastAsia"/>
          <w:bCs/>
          <w:sz w:val="24"/>
        </w:rPr>
      </w:pPr>
      <w:r>
        <w:rPr>
          <w:rFonts w:hint="eastAsia" w:asciiTheme="minorEastAsia" w:hAnsiTheme="minorEastAsia"/>
          <w:bCs/>
          <w:sz w:val="24"/>
        </w:rPr>
        <w:t>毕业生具有良好的沟通与合作能力、管理、协调工作能力；具有扎实的专业技能综合应用能力；具有良好的知识与技能创新能力；具有较强质量意识和市场意识及效益分析能力；具有较强的获取信息以及对信息的分析能力；具有较强的事业心，爱岗敬业，责任心强，政治素质修养优秀。</w:t>
      </w:r>
    </w:p>
    <w:p>
      <w:pPr>
        <w:spacing w:line="360" w:lineRule="auto"/>
        <w:ind w:firstLine="403" w:firstLineChars="168"/>
        <w:rPr>
          <w:rFonts w:asciiTheme="minorEastAsia" w:hAnsiTheme="minorEastAsia"/>
          <w:bCs/>
          <w:sz w:val="24"/>
        </w:rPr>
      </w:pPr>
      <w:r>
        <w:rPr>
          <w:rFonts w:hint="eastAsia" w:asciiTheme="minorEastAsia" w:hAnsiTheme="minorEastAsia"/>
          <w:bCs/>
          <w:sz w:val="24"/>
        </w:rPr>
        <w:t>2.知识、能力、素质结构</w:t>
      </w:r>
    </w:p>
    <w:p>
      <w:pPr>
        <w:spacing w:line="360" w:lineRule="auto"/>
        <w:ind w:firstLine="240" w:firstLineChars="100"/>
        <w:rPr>
          <w:rFonts w:asciiTheme="minorEastAsia" w:hAnsiTheme="minorEastAsia"/>
          <w:bCs/>
          <w:sz w:val="24"/>
        </w:rPr>
      </w:pPr>
      <w:r>
        <w:rPr>
          <w:rFonts w:hint="eastAsia" w:asciiTheme="minorEastAsia" w:hAnsiTheme="minorEastAsia"/>
          <w:bCs/>
          <w:sz w:val="24"/>
        </w:rPr>
        <w:t xml:space="preserve">（1）知识结构 </w:t>
      </w:r>
    </w:p>
    <w:p>
      <w:pPr>
        <w:spacing w:line="360" w:lineRule="auto"/>
        <w:ind w:firstLine="403" w:firstLineChars="168"/>
        <w:rPr>
          <w:rFonts w:asciiTheme="minorEastAsia" w:hAnsiTheme="minorEastAsia"/>
          <w:bCs/>
          <w:sz w:val="24"/>
        </w:rPr>
      </w:pPr>
      <w:r>
        <w:rPr>
          <w:rFonts w:asciiTheme="minorEastAsia" w:hAnsiTheme="minorEastAsia"/>
          <w:bCs/>
          <w:sz w:val="24"/>
        </w:rPr>
        <w:t>①</w:t>
      </w:r>
      <w:r>
        <w:rPr>
          <w:rFonts w:hint="eastAsia" w:asciiTheme="minorEastAsia" w:hAnsiTheme="minorEastAsia"/>
          <w:bCs/>
          <w:sz w:val="24"/>
        </w:rPr>
        <w:t>掌握马列主义、毛泽东思想、邓小平理论的基本内容，以及社会主义道德、法律和形势政策等方面的基本知识。</w:t>
      </w:r>
    </w:p>
    <w:p>
      <w:pPr>
        <w:spacing w:line="360" w:lineRule="auto"/>
        <w:ind w:firstLine="403" w:firstLineChars="168"/>
        <w:rPr>
          <w:rFonts w:asciiTheme="minorEastAsia" w:hAnsiTheme="minorEastAsia"/>
          <w:bCs/>
          <w:sz w:val="24"/>
        </w:rPr>
      </w:pPr>
      <w:r>
        <w:rPr>
          <w:rFonts w:asciiTheme="minorEastAsia" w:hAnsiTheme="minorEastAsia"/>
          <w:bCs/>
          <w:sz w:val="24"/>
        </w:rPr>
        <w:t>②</w:t>
      </w:r>
      <w:r>
        <w:rPr>
          <w:rFonts w:hint="eastAsia" w:asciiTheme="minorEastAsia" w:hAnsiTheme="minorEastAsia"/>
          <w:bCs/>
          <w:sz w:val="24"/>
        </w:rPr>
        <w:t>掌握高等数学、语文、英语以及计算机等方面的基础理论知识。</w:t>
      </w:r>
    </w:p>
    <w:p>
      <w:pPr>
        <w:spacing w:line="360" w:lineRule="auto"/>
        <w:ind w:firstLine="403" w:firstLineChars="168"/>
        <w:rPr>
          <w:rFonts w:asciiTheme="minorEastAsia" w:hAnsiTheme="minorEastAsia"/>
          <w:bCs/>
          <w:sz w:val="24"/>
        </w:rPr>
      </w:pPr>
      <w:r>
        <w:rPr>
          <w:rFonts w:asciiTheme="minorEastAsia" w:hAnsiTheme="minorEastAsia"/>
          <w:bCs/>
          <w:sz w:val="24"/>
        </w:rPr>
        <w:t>③</w:t>
      </w:r>
      <w:r>
        <w:rPr>
          <w:rFonts w:hint="eastAsia" w:asciiTheme="minorEastAsia" w:hAnsiTheme="minorEastAsia"/>
          <w:bCs/>
          <w:sz w:val="24"/>
        </w:rPr>
        <w:t>掌握必备的化学化工专业理论知识。</w:t>
      </w:r>
    </w:p>
    <w:p>
      <w:pPr>
        <w:spacing w:line="360" w:lineRule="auto"/>
        <w:ind w:firstLine="403" w:firstLineChars="168"/>
        <w:rPr>
          <w:rFonts w:asciiTheme="minorEastAsia" w:hAnsiTheme="minorEastAsia"/>
          <w:bCs/>
          <w:sz w:val="24"/>
        </w:rPr>
      </w:pPr>
      <w:r>
        <w:rPr>
          <w:rFonts w:asciiTheme="minorEastAsia" w:hAnsiTheme="minorEastAsia"/>
          <w:bCs/>
          <w:sz w:val="24"/>
        </w:rPr>
        <w:t>④</w:t>
      </w:r>
      <w:r>
        <w:rPr>
          <w:rFonts w:hint="eastAsia" w:asciiTheme="minorEastAsia" w:hAnsiTheme="minorEastAsia"/>
          <w:bCs/>
          <w:sz w:val="24"/>
        </w:rPr>
        <w:t>掌握常见的化工产品的类别、反应原理、生产工艺及检验等方面的知识。</w:t>
      </w:r>
    </w:p>
    <w:p>
      <w:pPr>
        <w:spacing w:line="360" w:lineRule="auto"/>
        <w:ind w:firstLine="403" w:firstLineChars="168"/>
        <w:rPr>
          <w:rFonts w:asciiTheme="minorEastAsia" w:hAnsiTheme="minorEastAsia"/>
          <w:bCs/>
          <w:sz w:val="24"/>
        </w:rPr>
      </w:pPr>
      <w:r>
        <w:rPr>
          <w:rFonts w:asciiTheme="minorEastAsia" w:hAnsiTheme="minorEastAsia"/>
          <w:bCs/>
          <w:sz w:val="24"/>
        </w:rPr>
        <w:t>⑤</w:t>
      </w:r>
      <w:r>
        <w:rPr>
          <w:rFonts w:hint="eastAsia" w:asciiTheme="minorEastAsia" w:hAnsiTheme="minorEastAsia"/>
          <w:bCs/>
          <w:sz w:val="24"/>
        </w:rPr>
        <w:t>掌握常用的化工生产设备、分析检验设备的性能、操作及应用等方面的知识。</w:t>
      </w:r>
    </w:p>
    <w:p>
      <w:pPr>
        <w:spacing w:line="360" w:lineRule="auto"/>
        <w:ind w:firstLine="403" w:firstLineChars="168"/>
        <w:rPr>
          <w:rFonts w:asciiTheme="minorEastAsia" w:hAnsiTheme="minorEastAsia"/>
          <w:bCs/>
          <w:sz w:val="24"/>
        </w:rPr>
      </w:pPr>
      <w:r>
        <w:rPr>
          <w:rFonts w:asciiTheme="minorEastAsia" w:hAnsiTheme="minorEastAsia"/>
          <w:bCs/>
          <w:sz w:val="24"/>
        </w:rPr>
        <w:t>⑥</w:t>
      </w:r>
      <w:r>
        <w:rPr>
          <w:rFonts w:hint="eastAsia" w:asciiTheme="minorEastAsia" w:hAnsiTheme="minorEastAsia"/>
          <w:bCs/>
          <w:sz w:val="24"/>
        </w:rPr>
        <w:t>具有资源节约、爱护环境、清洁生产、安全生产的观念及基本知识。</w:t>
      </w:r>
    </w:p>
    <w:p>
      <w:pPr>
        <w:spacing w:line="360" w:lineRule="auto"/>
        <w:ind w:firstLine="403" w:firstLineChars="168"/>
        <w:rPr>
          <w:rFonts w:asciiTheme="minorEastAsia" w:hAnsiTheme="minorEastAsia"/>
          <w:bCs/>
          <w:sz w:val="24"/>
        </w:rPr>
      </w:pPr>
      <w:r>
        <w:rPr>
          <w:rFonts w:asciiTheme="minorEastAsia" w:hAnsiTheme="minorEastAsia"/>
          <w:bCs/>
          <w:sz w:val="24"/>
        </w:rPr>
        <w:t>⑦</w:t>
      </w:r>
      <w:r>
        <w:rPr>
          <w:rFonts w:hint="eastAsia" w:asciiTheme="minorEastAsia" w:hAnsiTheme="minorEastAsia"/>
          <w:bCs/>
          <w:sz w:val="24"/>
        </w:rPr>
        <w:t>了解体育运动、卫生与健身的基本知识。 </w:t>
      </w:r>
    </w:p>
    <w:p>
      <w:pPr>
        <w:spacing w:line="360" w:lineRule="auto"/>
        <w:ind w:firstLine="240" w:firstLineChars="100"/>
        <w:rPr>
          <w:rFonts w:asciiTheme="minorEastAsia" w:hAnsiTheme="minorEastAsia"/>
          <w:bCs/>
          <w:sz w:val="24"/>
        </w:rPr>
      </w:pPr>
      <w:r>
        <w:rPr>
          <w:rFonts w:hint="eastAsia" w:asciiTheme="minorEastAsia" w:hAnsiTheme="minorEastAsia"/>
          <w:bCs/>
          <w:sz w:val="24"/>
        </w:rPr>
        <w:t xml:space="preserve">（2）能力结构 </w:t>
      </w:r>
    </w:p>
    <w:p>
      <w:pPr>
        <w:spacing w:line="360" w:lineRule="auto"/>
        <w:ind w:firstLine="403" w:firstLineChars="168"/>
        <w:rPr>
          <w:rFonts w:asciiTheme="minorEastAsia" w:hAnsiTheme="minorEastAsia"/>
          <w:bCs/>
          <w:sz w:val="24"/>
        </w:rPr>
      </w:pPr>
      <w:r>
        <w:rPr>
          <w:rFonts w:asciiTheme="minorEastAsia" w:hAnsiTheme="minorEastAsia"/>
          <w:bCs/>
          <w:sz w:val="24"/>
        </w:rPr>
        <w:t>①</w:t>
      </w:r>
      <w:r>
        <w:rPr>
          <w:rFonts w:hint="eastAsia" w:asciiTheme="minorEastAsia" w:hAnsiTheme="minorEastAsia"/>
          <w:bCs/>
          <w:sz w:val="24"/>
        </w:rPr>
        <w:t>具有对化工行业相关技术标准、规范、手册的使用能力。</w:t>
      </w:r>
    </w:p>
    <w:p>
      <w:pPr>
        <w:spacing w:line="360" w:lineRule="auto"/>
        <w:ind w:firstLine="403" w:firstLineChars="168"/>
        <w:rPr>
          <w:rFonts w:asciiTheme="minorEastAsia" w:hAnsiTheme="minorEastAsia"/>
          <w:bCs/>
          <w:sz w:val="24"/>
        </w:rPr>
      </w:pPr>
      <w:r>
        <w:rPr>
          <w:rFonts w:asciiTheme="minorEastAsia" w:hAnsiTheme="minorEastAsia"/>
          <w:bCs/>
          <w:sz w:val="24"/>
        </w:rPr>
        <w:t>②</w:t>
      </w:r>
      <w:r>
        <w:rPr>
          <w:rFonts w:hint="eastAsia" w:asciiTheme="minorEastAsia" w:hAnsiTheme="minorEastAsia"/>
          <w:bCs/>
          <w:sz w:val="24"/>
        </w:rPr>
        <w:t>具有相应的外语水平，能借助词典查阅和翻译技术资料。</w:t>
      </w:r>
    </w:p>
    <w:p>
      <w:pPr>
        <w:spacing w:line="360" w:lineRule="auto"/>
        <w:ind w:firstLine="403" w:firstLineChars="168"/>
        <w:rPr>
          <w:rFonts w:asciiTheme="minorEastAsia" w:hAnsiTheme="minorEastAsia"/>
          <w:bCs/>
          <w:sz w:val="24"/>
        </w:rPr>
      </w:pPr>
      <w:r>
        <w:rPr>
          <w:rFonts w:asciiTheme="minorEastAsia" w:hAnsiTheme="minorEastAsia"/>
          <w:bCs/>
          <w:sz w:val="24"/>
        </w:rPr>
        <w:t>③</w:t>
      </w:r>
      <w:r>
        <w:rPr>
          <w:rFonts w:hint="eastAsia" w:asciiTheme="minorEastAsia" w:hAnsiTheme="minorEastAsia"/>
          <w:bCs/>
          <w:sz w:val="24"/>
        </w:rPr>
        <w:t>具备化工生产单元操作、工段操作和仪器操作的基本能力。</w:t>
      </w:r>
    </w:p>
    <w:p>
      <w:pPr>
        <w:spacing w:line="360" w:lineRule="auto"/>
        <w:ind w:firstLine="403" w:firstLineChars="168"/>
        <w:rPr>
          <w:rFonts w:asciiTheme="minorEastAsia" w:hAnsiTheme="minorEastAsia"/>
          <w:bCs/>
          <w:sz w:val="24"/>
        </w:rPr>
      </w:pPr>
      <w:r>
        <w:rPr>
          <w:rFonts w:asciiTheme="minorEastAsia" w:hAnsiTheme="minorEastAsia"/>
          <w:bCs/>
          <w:sz w:val="24"/>
        </w:rPr>
        <w:t>④</w:t>
      </w:r>
      <w:r>
        <w:rPr>
          <w:rFonts w:hint="eastAsia" w:asciiTheme="minorEastAsia" w:hAnsiTheme="minorEastAsia"/>
          <w:bCs/>
          <w:sz w:val="24"/>
        </w:rPr>
        <w:t>具有典型化工工艺生产原理、工艺流程及常用设备选型、使用和维护的能力。</w:t>
      </w:r>
    </w:p>
    <w:p>
      <w:pPr>
        <w:spacing w:line="360" w:lineRule="auto"/>
        <w:ind w:firstLine="403" w:firstLineChars="168"/>
        <w:rPr>
          <w:rFonts w:asciiTheme="minorEastAsia" w:hAnsiTheme="minorEastAsia"/>
          <w:bCs/>
          <w:sz w:val="24"/>
        </w:rPr>
      </w:pPr>
      <w:r>
        <w:rPr>
          <w:rFonts w:asciiTheme="minorEastAsia" w:hAnsiTheme="minorEastAsia"/>
          <w:bCs/>
          <w:sz w:val="24"/>
        </w:rPr>
        <w:t>⑤</w:t>
      </w:r>
      <w:r>
        <w:rPr>
          <w:rFonts w:hint="eastAsia" w:asciiTheme="minorEastAsia" w:hAnsiTheme="minorEastAsia"/>
          <w:bCs/>
          <w:sz w:val="24"/>
        </w:rPr>
        <w:t>具有应用基础理论分析和解决化工生产中的实际问题和进行技术革新的初步能力。</w:t>
      </w:r>
    </w:p>
    <w:p>
      <w:pPr>
        <w:spacing w:line="360" w:lineRule="auto"/>
        <w:ind w:firstLine="403" w:firstLineChars="168"/>
        <w:rPr>
          <w:rFonts w:asciiTheme="minorEastAsia" w:hAnsiTheme="minorEastAsia"/>
          <w:bCs/>
          <w:sz w:val="24"/>
        </w:rPr>
      </w:pPr>
      <w:r>
        <w:rPr>
          <w:rFonts w:asciiTheme="minorEastAsia" w:hAnsiTheme="minorEastAsia"/>
          <w:bCs/>
          <w:sz w:val="24"/>
        </w:rPr>
        <w:t>⑥</w:t>
      </w:r>
      <w:r>
        <w:rPr>
          <w:rFonts w:hint="eastAsia" w:asciiTheme="minorEastAsia" w:hAnsiTheme="minorEastAsia"/>
          <w:bCs/>
          <w:sz w:val="24"/>
        </w:rPr>
        <w:t>具有一定的化工企业新产品、新技术开发的能力。</w:t>
      </w:r>
    </w:p>
    <w:p>
      <w:pPr>
        <w:spacing w:line="360" w:lineRule="auto"/>
        <w:ind w:firstLine="403" w:firstLineChars="168"/>
        <w:rPr>
          <w:rFonts w:asciiTheme="minorEastAsia" w:hAnsiTheme="minorEastAsia"/>
          <w:bCs/>
          <w:sz w:val="24"/>
        </w:rPr>
      </w:pPr>
      <w:r>
        <w:rPr>
          <w:rFonts w:asciiTheme="minorEastAsia" w:hAnsiTheme="minorEastAsia"/>
          <w:bCs/>
          <w:sz w:val="24"/>
        </w:rPr>
        <w:t>⑦</w:t>
      </w:r>
      <w:r>
        <w:rPr>
          <w:rFonts w:hint="eastAsia" w:asciiTheme="minorEastAsia" w:hAnsiTheme="minorEastAsia"/>
          <w:bCs/>
          <w:sz w:val="24"/>
        </w:rPr>
        <w:t>具有化工生产过程中三废治理的能力；具有化工生产过程中安全管理的能力。</w:t>
      </w:r>
    </w:p>
    <w:p>
      <w:pPr>
        <w:spacing w:line="360" w:lineRule="auto"/>
        <w:ind w:firstLine="403" w:firstLineChars="168"/>
        <w:rPr>
          <w:rFonts w:asciiTheme="minorEastAsia" w:hAnsiTheme="minorEastAsia"/>
          <w:bCs/>
          <w:sz w:val="24"/>
        </w:rPr>
      </w:pPr>
      <w:r>
        <w:rPr>
          <w:rFonts w:asciiTheme="minorEastAsia" w:hAnsiTheme="minorEastAsia"/>
          <w:bCs/>
          <w:sz w:val="24"/>
        </w:rPr>
        <w:t>⑧</w:t>
      </w:r>
      <w:r>
        <w:rPr>
          <w:rFonts w:hint="eastAsia" w:asciiTheme="minorEastAsia" w:hAnsiTheme="minorEastAsia"/>
          <w:bCs/>
          <w:sz w:val="24"/>
        </w:rPr>
        <w:t>具有一定的化工企业管理和技术管理的能力。 </w:t>
      </w:r>
    </w:p>
    <w:p>
      <w:pPr>
        <w:spacing w:line="360" w:lineRule="auto"/>
        <w:ind w:firstLine="240" w:firstLineChars="100"/>
        <w:rPr>
          <w:rFonts w:asciiTheme="minorEastAsia" w:hAnsiTheme="minorEastAsia"/>
          <w:bCs/>
          <w:sz w:val="24"/>
        </w:rPr>
      </w:pPr>
      <w:r>
        <w:rPr>
          <w:rFonts w:hint="eastAsia" w:asciiTheme="minorEastAsia" w:hAnsiTheme="minorEastAsia"/>
          <w:bCs/>
          <w:sz w:val="24"/>
        </w:rPr>
        <w:t xml:space="preserve">（3）素质结构 </w:t>
      </w:r>
    </w:p>
    <w:p>
      <w:pPr>
        <w:spacing w:line="360" w:lineRule="auto"/>
        <w:ind w:firstLine="403" w:firstLineChars="168"/>
        <w:rPr>
          <w:rFonts w:asciiTheme="minorEastAsia" w:hAnsiTheme="minorEastAsia"/>
          <w:bCs/>
          <w:sz w:val="24"/>
        </w:rPr>
      </w:pPr>
      <w:r>
        <w:rPr>
          <w:rFonts w:asciiTheme="minorEastAsia" w:hAnsiTheme="minorEastAsia"/>
          <w:bCs/>
          <w:sz w:val="24"/>
        </w:rPr>
        <w:t>①</w:t>
      </w:r>
      <w:r>
        <w:rPr>
          <w:rFonts w:hint="eastAsia" w:asciiTheme="minorEastAsia" w:hAnsiTheme="minorEastAsia"/>
          <w:bCs/>
          <w:sz w:val="24"/>
        </w:rPr>
        <w:t>具有一定的自学能力和获取信息的能力。</w:t>
      </w:r>
    </w:p>
    <w:p>
      <w:pPr>
        <w:spacing w:line="360" w:lineRule="auto"/>
        <w:ind w:firstLine="403" w:firstLineChars="168"/>
        <w:rPr>
          <w:rFonts w:asciiTheme="minorEastAsia" w:hAnsiTheme="minorEastAsia"/>
          <w:bCs/>
          <w:sz w:val="24"/>
        </w:rPr>
      </w:pPr>
      <w:r>
        <w:rPr>
          <w:rFonts w:asciiTheme="minorEastAsia" w:hAnsiTheme="minorEastAsia"/>
          <w:bCs/>
          <w:sz w:val="24"/>
        </w:rPr>
        <w:t>②</w:t>
      </w:r>
      <w:r>
        <w:rPr>
          <w:rFonts w:hint="eastAsia" w:asciiTheme="minorEastAsia" w:hAnsiTheme="minorEastAsia"/>
          <w:bCs/>
          <w:sz w:val="24"/>
        </w:rPr>
        <w:t>具有较好的语言文字表达能力。</w:t>
      </w:r>
    </w:p>
    <w:p>
      <w:pPr>
        <w:spacing w:line="360" w:lineRule="auto"/>
        <w:ind w:firstLine="403" w:firstLineChars="168"/>
        <w:rPr>
          <w:rFonts w:asciiTheme="minorEastAsia" w:hAnsiTheme="minorEastAsia"/>
          <w:bCs/>
          <w:sz w:val="24"/>
        </w:rPr>
      </w:pPr>
      <w:r>
        <w:rPr>
          <w:rFonts w:asciiTheme="minorEastAsia" w:hAnsiTheme="minorEastAsia"/>
          <w:bCs/>
          <w:sz w:val="24"/>
        </w:rPr>
        <w:t>③</w:t>
      </w:r>
      <w:r>
        <w:rPr>
          <w:rFonts w:hint="eastAsia" w:asciiTheme="minorEastAsia" w:hAnsiTheme="minorEastAsia"/>
          <w:bCs/>
          <w:sz w:val="24"/>
        </w:rPr>
        <w:t>具有计算机应用与操作能力。</w:t>
      </w:r>
    </w:p>
    <w:p>
      <w:pPr>
        <w:spacing w:line="360" w:lineRule="auto"/>
        <w:ind w:firstLine="403" w:firstLineChars="168"/>
        <w:rPr>
          <w:rFonts w:asciiTheme="minorEastAsia" w:hAnsiTheme="minorEastAsia"/>
          <w:bCs/>
          <w:sz w:val="24"/>
        </w:rPr>
      </w:pPr>
      <w:r>
        <w:rPr>
          <w:rFonts w:asciiTheme="minorEastAsia" w:hAnsiTheme="minorEastAsia"/>
          <w:bCs/>
          <w:sz w:val="24"/>
        </w:rPr>
        <w:t>④</w:t>
      </w:r>
      <w:r>
        <w:rPr>
          <w:rFonts w:hint="eastAsia" w:asciiTheme="minorEastAsia" w:hAnsiTheme="minorEastAsia"/>
          <w:bCs/>
          <w:sz w:val="24"/>
        </w:rPr>
        <w:t>具有企业技术管理方面的基本能力。</w:t>
      </w:r>
    </w:p>
    <w:p>
      <w:pPr>
        <w:spacing w:line="360" w:lineRule="auto"/>
        <w:ind w:firstLine="403" w:firstLineChars="168"/>
        <w:rPr>
          <w:rFonts w:asciiTheme="minorEastAsia" w:hAnsiTheme="minorEastAsia"/>
          <w:bCs/>
          <w:sz w:val="24"/>
        </w:rPr>
      </w:pPr>
      <w:r>
        <w:rPr>
          <w:rFonts w:asciiTheme="minorEastAsia" w:hAnsiTheme="minorEastAsia"/>
          <w:bCs/>
          <w:sz w:val="24"/>
        </w:rPr>
        <w:t>⑤</w:t>
      </w:r>
      <w:r>
        <w:rPr>
          <w:rFonts w:hint="eastAsia" w:asciiTheme="minorEastAsia" w:hAnsiTheme="minorEastAsia"/>
          <w:bCs/>
          <w:sz w:val="24"/>
        </w:rPr>
        <w:t>具有较丰富的学科业务素质。</w:t>
      </w:r>
    </w:p>
    <w:p>
      <w:pPr>
        <w:spacing w:line="360" w:lineRule="auto"/>
        <w:ind w:firstLine="403" w:firstLineChars="168"/>
        <w:rPr>
          <w:rFonts w:asciiTheme="minorEastAsia" w:hAnsiTheme="minorEastAsia"/>
          <w:bCs/>
          <w:sz w:val="24"/>
        </w:rPr>
      </w:pPr>
      <w:r>
        <w:rPr>
          <w:rFonts w:asciiTheme="minorEastAsia" w:hAnsiTheme="minorEastAsia"/>
          <w:bCs/>
          <w:sz w:val="24"/>
        </w:rPr>
        <w:t>⑥</w:t>
      </w:r>
      <w:r>
        <w:rPr>
          <w:rFonts w:hint="eastAsia" w:asciiTheme="minorEastAsia" w:hAnsiTheme="minorEastAsia"/>
          <w:bCs/>
          <w:sz w:val="24"/>
        </w:rPr>
        <w:t>具有较强的职业岗位技能素质。</w:t>
      </w:r>
    </w:p>
    <w:p>
      <w:pPr>
        <w:spacing w:line="360" w:lineRule="auto"/>
        <w:ind w:firstLine="403" w:firstLineChars="168"/>
        <w:rPr>
          <w:rFonts w:asciiTheme="minorEastAsia" w:hAnsiTheme="minorEastAsia"/>
          <w:bCs/>
          <w:sz w:val="24"/>
        </w:rPr>
      </w:pPr>
      <w:r>
        <w:rPr>
          <w:rFonts w:asciiTheme="minorEastAsia" w:hAnsiTheme="minorEastAsia"/>
          <w:bCs/>
          <w:sz w:val="24"/>
        </w:rPr>
        <w:t>⑦</w:t>
      </w:r>
      <w:r>
        <w:rPr>
          <w:rFonts w:hint="eastAsia" w:asciiTheme="minorEastAsia" w:hAnsiTheme="minorEastAsia"/>
          <w:bCs/>
          <w:sz w:val="24"/>
        </w:rPr>
        <w:t>具有较好的创新素质。</w:t>
      </w:r>
    </w:p>
    <w:p>
      <w:pPr>
        <w:pStyle w:val="3"/>
        <w:ind w:firstLine="480" w:firstLineChars="150"/>
        <w:rPr>
          <w:b w:val="0"/>
        </w:rPr>
      </w:pPr>
      <w:bookmarkStart w:id="13" w:name="_Toc17278743"/>
      <w:bookmarkStart w:id="14" w:name="_Toc19301"/>
      <w:r>
        <w:rPr>
          <w:rFonts w:hint="eastAsia"/>
          <w:b w:val="0"/>
        </w:rPr>
        <w:t>六、职业资格证书</w:t>
      </w:r>
      <w:bookmarkEnd w:id="13"/>
      <w:bookmarkEnd w:id="14"/>
    </w:p>
    <w:p>
      <w:pPr>
        <w:spacing w:line="360" w:lineRule="auto"/>
        <w:ind w:firstLine="480" w:firstLineChars="200"/>
        <w:rPr>
          <w:color w:val="000000" w:themeColor="text1"/>
        </w:rPr>
      </w:pPr>
      <w:r>
        <w:rPr>
          <w:rFonts w:hint="eastAsia" w:ascii="Times New Roman" w:hAnsi="Times New Roman" w:eastAsia="宋体" w:cs="Times New Roman"/>
          <w:snapToGrid w:val="0"/>
          <w:color w:val="000000" w:themeColor="text1"/>
          <w:kern w:val="0"/>
          <w:sz w:val="24"/>
        </w:rPr>
        <w:t>化工总控工，有机合成工，无机反应工、环境监测证、污水处理工、化学检验工等</w:t>
      </w:r>
    </w:p>
    <w:p>
      <w:pPr>
        <w:pStyle w:val="3"/>
        <w:ind w:firstLine="480" w:firstLineChars="150"/>
        <w:rPr>
          <w:b w:val="0"/>
        </w:rPr>
      </w:pPr>
      <w:bookmarkStart w:id="15" w:name="_Toc17278744"/>
      <w:bookmarkStart w:id="16" w:name="_Toc26346"/>
      <w:r>
        <w:rPr>
          <w:rFonts w:hint="eastAsia"/>
          <w:b w:val="0"/>
        </w:rPr>
        <w:t>七、课程体系与核心课程（教学内容）</w:t>
      </w:r>
      <w:bookmarkEnd w:id="15"/>
      <w:bookmarkEnd w:id="16"/>
    </w:p>
    <w:p>
      <w:pPr>
        <w:spacing w:line="360" w:lineRule="auto"/>
        <w:ind w:firstLine="300" w:firstLineChars="100"/>
        <w:rPr>
          <w:rFonts w:ascii="黑体" w:hAnsi="黑体" w:eastAsia="黑体" w:cs="黑体"/>
          <w:bCs/>
          <w:sz w:val="30"/>
          <w:szCs w:val="30"/>
        </w:rPr>
      </w:pPr>
      <w:r>
        <w:rPr>
          <w:rFonts w:hint="eastAsia" w:ascii="黑体" w:hAnsi="黑体" w:eastAsia="黑体" w:cs="黑体"/>
          <w:bCs/>
          <w:sz w:val="30"/>
          <w:szCs w:val="30"/>
        </w:rPr>
        <w:t>（一）课程体系设计思路</w:t>
      </w:r>
    </w:p>
    <w:p>
      <w:pPr>
        <w:adjustRightInd w:val="0"/>
        <w:snapToGrid w:val="0"/>
        <w:spacing w:line="360" w:lineRule="auto"/>
        <w:ind w:firstLine="480" w:firstLineChars="200"/>
        <w:rPr>
          <w:rFonts w:ascii="Times New Roman" w:hAnsi="Times New Roman" w:eastAsia="宋体" w:cs="Times New Roman"/>
          <w:sz w:val="28"/>
          <w:szCs w:val="28"/>
        </w:rPr>
      </w:pPr>
      <w:r>
        <w:rPr>
          <w:rFonts w:ascii="Times New Roman" w:hAnsi="Times New Roman" w:eastAsia="宋体" w:cs="Times New Roman"/>
          <w:snapToGrid w:val="0"/>
          <w:kern w:val="0"/>
          <w:sz w:val="24"/>
        </w:rPr>
        <w:t>应用化工技术专业建设要紧跟化工行业技术发展，系统分析企业岗位（群）职业能力要素，以培养学生职业能力、职业素质及可持续发展能力为目标，重构基于工作过程的课程体系。</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基于工作过程系统化的课程体系设计，充分以实际工作体系重新构建课程体系，并按实际工作结构重新设计课程结构，打破传统学科型课程体系。根据岗位群所涵盖的学习领域进行岗位工作任务和职业能力分析，同时遵循高职院校学生的认知规律，考虑工作任务的实用性、典型性、趣味性、可操作性及可拓展性等因素，紧密结合专业能力和职业资格证书中的相关考核要求，设计具体学习课程。</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针对应用化工技术职业岗位标准，通过校企合作，共同设计并实施项目课程。组织现场工程技术专家和专业技术人员进行岗位职业能力分析，并对专业的知识能力层次进行了全面分析和探讨，形成了应知知识和技能，把应用化工技术专业知识和实践技能有机联系起来，使课程之间相互连接，互为整体，形成以岗位为基础，工作任务驱动的课程体系。</w:t>
      </w:r>
    </w:p>
    <w:p>
      <w:pPr>
        <w:spacing w:line="360" w:lineRule="auto"/>
        <w:ind w:firstLine="300" w:firstLineChars="100"/>
        <w:rPr>
          <w:rFonts w:ascii="黑体" w:hAnsi="黑体" w:eastAsia="黑体" w:cs="黑体"/>
          <w:bCs/>
          <w:sz w:val="30"/>
          <w:szCs w:val="30"/>
        </w:rPr>
      </w:pPr>
      <w:r>
        <w:rPr>
          <w:rFonts w:hint="eastAsia" w:ascii="黑体" w:hAnsi="黑体" w:eastAsia="黑体" w:cs="黑体"/>
          <w:bCs/>
          <w:sz w:val="30"/>
          <w:szCs w:val="30"/>
        </w:rPr>
        <w:t>（二）典型工作任务及能力分析</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依据本专业的培养目标及规格要求，结合实践教学经验总结，应用化工技术专业学生典型工作任务与职业能力分析如表1.</w:t>
      </w:r>
      <w:r>
        <w:rPr>
          <w:rFonts w:hint="eastAsia" w:ascii="Times New Roman" w:hAnsi="Times New Roman" w:eastAsia="宋体" w:cs="Times New Roman"/>
          <w:sz w:val="24"/>
        </w:rPr>
        <w:t>1和1.2</w:t>
      </w:r>
      <w:r>
        <w:rPr>
          <w:rFonts w:ascii="Times New Roman" w:hAnsi="Times New Roman" w:eastAsia="宋体" w:cs="Times New Roman"/>
          <w:sz w:val="24"/>
        </w:rPr>
        <w:t>所示。</w:t>
      </w:r>
    </w:p>
    <w:p>
      <w:pPr>
        <w:spacing w:line="360" w:lineRule="auto"/>
        <w:jc w:val="center"/>
        <w:rPr>
          <w:rFonts w:ascii="Times New Roman" w:hAnsi="Times New Roman" w:eastAsia="宋体" w:cs="Times New Roman"/>
          <w:bCs/>
          <w:color w:val="000000" w:themeColor="text1"/>
          <w:sz w:val="24"/>
        </w:rPr>
      </w:pPr>
      <w:r>
        <w:rPr>
          <w:rFonts w:ascii="Times New Roman" w:hAnsi="Times New Roman" w:eastAsia="宋体" w:cs="Times New Roman"/>
          <w:bCs/>
          <w:color w:val="000000" w:themeColor="text1"/>
          <w:sz w:val="24"/>
        </w:rPr>
        <w:t>表1.</w:t>
      </w:r>
      <w:r>
        <w:rPr>
          <w:rFonts w:hint="eastAsia" w:ascii="Times New Roman" w:hAnsi="Times New Roman" w:eastAsia="宋体" w:cs="Times New Roman"/>
          <w:bCs/>
          <w:color w:val="000000" w:themeColor="text1"/>
          <w:sz w:val="24"/>
        </w:rPr>
        <w:t>1</w:t>
      </w:r>
      <w:r>
        <w:rPr>
          <w:rFonts w:ascii="Times New Roman" w:hAnsi="Times New Roman" w:eastAsia="宋体" w:cs="Times New Roman"/>
          <w:bCs/>
          <w:color w:val="000000" w:themeColor="text1"/>
          <w:sz w:val="24"/>
        </w:rPr>
        <w:t xml:space="preserve"> 应用化工技术专业的典型工作任务</w:t>
      </w:r>
    </w:p>
    <w:tbl>
      <w:tblPr>
        <w:tblStyle w:val="19"/>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383"/>
        <w:gridCol w:w="3258"/>
        <w:gridCol w:w="388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641" w:type="dxa"/>
            <w:gridSpan w:val="2"/>
          </w:tcPr>
          <w:p>
            <w:pPr>
              <w:jc w:val="center"/>
              <w:rPr>
                <w:rFonts w:asciiTheme="minorEastAsia" w:hAnsiTheme="minorEastAsia"/>
                <w:b/>
                <w:kern w:val="0"/>
                <w:szCs w:val="21"/>
              </w:rPr>
            </w:pPr>
            <w:r>
              <w:rPr>
                <w:rFonts w:hint="eastAsia" w:asciiTheme="minorEastAsia" w:hAnsiTheme="minorEastAsia"/>
                <w:b/>
                <w:kern w:val="0"/>
                <w:szCs w:val="21"/>
              </w:rPr>
              <w:t>职业岗位群</w:t>
            </w:r>
          </w:p>
        </w:tc>
        <w:tc>
          <w:tcPr>
            <w:tcW w:w="3881" w:type="dxa"/>
          </w:tcPr>
          <w:p>
            <w:pPr>
              <w:jc w:val="center"/>
              <w:rPr>
                <w:rFonts w:asciiTheme="minorEastAsia" w:hAnsiTheme="minorEastAsia"/>
                <w:b/>
                <w:kern w:val="0"/>
                <w:szCs w:val="21"/>
              </w:rPr>
            </w:pPr>
            <w:r>
              <w:rPr>
                <w:rFonts w:hint="eastAsia" w:asciiTheme="minorEastAsia" w:hAnsiTheme="minorEastAsia"/>
                <w:b/>
                <w:kern w:val="0"/>
                <w:szCs w:val="21"/>
              </w:rPr>
              <w:t>典型工作任务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restart"/>
          </w:tcPr>
          <w:p>
            <w:pPr>
              <w:jc w:val="center"/>
              <w:rPr>
                <w:rFonts w:asciiTheme="minorEastAsia" w:hAnsiTheme="minorEastAsia"/>
                <w:kern w:val="0"/>
                <w:szCs w:val="21"/>
              </w:rPr>
            </w:pPr>
          </w:p>
          <w:p>
            <w:pPr>
              <w:jc w:val="center"/>
              <w:rPr>
                <w:rFonts w:asciiTheme="minorEastAsia" w:hAnsiTheme="minorEastAsia"/>
                <w:kern w:val="0"/>
                <w:szCs w:val="21"/>
              </w:rPr>
            </w:pPr>
          </w:p>
          <w:p>
            <w:pPr>
              <w:jc w:val="center"/>
              <w:rPr>
                <w:rFonts w:asciiTheme="minorEastAsia" w:hAnsiTheme="minorEastAsia"/>
                <w:kern w:val="0"/>
                <w:szCs w:val="21"/>
              </w:rPr>
            </w:pPr>
          </w:p>
          <w:p>
            <w:pPr>
              <w:jc w:val="center"/>
              <w:rPr>
                <w:rFonts w:asciiTheme="minorEastAsia" w:hAnsiTheme="minorEastAsia"/>
                <w:kern w:val="0"/>
                <w:szCs w:val="21"/>
              </w:rPr>
            </w:pPr>
          </w:p>
          <w:p>
            <w:pPr>
              <w:jc w:val="center"/>
              <w:rPr>
                <w:rFonts w:asciiTheme="minorEastAsia" w:hAnsiTheme="minorEastAsia"/>
                <w:kern w:val="0"/>
                <w:szCs w:val="21"/>
              </w:rPr>
            </w:pPr>
          </w:p>
          <w:p>
            <w:pPr>
              <w:jc w:val="center"/>
              <w:rPr>
                <w:rFonts w:asciiTheme="minorEastAsia" w:hAnsiTheme="minorEastAsia"/>
                <w:kern w:val="0"/>
                <w:szCs w:val="21"/>
              </w:rPr>
            </w:pPr>
          </w:p>
          <w:p>
            <w:pPr>
              <w:jc w:val="center"/>
              <w:rPr>
                <w:rFonts w:asciiTheme="minorEastAsia" w:hAnsiTheme="minorEastAsia"/>
                <w:kern w:val="0"/>
                <w:szCs w:val="21"/>
              </w:rPr>
            </w:pPr>
            <w:r>
              <w:rPr>
                <w:rFonts w:asciiTheme="minorEastAsia" w:hAnsiTheme="minorEastAsia"/>
                <w:kern w:val="0"/>
                <w:szCs w:val="21"/>
              </w:rPr>
              <w:t>首</w:t>
            </w:r>
          </w:p>
          <w:p>
            <w:pPr>
              <w:jc w:val="center"/>
              <w:rPr>
                <w:rFonts w:asciiTheme="minorEastAsia" w:hAnsiTheme="minorEastAsia"/>
                <w:kern w:val="0"/>
                <w:szCs w:val="21"/>
              </w:rPr>
            </w:pPr>
            <w:r>
              <w:rPr>
                <w:rFonts w:asciiTheme="minorEastAsia" w:hAnsiTheme="minorEastAsia"/>
                <w:kern w:val="0"/>
                <w:szCs w:val="21"/>
              </w:rPr>
              <w:t>次</w:t>
            </w:r>
          </w:p>
          <w:p>
            <w:pPr>
              <w:jc w:val="center"/>
              <w:rPr>
                <w:rFonts w:asciiTheme="minorEastAsia" w:hAnsiTheme="minorEastAsia"/>
                <w:kern w:val="0"/>
                <w:szCs w:val="21"/>
              </w:rPr>
            </w:pPr>
            <w:r>
              <w:rPr>
                <w:rFonts w:asciiTheme="minorEastAsia" w:hAnsiTheme="minorEastAsia"/>
                <w:kern w:val="0"/>
                <w:szCs w:val="21"/>
              </w:rPr>
              <w:t>就</w:t>
            </w:r>
          </w:p>
          <w:p>
            <w:pPr>
              <w:jc w:val="center"/>
              <w:rPr>
                <w:rFonts w:asciiTheme="minorEastAsia" w:hAnsiTheme="minorEastAsia"/>
                <w:kern w:val="0"/>
                <w:szCs w:val="21"/>
              </w:rPr>
            </w:pPr>
            <w:r>
              <w:rPr>
                <w:rFonts w:asciiTheme="minorEastAsia" w:hAnsiTheme="minorEastAsia"/>
                <w:kern w:val="0"/>
                <w:szCs w:val="21"/>
              </w:rPr>
              <w:t>业</w:t>
            </w:r>
          </w:p>
          <w:p>
            <w:pPr>
              <w:jc w:val="center"/>
              <w:rPr>
                <w:rFonts w:asciiTheme="minorEastAsia" w:hAnsiTheme="minorEastAsia"/>
                <w:kern w:val="0"/>
                <w:szCs w:val="21"/>
              </w:rPr>
            </w:pPr>
            <w:r>
              <w:rPr>
                <w:rFonts w:asciiTheme="minorEastAsia" w:hAnsiTheme="minorEastAsia"/>
                <w:kern w:val="0"/>
                <w:szCs w:val="21"/>
              </w:rPr>
              <w:t>岗</w:t>
            </w:r>
          </w:p>
          <w:p>
            <w:pPr>
              <w:jc w:val="center"/>
              <w:rPr>
                <w:rFonts w:asciiTheme="minorEastAsia" w:hAnsiTheme="minorEastAsia"/>
                <w:kern w:val="0"/>
                <w:szCs w:val="21"/>
              </w:rPr>
            </w:pPr>
            <w:r>
              <w:rPr>
                <w:rFonts w:asciiTheme="minorEastAsia" w:hAnsiTheme="minorEastAsia"/>
                <w:kern w:val="0"/>
                <w:szCs w:val="21"/>
              </w:rPr>
              <w:t>位</w:t>
            </w:r>
          </w:p>
        </w:tc>
        <w:tc>
          <w:tcPr>
            <w:tcW w:w="3258" w:type="dxa"/>
            <w:vMerge w:val="restart"/>
          </w:tcPr>
          <w:p>
            <w:pPr>
              <w:rPr>
                <w:rFonts w:asciiTheme="minorEastAsia" w:hAnsiTheme="minorEastAsia"/>
                <w:kern w:val="0"/>
                <w:szCs w:val="21"/>
              </w:rPr>
            </w:pPr>
          </w:p>
          <w:p>
            <w:pPr>
              <w:rPr>
                <w:rFonts w:asciiTheme="minorEastAsia" w:hAnsiTheme="minorEastAsia"/>
                <w:kern w:val="0"/>
                <w:szCs w:val="21"/>
              </w:rPr>
            </w:pPr>
          </w:p>
          <w:p>
            <w:pPr>
              <w:rPr>
                <w:rFonts w:asciiTheme="minorEastAsia" w:hAnsiTheme="minorEastAsia"/>
                <w:kern w:val="0"/>
                <w:szCs w:val="21"/>
              </w:rPr>
            </w:pPr>
          </w:p>
          <w:p>
            <w:pPr>
              <w:rPr>
                <w:rFonts w:asciiTheme="minorEastAsia" w:hAnsiTheme="minorEastAsia"/>
                <w:kern w:val="0"/>
                <w:szCs w:val="21"/>
              </w:rPr>
            </w:pPr>
          </w:p>
          <w:p>
            <w:pPr>
              <w:rPr>
                <w:rFonts w:asciiTheme="minorEastAsia" w:hAnsiTheme="minorEastAsia"/>
                <w:kern w:val="0"/>
                <w:szCs w:val="21"/>
              </w:rPr>
            </w:pPr>
            <w:r>
              <w:rPr>
                <w:rFonts w:hint="eastAsia" w:asciiTheme="minorEastAsia" w:hAnsiTheme="minorEastAsia"/>
                <w:kern w:val="0"/>
                <w:szCs w:val="21"/>
              </w:rPr>
              <w:t>化工生产装置操作及维护岗</w:t>
            </w:r>
          </w:p>
        </w:tc>
        <w:tc>
          <w:tcPr>
            <w:tcW w:w="3881" w:type="dxa"/>
          </w:tcPr>
          <w:p>
            <w:pPr>
              <w:jc w:val="center"/>
              <w:rPr>
                <w:rFonts w:asciiTheme="minorEastAsia" w:hAnsiTheme="minorEastAsia"/>
                <w:kern w:val="0"/>
                <w:szCs w:val="21"/>
              </w:rPr>
            </w:pPr>
            <w:r>
              <w:rPr>
                <w:rFonts w:hint="eastAsia" w:asciiTheme="minorEastAsia" w:hAnsiTheme="minorEastAsia"/>
                <w:kern w:val="0"/>
                <w:szCs w:val="21"/>
              </w:rPr>
              <w:t>工艺流程图识读</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continue"/>
          </w:tcPr>
          <w:p>
            <w:pPr>
              <w:jc w:val="center"/>
              <w:rPr>
                <w:rFonts w:asciiTheme="minorEastAsia" w:hAnsiTheme="minorEastAsia"/>
                <w:kern w:val="0"/>
                <w:szCs w:val="21"/>
              </w:rPr>
            </w:pPr>
          </w:p>
        </w:tc>
        <w:tc>
          <w:tcPr>
            <w:tcW w:w="3258" w:type="dxa"/>
            <w:vMerge w:val="continue"/>
          </w:tcPr>
          <w:p>
            <w:pPr>
              <w:jc w:val="center"/>
              <w:rPr>
                <w:rFonts w:asciiTheme="minorEastAsia" w:hAnsiTheme="minorEastAsia"/>
                <w:kern w:val="0"/>
                <w:szCs w:val="21"/>
              </w:rPr>
            </w:pPr>
          </w:p>
        </w:tc>
        <w:tc>
          <w:tcPr>
            <w:tcW w:w="3881" w:type="dxa"/>
          </w:tcPr>
          <w:p>
            <w:pPr>
              <w:jc w:val="center"/>
              <w:rPr>
                <w:rFonts w:asciiTheme="minorEastAsia" w:hAnsiTheme="minorEastAsia"/>
                <w:kern w:val="0"/>
                <w:szCs w:val="21"/>
              </w:rPr>
            </w:pPr>
            <w:r>
              <w:rPr>
                <w:rFonts w:hint="eastAsia" w:asciiTheme="minorEastAsia" w:hAnsiTheme="minorEastAsia"/>
                <w:kern w:val="0"/>
                <w:szCs w:val="21"/>
              </w:rPr>
              <w:t>装置操作与调控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continue"/>
          </w:tcPr>
          <w:p>
            <w:pPr>
              <w:jc w:val="center"/>
              <w:rPr>
                <w:rFonts w:asciiTheme="minorEastAsia" w:hAnsiTheme="minorEastAsia"/>
                <w:kern w:val="0"/>
                <w:szCs w:val="21"/>
              </w:rPr>
            </w:pPr>
          </w:p>
        </w:tc>
        <w:tc>
          <w:tcPr>
            <w:tcW w:w="3258" w:type="dxa"/>
            <w:vMerge w:val="continue"/>
          </w:tcPr>
          <w:p>
            <w:pPr>
              <w:jc w:val="center"/>
              <w:rPr>
                <w:rFonts w:asciiTheme="minorEastAsia" w:hAnsiTheme="minorEastAsia"/>
                <w:kern w:val="0"/>
                <w:szCs w:val="21"/>
              </w:rPr>
            </w:pPr>
          </w:p>
        </w:tc>
        <w:tc>
          <w:tcPr>
            <w:tcW w:w="3881" w:type="dxa"/>
          </w:tcPr>
          <w:p>
            <w:pPr>
              <w:jc w:val="center"/>
              <w:rPr>
                <w:rFonts w:asciiTheme="minorEastAsia" w:hAnsiTheme="minorEastAsia"/>
                <w:kern w:val="0"/>
                <w:szCs w:val="21"/>
              </w:rPr>
            </w:pPr>
            <w:r>
              <w:rPr>
                <w:rFonts w:hint="eastAsia" w:asciiTheme="minorEastAsia" w:hAnsiTheme="minorEastAsia"/>
                <w:kern w:val="0"/>
                <w:szCs w:val="21"/>
              </w:rPr>
              <w:t>装置巡检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continue"/>
          </w:tcPr>
          <w:p>
            <w:pPr>
              <w:jc w:val="center"/>
              <w:rPr>
                <w:rFonts w:asciiTheme="minorEastAsia" w:hAnsiTheme="minorEastAsia"/>
                <w:kern w:val="0"/>
                <w:szCs w:val="21"/>
              </w:rPr>
            </w:pPr>
          </w:p>
        </w:tc>
        <w:tc>
          <w:tcPr>
            <w:tcW w:w="3258" w:type="dxa"/>
            <w:vMerge w:val="continue"/>
          </w:tcPr>
          <w:p>
            <w:pPr>
              <w:jc w:val="center"/>
              <w:rPr>
                <w:rFonts w:asciiTheme="minorEastAsia" w:hAnsiTheme="minorEastAsia"/>
                <w:kern w:val="0"/>
                <w:szCs w:val="21"/>
              </w:rPr>
            </w:pPr>
          </w:p>
        </w:tc>
        <w:tc>
          <w:tcPr>
            <w:tcW w:w="3881" w:type="dxa"/>
          </w:tcPr>
          <w:p>
            <w:pPr>
              <w:jc w:val="center"/>
              <w:rPr>
                <w:rFonts w:asciiTheme="minorEastAsia" w:hAnsiTheme="minorEastAsia"/>
                <w:kern w:val="0"/>
                <w:szCs w:val="21"/>
              </w:rPr>
            </w:pPr>
            <w:r>
              <w:rPr>
                <w:rFonts w:hint="eastAsia" w:asciiTheme="minorEastAsia" w:hAnsiTheme="minorEastAsia"/>
                <w:kern w:val="0"/>
                <w:szCs w:val="21"/>
              </w:rPr>
              <w:t>设备维护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continue"/>
          </w:tcPr>
          <w:p>
            <w:pPr>
              <w:jc w:val="center"/>
              <w:rPr>
                <w:rFonts w:asciiTheme="minorEastAsia" w:hAnsiTheme="minorEastAsia"/>
                <w:kern w:val="0"/>
                <w:szCs w:val="21"/>
              </w:rPr>
            </w:pPr>
          </w:p>
        </w:tc>
        <w:tc>
          <w:tcPr>
            <w:tcW w:w="3258" w:type="dxa"/>
            <w:vMerge w:val="continue"/>
          </w:tcPr>
          <w:p>
            <w:pPr>
              <w:jc w:val="center"/>
              <w:rPr>
                <w:rFonts w:asciiTheme="minorEastAsia" w:hAnsiTheme="minorEastAsia"/>
                <w:kern w:val="0"/>
                <w:szCs w:val="21"/>
              </w:rPr>
            </w:pPr>
          </w:p>
        </w:tc>
        <w:tc>
          <w:tcPr>
            <w:tcW w:w="3881" w:type="dxa"/>
          </w:tcPr>
          <w:p>
            <w:pPr>
              <w:jc w:val="center"/>
              <w:rPr>
                <w:rFonts w:asciiTheme="minorEastAsia" w:hAnsiTheme="minorEastAsia"/>
                <w:kern w:val="0"/>
                <w:szCs w:val="21"/>
              </w:rPr>
            </w:pPr>
            <w:r>
              <w:rPr>
                <w:rFonts w:hint="eastAsia" w:asciiTheme="minorEastAsia" w:hAnsiTheme="minorEastAsia"/>
                <w:kern w:val="0"/>
                <w:szCs w:val="21"/>
              </w:rPr>
              <w:t>仪表使用、维护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continue"/>
          </w:tcPr>
          <w:p>
            <w:pPr>
              <w:jc w:val="center"/>
              <w:rPr>
                <w:rFonts w:asciiTheme="minorEastAsia" w:hAnsiTheme="minorEastAsia"/>
                <w:kern w:val="0"/>
                <w:szCs w:val="21"/>
              </w:rPr>
            </w:pPr>
          </w:p>
        </w:tc>
        <w:tc>
          <w:tcPr>
            <w:tcW w:w="3258" w:type="dxa"/>
            <w:vMerge w:val="continue"/>
          </w:tcPr>
          <w:p>
            <w:pPr>
              <w:jc w:val="center"/>
              <w:rPr>
                <w:rFonts w:asciiTheme="minorEastAsia" w:hAnsiTheme="minorEastAsia"/>
                <w:kern w:val="0"/>
                <w:szCs w:val="21"/>
              </w:rPr>
            </w:pPr>
          </w:p>
        </w:tc>
        <w:tc>
          <w:tcPr>
            <w:tcW w:w="3881" w:type="dxa"/>
          </w:tcPr>
          <w:p>
            <w:pPr>
              <w:jc w:val="center"/>
              <w:rPr>
                <w:rFonts w:asciiTheme="minorEastAsia" w:hAnsiTheme="minorEastAsia"/>
                <w:kern w:val="0"/>
                <w:szCs w:val="21"/>
              </w:rPr>
            </w:pPr>
            <w:r>
              <w:rPr>
                <w:rFonts w:hint="eastAsia" w:asciiTheme="minorEastAsia" w:hAnsiTheme="minorEastAsia"/>
                <w:kern w:val="0"/>
                <w:szCs w:val="21"/>
              </w:rPr>
              <w:t>化工装置安全防护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continue"/>
          </w:tcPr>
          <w:p>
            <w:pPr>
              <w:jc w:val="center"/>
              <w:rPr>
                <w:rFonts w:asciiTheme="minorEastAsia" w:hAnsiTheme="minorEastAsia"/>
                <w:kern w:val="0"/>
                <w:szCs w:val="21"/>
              </w:rPr>
            </w:pPr>
          </w:p>
        </w:tc>
        <w:tc>
          <w:tcPr>
            <w:tcW w:w="3258" w:type="dxa"/>
            <w:vMerge w:val="continue"/>
          </w:tcPr>
          <w:p>
            <w:pPr>
              <w:jc w:val="center"/>
              <w:rPr>
                <w:rFonts w:asciiTheme="minorEastAsia" w:hAnsiTheme="minorEastAsia"/>
                <w:kern w:val="0"/>
                <w:szCs w:val="21"/>
              </w:rPr>
            </w:pPr>
          </w:p>
        </w:tc>
        <w:tc>
          <w:tcPr>
            <w:tcW w:w="3881" w:type="dxa"/>
          </w:tcPr>
          <w:p>
            <w:pPr>
              <w:jc w:val="center"/>
              <w:rPr>
                <w:rFonts w:asciiTheme="minorEastAsia" w:hAnsiTheme="minorEastAsia"/>
                <w:kern w:val="0"/>
                <w:szCs w:val="21"/>
              </w:rPr>
            </w:pPr>
            <w:r>
              <w:rPr>
                <w:rFonts w:hint="eastAsia" w:asciiTheme="minorEastAsia" w:hAnsiTheme="minorEastAsia"/>
                <w:kern w:val="0"/>
                <w:szCs w:val="21"/>
              </w:rPr>
              <w:t>交接班日志记录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continue"/>
          </w:tcPr>
          <w:p>
            <w:pPr>
              <w:jc w:val="center"/>
              <w:rPr>
                <w:rFonts w:asciiTheme="minorEastAsia" w:hAnsiTheme="minorEastAsia"/>
                <w:kern w:val="0"/>
                <w:szCs w:val="21"/>
              </w:rPr>
            </w:pPr>
          </w:p>
        </w:tc>
        <w:tc>
          <w:tcPr>
            <w:tcW w:w="3258" w:type="dxa"/>
            <w:vMerge w:val="continue"/>
          </w:tcPr>
          <w:p>
            <w:pPr>
              <w:jc w:val="center"/>
              <w:rPr>
                <w:rFonts w:asciiTheme="minorEastAsia" w:hAnsiTheme="minorEastAsia"/>
                <w:kern w:val="0"/>
                <w:szCs w:val="21"/>
              </w:rPr>
            </w:pPr>
          </w:p>
        </w:tc>
        <w:tc>
          <w:tcPr>
            <w:tcW w:w="3881" w:type="dxa"/>
          </w:tcPr>
          <w:p>
            <w:pPr>
              <w:jc w:val="center"/>
              <w:rPr>
                <w:rFonts w:asciiTheme="minorEastAsia" w:hAnsiTheme="minorEastAsia"/>
                <w:kern w:val="0"/>
                <w:szCs w:val="21"/>
              </w:rPr>
            </w:pPr>
            <w:r>
              <w:rPr>
                <w:rFonts w:hint="eastAsia" w:asciiTheme="minorEastAsia" w:hAnsiTheme="minorEastAsia"/>
                <w:kern w:val="0"/>
                <w:szCs w:val="21"/>
              </w:rPr>
              <w:t>岗位操作原始记录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continue"/>
          </w:tcPr>
          <w:p>
            <w:pPr>
              <w:jc w:val="center"/>
              <w:rPr>
                <w:rFonts w:asciiTheme="minorEastAsia" w:hAnsiTheme="minorEastAsia"/>
                <w:kern w:val="0"/>
                <w:szCs w:val="21"/>
              </w:rPr>
            </w:pPr>
          </w:p>
        </w:tc>
        <w:tc>
          <w:tcPr>
            <w:tcW w:w="3258" w:type="dxa"/>
            <w:vMerge w:val="restart"/>
          </w:tcPr>
          <w:p>
            <w:pPr>
              <w:jc w:val="center"/>
              <w:rPr>
                <w:rFonts w:asciiTheme="minorEastAsia" w:hAnsiTheme="minorEastAsia"/>
                <w:kern w:val="0"/>
                <w:szCs w:val="21"/>
              </w:rPr>
            </w:pPr>
          </w:p>
          <w:p>
            <w:pPr>
              <w:jc w:val="center"/>
              <w:rPr>
                <w:rFonts w:asciiTheme="minorEastAsia" w:hAnsiTheme="minorEastAsia"/>
                <w:kern w:val="0"/>
                <w:szCs w:val="21"/>
              </w:rPr>
            </w:pPr>
          </w:p>
          <w:p>
            <w:pPr>
              <w:jc w:val="center"/>
              <w:rPr>
                <w:rFonts w:asciiTheme="minorEastAsia" w:hAnsiTheme="minorEastAsia"/>
                <w:kern w:val="0"/>
                <w:szCs w:val="21"/>
              </w:rPr>
            </w:pPr>
          </w:p>
          <w:p>
            <w:pPr>
              <w:jc w:val="center"/>
              <w:rPr>
                <w:rFonts w:asciiTheme="minorEastAsia" w:hAnsiTheme="minorEastAsia"/>
                <w:kern w:val="0"/>
                <w:szCs w:val="21"/>
              </w:rPr>
            </w:pPr>
          </w:p>
          <w:p>
            <w:pPr>
              <w:ind w:firstLine="105" w:firstLineChars="50"/>
              <w:rPr>
                <w:rFonts w:asciiTheme="minorEastAsia" w:hAnsiTheme="minorEastAsia"/>
                <w:kern w:val="0"/>
                <w:szCs w:val="21"/>
              </w:rPr>
            </w:pPr>
            <w:r>
              <w:rPr>
                <w:rFonts w:hint="eastAsia" w:asciiTheme="minorEastAsia" w:hAnsiTheme="minorEastAsia"/>
                <w:kern w:val="0"/>
                <w:szCs w:val="21"/>
              </w:rPr>
              <w:t>化工生产工艺运行控制岗</w:t>
            </w:r>
          </w:p>
        </w:tc>
        <w:tc>
          <w:tcPr>
            <w:tcW w:w="3881" w:type="dxa"/>
          </w:tcPr>
          <w:p>
            <w:pPr>
              <w:jc w:val="center"/>
              <w:rPr>
                <w:rFonts w:asciiTheme="minorEastAsia" w:hAnsiTheme="minorEastAsia"/>
                <w:kern w:val="0"/>
                <w:szCs w:val="21"/>
              </w:rPr>
            </w:pPr>
            <w:r>
              <w:rPr>
                <w:rFonts w:hint="eastAsia" w:asciiTheme="minorEastAsia" w:hAnsiTheme="minorEastAsia"/>
                <w:kern w:val="0"/>
                <w:szCs w:val="21"/>
              </w:rPr>
              <w:t>工艺流程图识读</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continue"/>
          </w:tcPr>
          <w:p>
            <w:pPr>
              <w:jc w:val="center"/>
              <w:rPr>
                <w:rFonts w:asciiTheme="minorEastAsia" w:hAnsiTheme="minorEastAsia"/>
                <w:kern w:val="0"/>
                <w:szCs w:val="21"/>
              </w:rPr>
            </w:pPr>
          </w:p>
        </w:tc>
        <w:tc>
          <w:tcPr>
            <w:tcW w:w="3258" w:type="dxa"/>
            <w:vMerge w:val="continue"/>
          </w:tcPr>
          <w:p>
            <w:pPr>
              <w:jc w:val="center"/>
              <w:rPr>
                <w:rFonts w:asciiTheme="minorEastAsia" w:hAnsiTheme="minorEastAsia"/>
                <w:kern w:val="0"/>
                <w:szCs w:val="21"/>
              </w:rPr>
            </w:pPr>
          </w:p>
        </w:tc>
        <w:tc>
          <w:tcPr>
            <w:tcW w:w="3881" w:type="dxa"/>
          </w:tcPr>
          <w:p>
            <w:pPr>
              <w:jc w:val="center"/>
              <w:rPr>
                <w:rFonts w:asciiTheme="minorEastAsia" w:hAnsiTheme="minorEastAsia"/>
                <w:kern w:val="0"/>
                <w:szCs w:val="21"/>
              </w:rPr>
            </w:pPr>
            <w:r>
              <w:rPr>
                <w:rFonts w:hint="eastAsia" w:asciiTheme="minorEastAsia" w:hAnsiTheme="minorEastAsia"/>
                <w:kern w:val="0"/>
                <w:szCs w:val="21"/>
              </w:rPr>
              <w:t>原料预处理过程工艺运行控制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continue"/>
          </w:tcPr>
          <w:p>
            <w:pPr>
              <w:jc w:val="center"/>
              <w:rPr>
                <w:rFonts w:asciiTheme="minorEastAsia" w:hAnsiTheme="minorEastAsia"/>
                <w:kern w:val="0"/>
                <w:szCs w:val="21"/>
              </w:rPr>
            </w:pPr>
          </w:p>
        </w:tc>
        <w:tc>
          <w:tcPr>
            <w:tcW w:w="3258" w:type="dxa"/>
            <w:vMerge w:val="continue"/>
          </w:tcPr>
          <w:p>
            <w:pPr>
              <w:jc w:val="center"/>
              <w:rPr>
                <w:rFonts w:asciiTheme="minorEastAsia" w:hAnsiTheme="minorEastAsia"/>
                <w:kern w:val="0"/>
                <w:szCs w:val="21"/>
              </w:rPr>
            </w:pPr>
          </w:p>
        </w:tc>
        <w:tc>
          <w:tcPr>
            <w:tcW w:w="3881" w:type="dxa"/>
          </w:tcPr>
          <w:p>
            <w:pPr>
              <w:jc w:val="center"/>
              <w:rPr>
                <w:rFonts w:asciiTheme="minorEastAsia" w:hAnsiTheme="minorEastAsia"/>
                <w:kern w:val="0"/>
                <w:szCs w:val="21"/>
              </w:rPr>
            </w:pPr>
            <w:r>
              <w:rPr>
                <w:rFonts w:hint="eastAsia" w:asciiTheme="minorEastAsia" w:hAnsiTheme="minorEastAsia"/>
                <w:kern w:val="0"/>
                <w:szCs w:val="21"/>
              </w:rPr>
              <w:t>反应过程工艺参数运行控制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continue"/>
          </w:tcPr>
          <w:p>
            <w:pPr>
              <w:jc w:val="center"/>
              <w:rPr>
                <w:rFonts w:asciiTheme="minorEastAsia" w:hAnsiTheme="minorEastAsia"/>
                <w:kern w:val="0"/>
                <w:szCs w:val="21"/>
              </w:rPr>
            </w:pPr>
          </w:p>
        </w:tc>
        <w:tc>
          <w:tcPr>
            <w:tcW w:w="3258" w:type="dxa"/>
            <w:vMerge w:val="continue"/>
          </w:tcPr>
          <w:p>
            <w:pPr>
              <w:jc w:val="center"/>
              <w:rPr>
                <w:rFonts w:asciiTheme="minorEastAsia" w:hAnsiTheme="minorEastAsia"/>
                <w:kern w:val="0"/>
                <w:szCs w:val="21"/>
              </w:rPr>
            </w:pPr>
          </w:p>
        </w:tc>
        <w:tc>
          <w:tcPr>
            <w:tcW w:w="3881" w:type="dxa"/>
          </w:tcPr>
          <w:p>
            <w:pPr>
              <w:jc w:val="center"/>
              <w:rPr>
                <w:rFonts w:asciiTheme="minorEastAsia" w:hAnsiTheme="minorEastAsia"/>
                <w:kern w:val="0"/>
                <w:szCs w:val="21"/>
              </w:rPr>
            </w:pPr>
            <w:r>
              <w:rPr>
                <w:rFonts w:hint="eastAsia" w:asciiTheme="minorEastAsia" w:hAnsiTheme="minorEastAsia"/>
                <w:kern w:val="0"/>
                <w:szCs w:val="21"/>
              </w:rPr>
              <w:t>粗产品精制过程工艺运行控制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continue"/>
          </w:tcPr>
          <w:p>
            <w:pPr>
              <w:jc w:val="center"/>
              <w:rPr>
                <w:rFonts w:asciiTheme="minorEastAsia" w:hAnsiTheme="minorEastAsia"/>
                <w:kern w:val="0"/>
                <w:szCs w:val="21"/>
              </w:rPr>
            </w:pPr>
          </w:p>
        </w:tc>
        <w:tc>
          <w:tcPr>
            <w:tcW w:w="3258" w:type="dxa"/>
            <w:vMerge w:val="continue"/>
          </w:tcPr>
          <w:p>
            <w:pPr>
              <w:jc w:val="center"/>
              <w:rPr>
                <w:rFonts w:asciiTheme="minorEastAsia" w:hAnsiTheme="minorEastAsia"/>
                <w:kern w:val="0"/>
                <w:szCs w:val="21"/>
              </w:rPr>
            </w:pPr>
          </w:p>
        </w:tc>
        <w:tc>
          <w:tcPr>
            <w:tcW w:w="3881" w:type="dxa"/>
          </w:tcPr>
          <w:p>
            <w:pPr>
              <w:jc w:val="center"/>
              <w:rPr>
                <w:rFonts w:asciiTheme="minorEastAsia" w:hAnsiTheme="minorEastAsia"/>
                <w:kern w:val="0"/>
                <w:szCs w:val="21"/>
              </w:rPr>
            </w:pPr>
            <w:r>
              <w:rPr>
                <w:rFonts w:hint="eastAsia" w:asciiTheme="minorEastAsia" w:hAnsiTheme="minorEastAsia"/>
                <w:kern w:val="0"/>
                <w:szCs w:val="21"/>
              </w:rPr>
              <w:t>物料输送过程工艺运行控制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continue"/>
          </w:tcPr>
          <w:p>
            <w:pPr>
              <w:jc w:val="center"/>
              <w:rPr>
                <w:rFonts w:asciiTheme="minorEastAsia" w:hAnsiTheme="minorEastAsia"/>
                <w:kern w:val="0"/>
                <w:szCs w:val="21"/>
              </w:rPr>
            </w:pPr>
          </w:p>
        </w:tc>
        <w:tc>
          <w:tcPr>
            <w:tcW w:w="3258" w:type="dxa"/>
            <w:vMerge w:val="continue"/>
          </w:tcPr>
          <w:p>
            <w:pPr>
              <w:jc w:val="center"/>
              <w:rPr>
                <w:rFonts w:asciiTheme="minorEastAsia" w:hAnsiTheme="minorEastAsia"/>
                <w:kern w:val="0"/>
                <w:szCs w:val="21"/>
              </w:rPr>
            </w:pPr>
          </w:p>
        </w:tc>
        <w:tc>
          <w:tcPr>
            <w:tcW w:w="3881" w:type="dxa"/>
          </w:tcPr>
          <w:p>
            <w:pPr>
              <w:jc w:val="center"/>
              <w:rPr>
                <w:rFonts w:asciiTheme="minorEastAsia" w:hAnsiTheme="minorEastAsia"/>
                <w:kern w:val="0"/>
                <w:szCs w:val="21"/>
              </w:rPr>
            </w:pPr>
            <w:r>
              <w:rPr>
                <w:rFonts w:hint="eastAsia" w:asciiTheme="minorEastAsia" w:hAnsiTheme="minorEastAsia"/>
                <w:kern w:val="0"/>
                <w:szCs w:val="21"/>
              </w:rPr>
              <w:t>原料、中间产品、产品检验</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continue"/>
          </w:tcPr>
          <w:p>
            <w:pPr>
              <w:jc w:val="center"/>
              <w:rPr>
                <w:rFonts w:asciiTheme="minorEastAsia" w:hAnsiTheme="minorEastAsia"/>
                <w:kern w:val="0"/>
                <w:szCs w:val="21"/>
              </w:rPr>
            </w:pPr>
          </w:p>
        </w:tc>
        <w:tc>
          <w:tcPr>
            <w:tcW w:w="3258" w:type="dxa"/>
            <w:vMerge w:val="continue"/>
          </w:tcPr>
          <w:p>
            <w:pPr>
              <w:jc w:val="center"/>
              <w:rPr>
                <w:rFonts w:asciiTheme="minorEastAsia" w:hAnsiTheme="minorEastAsia"/>
                <w:kern w:val="0"/>
                <w:szCs w:val="21"/>
              </w:rPr>
            </w:pPr>
          </w:p>
        </w:tc>
        <w:tc>
          <w:tcPr>
            <w:tcW w:w="3881" w:type="dxa"/>
          </w:tcPr>
          <w:p>
            <w:pPr>
              <w:jc w:val="center"/>
              <w:rPr>
                <w:rFonts w:asciiTheme="minorEastAsia" w:hAnsiTheme="minorEastAsia"/>
                <w:kern w:val="0"/>
                <w:szCs w:val="21"/>
              </w:rPr>
            </w:pPr>
            <w:r>
              <w:rPr>
                <w:rFonts w:hint="eastAsia" w:asciiTheme="minorEastAsia" w:hAnsiTheme="minorEastAsia"/>
                <w:kern w:val="0"/>
                <w:szCs w:val="21"/>
              </w:rPr>
              <w:t>三废处理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continue"/>
          </w:tcPr>
          <w:p>
            <w:pPr>
              <w:jc w:val="center"/>
              <w:rPr>
                <w:rFonts w:asciiTheme="minorEastAsia" w:hAnsiTheme="minorEastAsia"/>
                <w:kern w:val="0"/>
                <w:szCs w:val="21"/>
              </w:rPr>
            </w:pPr>
          </w:p>
        </w:tc>
        <w:tc>
          <w:tcPr>
            <w:tcW w:w="3258" w:type="dxa"/>
            <w:vMerge w:val="continue"/>
          </w:tcPr>
          <w:p>
            <w:pPr>
              <w:jc w:val="center"/>
              <w:rPr>
                <w:rFonts w:asciiTheme="minorEastAsia" w:hAnsiTheme="minorEastAsia"/>
                <w:kern w:val="0"/>
                <w:szCs w:val="21"/>
              </w:rPr>
            </w:pPr>
          </w:p>
        </w:tc>
        <w:tc>
          <w:tcPr>
            <w:tcW w:w="3881" w:type="dxa"/>
          </w:tcPr>
          <w:p>
            <w:pPr>
              <w:jc w:val="center"/>
              <w:rPr>
                <w:rFonts w:asciiTheme="minorEastAsia" w:hAnsiTheme="minorEastAsia"/>
                <w:kern w:val="0"/>
                <w:szCs w:val="21"/>
              </w:rPr>
            </w:pPr>
            <w:r>
              <w:rPr>
                <w:rFonts w:hint="eastAsia" w:asciiTheme="minorEastAsia" w:hAnsiTheme="minorEastAsia"/>
                <w:kern w:val="0"/>
                <w:szCs w:val="21"/>
              </w:rPr>
              <w:t>交接班日志记录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continue"/>
          </w:tcPr>
          <w:p>
            <w:pPr>
              <w:jc w:val="center"/>
              <w:rPr>
                <w:rFonts w:asciiTheme="minorEastAsia" w:hAnsiTheme="minorEastAsia"/>
                <w:kern w:val="0"/>
                <w:szCs w:val="21"/>
              </w:rPr>
            </w:pPr>
          </w:p>
        </w:tc>
        <w:tc>
          <w:tcPr>
            <w:tcW w:w="3258" w:type="dxa"/>
            <w:vMerge w:val="continue"/>
          </w:tcPr>
          <w:p>
            <w:pPr>
              <w:jc w:val="center"/>
              <w:rPr>
                <w:rFonts w:asciiTheme="minorEastAsia" w:hAnsiTheme="minorEastAsia"/>
                <w:kern w:val="0"/>
                <w:szCs w:val="21"/>
              </w:rPr>
            </w:pPr>
          </w:p>
        </w:tc>
        <w:tc>
          <w:tcPr>
            <w:tcW w:w="3881" w:type="dxa"/>
          </w:tcPr>
          <w:p>
            <w:pPr>
              <w:jc w:val="center"/>
              <w:rPr>
                <w:rFonts w:asciiTheme="minorEastAsia" w:hAnsiTheme="minorEastAsia"/>
                <w:kern w:val="0"/>
                <w:szCs w:val="21"/>
              </w:rPr>
            </w:pPr>
            <w:r>
              <w:rPr>
                <w:rFonts w:hint="eastAsia" w:asciiTheme="minorEastAsia" w:hAnsiTheme="minorEastAsia"/>
                <w:kern w:val="0"/>
                <w:szCs w:val="21"/>
              </w:rPr>
              <w:t>主控室装置监控及操作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continue"/>
          </w:tcPr>
          <w:p>
            <w:pPr>
              <w:jc w:val="center"/>
              <w:rPr>
                <w:rFonts w:asciiTheme="minorEastAsia" w:hAnsiTheme="minorEastAsia"/>
                <w:kern w:val="0"/>
                <w:szCs w:val="21"/>
              </w:rPr>
            </w:pPr>
          </w:p>
        </w:tc>
        <w:tc>
          <w:tcPr>
            <w:tcW w:w="3258" w:type="dxa"/>
            <w:vMerge w:val="continue"/>
          </w:tcPr>
          <w:p>
            <w:pPr>
              <w:jc w:val="center"/>
              <w:rPr>
                <w:rFonts w:asciiTheme="minorEastAsia" w:hAnsiTheme="minorEastAsia"/>
                <w:kern w:val="0"/>
                <w:szCs w:val="21"/>
              </w:rPr>
            </w:pPr>
          </w:p>
        </w:tc>
        <w:tc>
          <w:tcPr>
            <w:tcW w:w="3881" w:type="dxa"/>
          </w:tcPr>
          <w:p>
            <w:pPr>
              <w:jc w:val="center"/>
              <w:rPr>
                <w:rFonts w:asciiTheme="minorEastAsia" w:hAnsiTheme="minorEastAsia"/>
                <w:kern w:val="0"/>
                <w:szCs w:val="21"/>
              </w:rPr>
            </w:pPr>
            <w:r>
              <w:rPr>
                <w:rFonts w:hint="eastAsia" w:asciiTheme="minorEastAsia" w:hAnsiTheme="minorEastAsia"/>
                <w:kern w:val="0"/>
                <w:szCs w:val="21"/>
              </w:rPr>
              <w:t>岗位操作原始记录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restart"/>
          </w:tcPr>
          <w:p>
            <w:pPr>
              <w:jc w:val="center"/>
              <w:rPr>
                <w:rFonts w:asciiTheme="minorEastAsia" w:hAnsiTheme="minorEastAsia"/>
                <w:kern w:val="0"/>
                <w:szCs w:val="21"/>
              </w:rPr>
            </w:pPr>
          </w:p>
          <w:p>
            <w:pPr>
              <w:jc w:val="center"/>
              <w:rPr>
                <w:rFonts w:asciiTheme="minorEastAsia" w:hAnsiTheme="minorEastAsia"/>
                <w:kern w:val="0"/>
                <w:szCs w:val="21"/>
              </w:rPr>
            </w:pPr>
            <w:r>
              <w:rPr>
                <w:rFonts w:asciiTheme="minorEastAsia" w:hAnsiTheme="minorEastAsia"/>
                <w:kern w:val="0"/>
                <w:szCs w:val="21"/>
              </w:rPr>
              <w:t>发</w:t>
            </w:r>
          </w:p>
          <w:p>
            <w:pPr>
              <w:jc w:val="center"/>
              <w:rPr>
                <w:rFonts w:asciiTheme="minorEastAsia" w:hAnsiTheme="minorEastAsia"/>
                <w:kern w:val="0"/>
                <w:szCs w:val="21"/>
              </w:rPr>
            </w:pPr>
            <w:r>
              <w:rPr>
                <w:rFonts w:asciiTheme="minorEastAsia" w:hAnsiTheme="minorEastAsia"/>
                <w:kern w:val="0"/>
                <w:szCs w:val="21"/>
              </w:rPr>
              <w:t>展</w:t>
            </w:r>
          </w:p>
          <w:p>
            <w:pPr>
              <w:jc w:val="center"/>
              <w:rPr>
                <w:rFonts w:asciiTheme="minorEastAsia" w:hAnsiTheme="minorEastAsia"/>
                <w:kern w:val="0"/>
                <w:szCs w:val="21"/>
              </w:rPr>
            </w:pPr>
            <w:r>
              <w:rPr>
                <w:rFonts w:asciiTheme="minorEastAsia" w:hAnsiTheme="minorEastAsia"/>
                <w:kern w:val="0"/>
                <w:szCs w:val="21"/>
              </w:rPr>
              <w:t>岗</w:t>
            </w:r>
          </w:p>
          <w:p>
            <w:pPr>
              <w:jc w:val="center"/>
              <w:rPr>
                <w:rFonts w:asciiTheme="minorEastAsia" w:hAnsiTheme="minorEastAsia"/>
                <w:kern w:val="0"/>
                <w:szCs w:val="21"/>
              </w:rPr>
            </w:pPr>
            <w:r>
              <w:rPr>
                <w:rFonts w:asciiTheme="minorEastAsia" w:hAnsiTheme="minorEastAsia"/>
                <w:kern w:val="0"/>
                <w:szCs w:val="21"/>
              </w:rPr>
              <w:t>位</w:t>
            </w:r>
          </w:p>
        </w:tc>
        <w:tc>
          <w:tcPr>
            <w:tcW w:w="3258" w:type="dxa"/>
            <w:vMerge w:val="restart"/>
          </w:tcPr>
          <w:p>
            <w:pPr>
              <w:jc w:val="center"/>
              <w:rPr>
                <w:rFonts w:asciiTheme="minorEastAsia" w:hAnsiTheme="minorEastAsia"/>
                <w:kern w:val="0"/>
                <w:szCs w:val="21"/>
              </w:rPr>
            </w:pPr>
          </w:p>
          <w:p>
            <w:pPr>
              <w:jc w:val="center"/>
              <w:rPr>
                <w:rFonts w:asciiTheme="minorEastAsia" w:hAnsiTheme="minorEastAsia"/>
                <w:kern w:val="0"/>
                <w:szCs w:val="21"/>
              </w:rPr>
            </w:pPr>
          </w:p>
          <w:p>
            <w:pPr>
              <w:jc w:val="center"/>
              <w:rPr>
                <w:rFonts w:asciiTheme="minorEastAsia" w:hAnsiTheme="minorEastAsia"/>
                <w:kern w:val="0"/>
                <w:szCs w:val="21"/>
              </w:rPr>
            </w:pPr>
            <w:r>
              <w:rPr>
                <w:rFonts w:hint="eastAsia" w:asciiTheme="minorEastAsia" w:hAnsiTheme="minorEastAsia"/>
                <w:kern w:val="0"/>
                <w:szCs w:val="21"/>
              </w:rPr>
              <w:t>化工工艺管理岗位</w:t>
            </w:r>
          </w:p>
        </w:tc>
        <w:tc>
          <w:tcPr>
            <w:tcW w:w="3881" w:type="dxa"/>
          </w:tcPr>
          <w:p>
            <w:pPr>
              <w:jc w:val="center"/>
              <w:rPr>
                <w:rFonts w:asciiTheme="minorEastAsia" w:hAnsiTheme="minorEastAsia"/>
                <w:kern w:val="0"/>
                <w:szCs w:val="21"/>
              </w:rPr>
            </w:pPr>
            <w:r>
              <w:rPr>
                <w:rFonts w:hint="eastAsia" w:asciiTheme="minorEastAsia" w:hAnsiTheme="minorEastAsia"/>
                <w:kern w:val="0"/>
                <w:szCs w:val="21"/>
              </w:rPr>
              <w:t>生产过程管理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continue"/>
          </w:tcPr>
          <w:p>
            <w:pPr>
              <w:jc w:val="center"/>
              <w:rPr>
                <w:rFonts w:asciiTheme="minorEastAsia" w:hAnsiTheme="minorEastAsia"/>
                <w:kern w:val="0"/>
                <w:szCs w:val="21"/>
              </w:rPr>
            </w:pPr>
          </w:p>
        </w:tc>
        <w:tc>
          <w:tcPr>
            <w:tcW w:w="3258" w:type="dxa"/>
            <w:vMerge w:val="continue"/>
          </w:tcPr>
          <w:p>
            <w:pPr>
              <w:jc w:val="center"/>
              <w:rPr>
                <w:rFonts w:asciiTheme="minorEastAsia" w:hAnsiTheme="minorEastAsia"/>
                <w:kern w:val="0"/>
                <w:szCs w:val="21"/>
              </w:rPr>
            </w:pPr>
          </w:p>
        </w:tc>
        <w:tc>
          <w:tcPr>
            <w:tcW w:w="3881" w:type="dxa"/>
          </w:tcPr>
          <w:p>
            <w:pPr>
              <w:jc w:val="center"/>
              <w:rPr>
                <w:rFonts w:asciiTheme="minorEastAsia" w:hAnsiTheme="minorEastAsia"/>
                <w:kern w:val="0"/>
                <w:szCs w:val="21"/>
              </w:rPr>
            </w:pPr>
            <w:r>
              <w:rPr>
                <w:rFonts w:hint="eastAsia" w:asciiTheme="minorEastAsia" w:hAnsiTheme="minorEastAsia"/>
                <w:kern w:val="0"/>
                <w:szCs w:val="21"/>
              </w:rPr>
              <w:t>组织工艺培训</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continue"/>
          </w:tcPr>
          <w:p>
            <w:pPr>
              <w:jc w:val="center"/>
              <w:rPr>
                <w:rFonts w:asciiTheme="minorEastAsia" w:hAnsiTheme="minorEastAsia"/>
                <w:kern w:val="0"/>
                <w:szCs w:val="21"/>
              </w:rPr>
            </w:pPr>
          </w:p>
        </w:tc>
        <w:tc>
          <w:tcPr>
            <w:tcW w:w="3258" w:type="dxa"/>
            <w:vMerge w:val="continue"/>
          </w:tcPr>
          <w:p>
            <w:pPr>
              <w:jc w:val="center"/>
              <w:rPr>
                <w:rFonts w:asciiTheme="minorEastAsia" w:hAnsiTheme="minorEastAsia"/>
                <w:kern w:val="0"/>
                <w:szCs w:val="21"/>
              </w:rPr>
            </w:pPr>
          </w:p>
        </w:tc>
        <w:tc>
          <w:tcPr>
            <w:tcW w:w="3881" w:type="dxa"/>
          </w:tcPr>
          <w:p>
            <w:pPr>
              <w:jc w:val="center"/>
              <w:rPr>
                <w:rFonts w:asciiTheme="minorEastAsia" w:hAnsiTheme="minorEastAsia"/>
                <w:kern w:val="0"/>
                <w:szCs w:val="21"/>
              </w:rPr>
            </w:pPr>
            <w:r>
              <w:rPr>
                <w:rFonts w:asciiTheme="minorEastAsia" w:hAnsiTheme="minorEastAsia"/>
                <w:kern w:val="0"/>
                <w:szCs w:val="21"/>
              </w:rPr>
              <w:t>检查工艺条件执行情况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continue"/>
          </w:tcPr>
          <w:p>
            <w:pPr>
              <w:jc w:val="center"/>
              <w:rPr>
                <w:rFonts w:asciiTheme="minorEastAsia" w:hAnsiTheme="minorEastAsia"/>
                <w:kern w:val="0"/>
                <w:szCs w:val="21"/>
              </w:rPr>
            </w:pPr>
          </w:p>
        </w:tc>
        <w:tc>
          <w:tcPr>
            <w:tcW w:w="3258" w:type="dxa"/>
            <w:vMerge w:val="continue"/>
          </w:tcPr>
          <w:p>
            <w:pPr>
              <w:jc w:val="center"/>
              <w:rPr>
                <w:rFonts w:asciiTheme="minorEastAsia" w:hAnsiTheme="minorEastAsia"/>
                <w:kern w:val="0"/>
                <w:szCs w:val="21"/>
              </w:rPr>
            </w:pPr>
          </w:p>
        </w:tc>
        <w:tc>
          <w:tcPr>
            <w:tcW w:w="3881" w:type="dxa"/>
          </w:tcPr>
          <w:p>
            <w:pPr>
              <w:jc w:val="center"/>
              <w:rPr>
                <w:rFonts w:asciiTheme="minorEastAsia" w:hAnsiTheme="minorEastAsia"/>
                <w:kern w:val="0"/>
                <w:szCs w:val="21"/>
              </w:rPr>
            </w:pPr>
            <w:r>
              <w:rPr>
                <w:rFonts w:hint="eastAsia" w:asciiTheme="minorEastAsia" w:hAnsiTheme="minorEastAsia"/>
                <w:kern w:val="0"/>
                <w:szCs w:val="21"/>
              </w:rPr>
              <w:t>参与处理生产中出现的技术问题</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continue"/>
          </w:tcPr>
          <w:p>
            <w:pPr>
              <w:jc w:val="center"/>
              <w:rPr>
                <w:rFonts w:asciiTheme="minorEastAsia" w:hAnsiTheme="minorEastAsia"/>
                <w:kern w:val="0"/>
                <w:szCs w:val="21"/>
              </w:rPr>
            </w:pPr>
          </w:p>
        </w:tc>
        <w:tc>
          <w:tcPr>
            <w:tcW w:w="3258" w:type="dxa"/>
            <w:vMerge w:val="continue"/>
          </w:tcPr>
          <w:p>
            <w:pPr>
              <w:jc w:val="center"/>
              <w:rPr>
                <w:rFonts w:asciiTheme="minorEastAsia" w:hAnsiTheme="minorEastAsia"/>
                <w:kern w:val="0"/>
                <w:szCs w:val="21"/>
              </w:rPr>
            </w:pPr>
          </w:p>
        </w:tc>
        <w:tc>
          <w:tcPr>
            <w:tcW w:w="3881" w:type="dxa"/>
          </w:tcPr>
          <w:p>
            <w:pPr>
              <w:jc w:val="center"/>
              <w:rPr>
                <w:rFonts w:asciiTheme="minorEastAsia" w:hAnsiTheme="minorEastAsia"/>
                <w:kern w:val="0"/>
                <w:szCs w:val="21"/>
              </w:rPr>
            </w:pPr>
            <w:r>
              <w:rPr>
                <w:rFonts w:hint="eastAsia" w:asciiTheme="minorEastAsia" w:hAnsiTheme="minorEastAsia"/>
                <w:kern w:val="0"/>
                <w:szCs w:val="21"/>
              </w:rPr>
              <w:t>参与开停车方案制定</w:t>
            </w:r>
          </w:p>
        </w:tc>
      </w:tr>
    </w:tbl>
    <w:p>
      <w:pPr>
        <w:spacing w:line="360" w:lineRule="auto"/>
        <w:jc w:val="center"/>
        <w:rPr>
          <w:rFonts w:ascii="Times New Roman" w:hAnsi="Times New Roman" w:eastAsia="宋体" w:cs="Times New Roman"/>
          <w:bCs/>
          <w:color w:val="000000" w:themeColor="text1"/>
          <w:sz w:val="24"/>
        </w:rPr>
      </w:pPr>
      <w:r>
        <w:rPr>
          <w:rFonts w:ascii="Times New Roman" w:hAnsi="Times New Roman" w:eastAsia="宋体" w:cs="Times New Roman"/>
          <w:bCs/>
          <w:color w:val="000000" w:themeColor="text1"/>
          <w:sz w:val="24"/>
        </w:rPr>
        <w:t>表1.</w:t>
      </w:r>
      <w:r>
        <w:rPr>
          <w:rFonts w:hint="eastAsia" w:ascii="Times New Roman" w:hAnsi="Times New Roman" w:eastAsia="宋体" w:cs="Times New Roman"/>
          <w:bCs/>
          <w:color w:val="000000" w:themeColor="text1"/>
          <w:sz w:val="24"/>
        </w:rPr>
        <w:t>2</w:t>
      </w:r>
      <w:r>
        <w:rPr>
          <w:rFonts w:ascii="Times New Roman" w:hAnsi="Times New Roman" w:eastAsia="宋体" w:cs="Times New Roman"/>
          <w:bCs/>
          <w:color w:val="000000" w:themeColor="text1"/>
          <w:sz w:val="24"/>
        </w:rPr>
        <w:t xml:space="preserve"> 应用化工技术专业的能力分析</w:t>
      </w:r>
    </w:p>
    <w:tbl>
      <w:tblPr>
        <w:tblStyle w:val="19"/>
        <w:tblW w:w="852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3"/>
        <w:gridCol w:w="1841"/>
        <w:gridCol w:w="2738"/>
        <w:gridCol w:w="1705"/>
        <w:gridCol w:w="170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374" w:type="dxa"/>
            <w:gridSpan w:val="2"/>
          </w:tcPr>
          <w:p>
            <w:pPr>
              <w:jc w:val="center"/>
              <w:rPr>
                <w:rFonts w:asciiTheme="minorEastAsia" w:hAnsiTheme="minorEastAsia"/>
                <w:b/>
                <w:szCs w:val="21"/>
              </w:rPr>
            </w:pPr>
            <w:r>
              <w:rPr>
                <w:rFonts w:hint="eastAsia" w:asciiTheme="minorEastAsia" w:hAnsiTheme="minorEastAsia"/>
                <w:b/>
                <w:szCs w:val="21"/>
              </w:rPr>
              <w:t>职业岗位</w:t>
            </w:r>
          </w:p>
        </w:tc>
        <w:tc>
          <w:tcPr>
            <w:tcW w:w="2738" w:type="dxa"/>
          </w:tcPr>
          <w:p>
            <w:pPr>
              <w:jc w:val="center"/>
              <w:rPr>
                <w:rFonts w:asciiTheme="minorEastAsia" w:hAnsiTheme="minorEastAsia"/>
                <w:b/>
                <w:szCs w:val="21"/>
              </w:rPr>
            </w:pPr>
            <w:r>
              <w:rPr>
                <w:rFonts w:hint="eastAsia" w:asciiTheme="minorEastAsia" w:hAnsiTheme="minorEastAsia"/>
                <w:b/>
                <w:szCs w:val="21"/>
              </w:rPr>
              <w:t>专业职业能力</w:t>
            </w:r>
          </w:p>
        </w:tc>
        <w:tc>
          <w:tcPr>
            <w:tcW w:w="1705" w:type="dxa"/>
          </w:tcPr>
          <w:p>
            <w:pPr>
              <w:jc w:val="center"/>
              <w:rPr>
                <w:rFonts w:asciiTheme="minorEastAsia" w:hAnsiTheme="minorEastAsia"/>
                <w:b/>
                <w:szCs w:val="21"/>
              </w:rPr>
            </w:pPr>
            <w:r>
              <w:rPr>
                <w:rFonts w:hint="eastAsia" w:asciiTheme="minorEastAsia" w:hAnsiTheme="minorEastAsia"/>
                <w:b/>
                <w:szCs w:val="21"/>
              </w:rPr>
              <w:t>社会能力</w:t>
            </w:r>
          </w:p>
        </w:tc>
        <w:tc>
          <w:tcPr>
            <w:tcW w:w="1705" w:type="dxa"/>
          </w:tcPr>
          <w:p>
            <w:pPr>
              <w:jc w:val="center"/>
              <w:rPr>
                <w:rFonts w:asciiTheme="minorEastAsia" w:hAnsiTheme="minorEastAsia"/>
                <w:b/>
                <w:szCs w:val="21"/>
              </w:rPr>
            </w:pPr>
            <w:r>
              <w:rPr>
                <w:rFonts w:hint="eastAsia" w:asciiTheme="minorEastAsia" w:hAnsiTheme="minorEastAsia"/>
                <w:b/>
                <w:szCs w:val="21"/>
              </w:rPr>
              <w:t>方法能力</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restart"/>
          </w:tcPr>
          <w:p>
            <w:pPr>
              <w:spacing w:line="360" w:lineRule="auto"/>
              <w:jc w:val="center"/>
              <w:rPr>
                <w:rFonts w:asciiTheme="minorEastAsia" w:hAnsiTheme="minorEastAsia"/>
                <w:kern w:val="0"/>
                <w:szCs w:val="21"/>
              </w:rPr>
            </w:pPr>
          </w:p>
          <w:p>
            <w:pPr>
              <w:spacing w:line="360" w:lineRule="auto"/>
              <w:jc w:val="center"/>
              <w:rPr>
                <w:rFonts w:asciiTheme="minorEastAsia" w:hAnsiTheme="minorEastAsia"/>
                <w:kern w:val="0"/>
                <w:szCs w:val="21"/>
              </w:rPr>
            </w:pPr>
          </w:p>
          <w:p>
            <w:pPr>
              <w:spacing w:line="360" w:lineRule="auto"/>
              <w:jc w:val="center"/>
              <w:rPr>
                <w:rFonts w:asciiTheme="minorEastAsia" w:hAnsiTheme="minorEastAsia"/>
                <w:kern w:val="0"/>
                <w:szCs w:val="21"/>
              </w:rPr>
            </w:pPr>
          </w:p>
          <w:p>
            <w:pPr>
              <w:spacing w:line="360" w:lineRule="auto"/>
              <w:jc w:val="center"/>
              <w:rPr>
                <w:rFonts w:asciiTheme="minorEastAsia" w:hAnsiTheme="minorEastAsia"/>
                <w:kern w:val="0"/>
                <w:szCs w:val="21"/>
              </w:rPr>
            </w:pPr>
            <w:r>
              <w:rPr>
                <w:rFonts w:asciiTheme="minorEastAsia" w:hAnsiTheme="minorEastAsia"/>
                <w:kern w:val="0"/>
                <w:szCs w:val="21"/>
              </w:rPr>
              <w:t>首</w:t>
            </w:r>
          </w:p>
          <w:p>
            <w:pPr>
              <w:spacing w:line="360" w:lineRule="auto"/>
              <w:jc w:val="center"/>
              <w:rPr>
                <w:rFonts w:asciiTheme="minorEastAsia" w:hAnsiTheme="minorEastAsia"/>
                <w:kern w:val="0"/>
                <w:szCs w:val="21"/>
              </w:rPr>
            </w:pPr>
            <w:r>
              <w:rPr>
                <w:rFonts w:asciiTheme="minorEastAsia" w:hAnsiTheme="minorEastAsia"/>
                <w:kern w:val="0"/>
                <w:szCs w:val="21"/>
              </w:rPr>
              <w:t>次</w:t>
            </w:r>
          </w:p>
          <w:p>
            <w:pPr>
              <w:spacing w:line="360" w:lineRule="auto"/>
              <w:jc w:val="center"/>
              <w:rPr>
                <w:rFonts w:asciiTheme="minorEastAsia" w:hAnsiTheme="minorEastAsia"/>
                <w:kern w:val="0"/>
                <w:szCs w:val="21"/>
              </w:rPr>
            </w:pPr>
            <w:r>
              <w:rPr>
                <w:rFonts w:asciiTheme="minorEastAsia" w:hAnsiTheme="minorEastAsia"/>
                <w:kern w:val="0"/>
                <w:szCs w:val="21"/>
              </w:rPr>
              <w:t>就</w:t>
            </w:r>
          </w:p>
          <w:p>
            <w:pPr>
              <w:spacing w:line="360" w:lineRule="auto"/>
              <w:jc w:val="center"/>
              <w:rPr>
                <w:rFonts w:asciiTheme="minorEastAsia" w:hAnsiTheme="minorEastAsia"/>
                <w:kern w:val="0"/>
                <w:szCs w:val="21"/>
              </w:rPr>
            </w:pPr>
            <w:r>
              <w:rPr>
                <w:rFonts w:asciiTheme="minorEastAsia" w:hAnsiTheme="minorEastAsia"/>
                <w:kern w:val="0"/>
                <w:szCs w:val="21"/>
              </w:rPr>
              <w:t>业</w:t>
            </w:r>
          </w:p>
          <w:p>
            <w:pPr>
              <w:spacing w:line="360" w:lineRule="auto"/>
              <w:jc w:val="center"/>
              <w:rPr>
                <w:rFonts w:asciiTheme="minorEastAsia" w:hAnsiTheme="minorEastAsia"/>
                <w:kern w:val="0"/>
                <w:szCs w:val="21"/>
              </w:rPr>
            </w:pPr>
            <w:r>
              <w:rPr>
                <w:rFonts w:asciiTheme="minorEastAsia" w:hAnsiTheme="minorEastAsia"/>
                <w:kern w:val="0"/>
                <w:szCs w:val="21"/>
              </w:rPr>
              <w:t>岗</w:t>
            </w:r>
          </w:p>
          <w:p>
            <w:pPr>
              <w:ind w:firstLine="105" w:firstLineChars="50"/>
              <w:rPr>
                <w:rFonts w:asciiTheme="minorEastAsia" w:hAnsiTheme="minorEastAsia"/>
                <w:szCs w:val="21"/>
              </w:rPr>
            </w:pPr>
            <w:r>
              <w:rPr>
                <w:rFonts w:asciiTheme="minorEastAsia" w:hAnsiTheme="minorEastAsia"/>
                <w:kern w:val="0"/>
                <w:szCs w:val="21"/>
              </w:rPr>
              <w:t>位</w:t>
            </w:r>
          </w:p>
        </w:tc>
        <w:tc>
          <w:tcPr>
            <w:tcW w:w="1841" w:type="dxa"/>
            <w:vMerge w:val="restart"/>
          </w:tcPr>
          <w:p>
            <w:pPr>
              <w:rPr>
                <w:rFonts w:asciiTheme="minorEastAsia" w:hAnsiTheme="minorEastAsia"/>
                <w:kern w:val="0"/>
                <w:szCs w:val="21"/>
              </w:rPr>
            </w:pPr>
          </w:p>
          <w:p>
            <w:pPr>
              <w:rPr>
                <w:rFonts w:asciiTheme="minorEastAsia" w:hAnsiTheme="minorEastAsia"/>
                <w:kern w:val="0"/>
                <w:szCs w:val="21"/>
              </w:rPr>
            </w:pPr>
          </w:p>
          <w:p>
            <w:pPr>
              <w:ind w:left="210" w:hanging="210" w:hangingChars="100"/>
              <w:rPr>
                <w:rFonts w:asciiTheme="minorEastAsia" w:hAnsiTheme="minorEastAsia"/>
                <w:szCs w:val="21"/>
              </w:rPr>
            </w:pPr>
            <w:r>
              <w:rPr>
                <w:rFonts w:hint="eastAsia" w:asciiTheme="minorEastAsia" w:hAnsiTheme="minorEastAsia"/>
                <w:kern w:val="0"/>
                <w:szCs w:val="21"/>
              </w:rPr>
              <w:t>化工生产装置操作及维护岗</w:t>
            </w:r>
          </w:p>
        </w:tc>
        <w:tc>
          <w:tcPr>
            <w:tcW w:w="2738" w:type="dxa"/>
          </w:tcPr>
          <w:p>
            <w:pPr>
              <w:rPr>
                <w:rFonts w:asciiTheme="minorEastAsia" w:hAnsiTheme="minorEastAsia"/>
                <w:szCs w:val="21"/>
              </w:rPr>
            </w:pPr>
            <w:r>
              <w:rPr>
                <w:rFonts w:hint="eastAsia" w:asciiTheme="minorEastAsia" w:hAnsiTheme="minorEastAsia"/>
                <w:szCs w:val="21"/>
              </w:rPr>
              <w:t>仪表的使用、维护、保养</w:t>
            </w:r>
          </w:p>
        </w:tc>
        <w:tc>
          <w:tcPr>
            <w:tcW w:w="1705" w:type="dxa"/>
            <w:vMerge w:val="restart"/>
          </w:tcPr>
          <w:p>
            <w:pPr>
              <w:rPr>
                <w:rFonts w:asciiTheme="minorEastAsia" w:hAnsiTheme="minorEastAsia"/>
                <w:szCs w:val="21"/>
              </w:rPr>
            </w:pPr>
          </w:p>
          <w:p>
            <w:pPr>
              <w:rPr>
                <w:rFonts w:asciiTheme="minorEastAsia" w:hAnsiTheme="minorEastAsia"/>
                <w:szCs w:val="21"/>
              </w:rPr>
            </w:pPr>
          </w:p>
          <w:p>
            <w:pPr>
              <w:rPr>
                <w:rFonts w:asciiTheme="minorEastAsia" w:hAnsiTheme="minorEastAsia"/>
                <w:szCs w:val="21"/>
              </w:rPr>
            </w:pPr>
          </w:p>
          <w:p>
            <w:pPr>
              <w:rPr>
                <w:rFonts w:asciiTheme="minorEastAsia" w:hAnsiTheme="minorEastAsia"/>
                <w:szCs w:val="21"/>
              </w:rPr>
            </w:pPr>
          </w:p>
          <w:p>
            <w:pPr>
              <w:rPr>
                <w:rFonts w:asciiTheme="minorEastAsia" w:hAnsiTheme="minorEastAsia"/>
                <w:szCs w:val="21"/>
              </w:rPr>
            </w:pPr>
          </w:p>
          <w:p>
            <w:pPr>
              <w:rPr>
                <w:rFonts w:asciiTheme="minorEastAsia" w:hAnsiTheme="minorEastAsia"/>
                <w:szCs w:val="21"/>
              </w:rPr>
            </w:pPr>
          </w:p>
          <w:p>
            <w:pPr>
              <w:rPr>
                <w:rFonts w:asciiTheme="minorEastAsia" w:hAnsiTheme="minorEastAsia"/>
                <w:szCs w:val="21"/>
              </w:rPr>
            </w:pPr>
            <w:r>
              <w:rPr>
                <w:rFonts w:hint="eastAsia" w:asciiTheme="minorEastAsia" w:hAnsiTheme="minorEastAsia"/>
                <w:szCs w:val="21"/>
              </w:rPr>
              <w:t>语言表达能力</w:t>
            </w:r>
          </w:p>
          <w:p>
            <w:pPr>
              <w:rPr>
                <w:rFonts w:asciiTheme="minorEastAsia" w:hAnsiTheme="minorEastAsia"/>
                <w:szCs w:val="21"/>
              </w:rPr>
            </w:pPr>
            <w:r>
              <w:rPr>
                <w:rFonts w:hint="eastAsia" w:asciiTheme="minorEastAsia" w:hAnsiTheme="minorEastAsia"/>
                <w:szCs w:val="21"/>
              </w:rPr>
              <w:t>文字能力</w:t>
            </w:r>
          </w:p>
          <w:p>
            <w:pPr>
              <w:rPr>
                <w:rFonts w:asciiTheme="minorEastAsia" w:hAnsiTheme="minorEastAsia"/>
                <w:szCs w:val="21"/>
              </w:rPr>
            </w:pPr>
            <w:r>
              <w:rPr>
                <w:rFonts w:hint="eastAsia" w:asciiTheme="minorEastAsia" w:hAnsiTheme="minorEastAsia"/>
                <w:szCs w:val="21"/>
              </w:rPr>
              <w:t>组织协调能力</w:t>
            </w:r>
          </w:p>
          <w:p>
            <w:pPr>
              <w:rPr>
                <w:rFonts w:asciiTheme="minorEastAsia" w:hAnsiTheme="minorEastAsia"/>
                <w:szCs w:val="21"/>
              </w:rPr>
            </w:pPr>
            <w:r>
              <w:rPr>
                <w:rFonts w:hint="eastAsia" w:asciiTheme="minorEastAsia" w:hAnsiTheme="minorEastAsia"/>
                <w:szCs w:val="21"/>
              </w:rPr>
              <w:t>交流沟通能力</w:t>
            </w:r>
          </w:p>
          <w:p>
            <w:pPr>
              <w:rPr>
                <w:rFonts w:asciiTheme="minorEastAsia" w:hAnsiTheme="minorEastAsia"/>
                <w:szCs w:val="21"/>
              </w:rPr>
            </w:pPr>
            <w:r>
              <w:rPr>
                <w:rFonts w:hint="eastAsia" w:asciiTheme="minorEastAsia" w:hAnsiTheme="minorEastAsia"/>
                <w:szCs w:val="21"/>
              </w:rPr>
              <w:t>心理素质</w:t>
            </w:r>
          </w:p>
          <w:p>
            <w:pPr>
              <w:rPr>
                <w:rFonts w:asciiTheme="minorEastAsia" w:hAnsiTheme="minorEastAsia"/>
                <w:szCs w:val="21"/>
              </w:rPr>
            </w:pPr>
            <w:r>
              <w:rPr>
                <w:rFonts w:hint="eastAsia" w:asciiTheme="minorEastAsia" w:hAnsiTheme="minorEastAsia"/>
                <w:szCs w:val="21"/>
              </w:rPr>
              <w:t>职业规范、道德</w:t>
            </w:r>
          </w:p>
          <w:p>
            <w:pPr>
              <w:rPr>
                <w:rFonts w:asciiTheme="minorEastAsia" w:hAnsiTheme="minorEastAsia"/>
                <w:szCs w:val="21"/>
              </w:rPr>
            </w:pPr>
            <w:r>
              <w:rPr>
                <w:rFonts w:hint="eastAsia" w:asciiTheme="minorEastAsia" w:hAnsiTheme="minorEastAsia"/>
                <w:szCs w:val="21"/>
              </w:rPr>
              <w:t>安全、质量意识</w:t>
            </w:r>
          </w:p>
          <w:p>
            <w:pPr>
              <w:rPr>
                <w:rFonts w:asciiTheme="minorEastAsia" w:hAnsiTheme="minorEastAsia"/>
                <w:szCs w:val="21"/>
              </w:rPr>
            </w:pPr>
            <w:r>
              <w:rPr>
                <w:rFonts w:hint="eastAsia" w:asciiTheme="minorEastAsia" w:hAnsiTheme="minorEastAsia"/>
                <w:szCs w:val="21"/>
              </w:rPr>
              <w:t>环保意识</w:t>
            </w:r>
          </w:p>
          <w:p>
            <w:pPr>
              <w:rPr>
                <w:rFonts w:asciiTheme="minorEastAsia" w:hAnsiTheme="minorEastAsia"/>
                <w:szCs w:val="21"/>
              </w:rPr>
            </w:pPr>
            <w:r>
              <w:rPr>
                <w:rFonts w:hint="eastAsia" w:asciiTheme="minorEastAsia" w:hAnsiTheme="minorEastAsia"/>
                <w:szCs w:val="21"/>
              </w:rPr>
              <w:t>团队合作精神</w:t>
            </w:r>
          </w:p>
        </w:tc>
        <w:tc>
          <w:tcPr>
            <w:tcW w:w="1705" w:type="dxa"/>
            <w:vMerge w:val="restart"/>
          </w:tcPr>
          <w:p>
            <w:pPr>
              <w:rPr>
                <w:rFonts w:asciiTheme="minorEastAsia" w:hAnsiTheme="minorEastAsia"/>
                <w:szCs w:val="21"/>
              </w:rPr>
            </w:pPr>
          </w:p>
          <w:p>
            <w:pPr>
              <w:rPr>
                <w:rFonts w:asciiTheme="minorEastAsia" w:hAnsiTheme="minorEastAsia"/>
                <w:szCs w:val="21"/>
              </w:rPr>
            </w:pPr>
          </w:p>
          <w:p>
            <w:pPr>
              <w:rPr>
                <w:rFonts w:asciiTheme="minorEastAsia" w:hAnsiTheme="minorEastAsia"/>
                <w:szCs w:val="21"/>
              </w:rPr>
            </w:pPr>
          </w:p>
          <w:p>
            <w:pPr>
              <w:rPr>
                <w:rFonts w:asciiTheme="minorEastAsia" w:hAnsiTheme="minorEastAsia"/>
                <w:szCs w:val="21"/>
              </w:rPr>
            </w:pPr>
          </w:p>
          <w:p>
            <w:pPr>
              <w:rPr>
                <w:rFonts w:asciiTheme="minorEastAsia" w:hAnsiTheme="minorEastAsia"/>
                <w:szCs w:val="21"/>
              </w:rPr>
            </w:pPr>
          </w:p>
          <w:p>
            <w:pPr>
              <w:rPr>
                <w:rFonts w:asciiTheme="minorEastAsia" w:hAnsiTheme="minorEastAsia"/>
                <w:szCs w:val="21"/>
              </w:rPr>
            </w:pPr>
          </w:p>
          <w:p>
            <w:pPr>
              <w:rPr>
                <w:rFonts w:asciiTheme="minorEastAsia" w:hAnsiTheme="minorEastAsia"/>
                <w:szCs w:val="21"/>
              </w:rPr>
            </w:pPr>
            <w:r>
              <w:rPr>
                <w:rFonts w:hint="eastAsia" w:asciiTheme="minorEastAsia" w:hAnsiTheme="minorEastAsia"/>
                <w:szCs w:val="21"/>
              </w:rPr>
              <w:t>学习新知识、新技术能力</w:t>
            </w:r>
          </w:p>
          <w:p>
            <w:pPr>
              <w:rPr>
                <w:rFonts w:asciiTheme="minorEastAsia" w:hAnsiTheme="minorEastAsia"/>
                <w:szCs w:val="21"/>
              </w:rPr>
            </w:pPr>
            <w:r>
              <w:rPr>
                <w:rFonts w:hint="eastAsia" w:asciiTheme="minorEastAsia" w:hAnsiTheme="minorEastAsia"/>
                <w:szCs w:val="21"/>
              </w:rPr>
              <w:t>分析问题能力</w:t>
            </w:r>
          </w:p>
          <w:p>
            <w:pPr>
              <w:rPr>
                <w:rFonts w:asciiTheme="minorEastAsia" w:hAnsiTheme="minorEastAsia"/>
                <w:szCs w:val="21"/>
              </w:rPr>
            </w:pPr>
            <w:r>
              <w:rPr>
                <w:rFonts w:hint="eastAsia" w:asciiTheme="minorEastAsia" w:hAnsiTheme="minorEastAsia"/>
                <w:szCs w:val="21"/>
              </w:rPr>
              <w:t>解决问题能力</w:t>
            </w:r>
          </w:p>
          <w:p>
            <w:pPr>
              <w:rPr>
                <w:rFonts w:asciiTheme="minorEastAsia" w:hAnsiTheme="minorEastAsia"/>
                <w:szCs w:val="21"/>
              </w:rPr>
            </w:pPr>
            <w:r>
              <w:rPr>
                <w:rFonts w:hint="eastAsia" w:asciiTheme="minorEastAsia" w:hAnsiTheme="minorEastAsia"/>
                <w:szCs w:val="21"/>
              </w:rPr>
              <w:t>制定计划能力</w:t>
            </w:r>
          </w:p>
          <w:p>
            <w:pPr>
              <w:rPr>
                <w:rFonts w:asciiTheme="minorEastAsia" w:hAnsiTheme="minorEastAsia"/>
                <w:szCs w:val="21"/>
              </w:rPr>
            </w:pPr>
            <w:r>
              <w:rPr>
                <w:rFonts w:hint="eastAsia" w:asciiTheme="minorEastAsia" w:hAnsiTheme="minorEastAsia"/>
                <w:szCs w:val="21"/>
              </w:rPr>
              <w:t>运用软件能力</w:t>
            </w:r>
          </w:p>
          <w:p>
            <w:pPr>
              <w:rPr>
                <w:rFonts w:asciiTheme="minorEastAsia" w:hAnsiTheme="minorEastAsia"/>
                <w:szCs w:val="21"/>
              </w:rPr>
            </w:pPr>
            <w:r>
              <w:rPr>
                <w:rFonts w:hint="eastAsia" w:asciiTheme="minorEastAsia" w:hAnsiTheme="minorEastAsia"/>
                <w:szCs w:val="21"/>
              </w:rPr>
              <w:t>信息查阅及整理能力</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continue"/>
          </w:tcPr>
          <w:p>
            <w:pPr>
              <w:rPr>
                <w:rFonts w:asciiTheme="minorEastAsia" w:hAnsiTheme="minorEastAsia"/>
                <w:szCs w:val="21"/>
              </w:rPr>
            </w:pPr>
          </w:p>
        </w:tc>
        <w:tc>
          <w:tcPr>
            <w:tcW w:w="1841" w:type="dxa"/>
            <w:vMerge w:val="continue"/>
          </w:tcPr>
          <w:p>
            <w:pPr>
              <w:rPr>
                <w:rFonts w:asciiTheme="minorEastAsia" w:hAnsiTheme="minorEastAsia"/>
                <w:szCs w:val="21"/>
              </w:rPr>
            </w:pPr>
          </w:p>
        </w:tc>
        <w:tc>
          <w:tcPr>
            <w:tcW w:w="2738" w:type="dxa"/>
          </w:tcPr>
          <w:p>
            <w:pPr>
              <w:rPr>
                <w:rFonts w:asciiTheme="minorEastAsia" w:hAnsiTheme="minorEastAsia"/>
                <w:szCs w:val="21"/>
              </w:rPr>
            </w:pPr>
            <w:r>
              <w:rPr>
                <w:rFonts w:hint="eastAsia" w:asciiTheme="minorEastAsia" w:hAnsiTheme="minorEastAsia"/>
                <w:szCs w:val="21"/>
              </w:rPr>
              <w:t>岗位操作记录能力</w:t>
            </w:r>
          </w:p>
        </w:tc>
        <w:tc>
          <w:tcPr>
            <w:tcW w:w="1705" w:type="dxa"/>
            <w:vMerge w:val="continue"/>
          </w:tcPr>
          <w:p>
            <w:pPr>
              <w:rPr>
                <w:rFonts w:asciiTheme="minorEastAsia" w:hAnsiTheme="minorEastAsia"/>
                <w:szCs w:val="21"/>
              </w:rPr>
            </w:pPr>
          </w:p>
        </w:tc>
        <w:tc>
          <w:tcPr>
            <w:tcW w:w="1705" w:type="dxa"/>
            <w:vMerge w:val="continue"/>
          </w:tcPr>
          <w:p>
            <w:pP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continue"/>
          </w:tcPr>
          <w:p>
            <w:pPr>
              <w:rPr>
                <w:rFonts w:asciiTheme="minorEastAsia" w:hAnsiTheme="minorEastAsia"/>
                <w:szCs w:val="21"/>
              </w:rPr>
            </w:pPr>
          </w:p>
        </w:tc>
        <w:tc>
          <w:tcPr>
            <w:tcW w:w="1841" w:type="dxa"/>
            <w:vMerge w:val="continue"/>
          </w:tcPr>
          <w:p>
            <w:pPr>
              <w:rPr>
                <w:rFonts w:asciiTheme="minorEastAsia" w:hAnsiTheme="minorEastAsia"/>
                <w:szCs w:val="21"/>
              </w:rPr>
            </w:pPr>
          </w:p>
        </w:tc>
        <w:tc>
          <w:tcPr>
            <w:tcW w:w="2738" w:type="dxa"/>
          </w:tcPr>
          <w:p>
            <w:pPr>
              <w:rPr>
                <w:rFonts w:asciiTheme="minorEastAsia" w:hAnsiTheme="minorEastAsia"/>
                <w:szCs w:val="21"/>
              </w:rPr>
            </w:pPr>
            <w:r>
              <w:rPr>
                <w:rFonts w:hint="eastAsia" w:asciiTheme="minorEastAsia" w:hAnsiTheme="minorEastAsia"/>
                <w:szCs w:val="21"/>
              </w:rPr>
              <w:t>设备操作应用及调控能力</w:t>
            </w:r>
          </w:p>
        </w:tc>
        <w:tc>
          <w:tcPr>
            <w:tcW w:w="1705" w:type="dxa"/>
            <w:vMerge w:val="continue"/>
          </w:tcPr>
          <w:p>
            <w:pPr>
              <w:rPr>
                <w:rFonts w:asciiTheme="minorEastAsia" w:hAnsiTheme="minorEastAsia"/>
                <w:szCs w:val="21"/>
              </w:rPr>
            </w:pPr>
          </w:p>
        </w:tc>
        <w:tc>
          <w:tcPr>
            <w:tcW w:w="1705" w:type="dxa"/>
            <w:vMerge w:val="continue"/>
          </w:tcPr>
          <w:p>
            <w:pP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continue"/>
          </w:tcPr>
          <w:p>
            <w:pPr>
              <w:rPr>
                <w:rFonts w:asciiTheme="minorEastAsia" w:hAnsiTheme="minorEastAsia"/>
                <w:szCs w:val="21"/>
              </w:rPr>
            </w:pPr>
          </w:p>
        </w:tc>
        <w:tc>
          <w:tcPr>
            <w:tcW w:w="1841" w:type="dxa"/>
            <w:vMerge w:val="continue"/>
          </w:tcPr>
          <w:p>
            <w:pPr>
              <w:rPr>
                <w:rFonts w:asciiTheme="minorEastAsia" w:hAnsiTheme="minorEastAsia"/>
                <w:szCs w:val="21"/>
              </w:rPr>
            </w:pPr>
          </w:p>
        </w:tc>
        <w:tc>
          <w:tcPr>
            <w:tcW w:w="2738" w:type="dxa"/>
          </w:tcPr>
          <w:p>
            <w:pPr>
              <w:rPr>
                <w:rFonts w:asciiTheme="minorEastAsia" w:hAnsiTheme="minorEastAsia"/>
                <w:szCs w:val="21"/>
              </w:rPr>
            </w:pPr>
            <w:r>
              <w:rPr>
                <w:rFonts w:hint="eastAsia" w:asciiTheme="minorEastAsia" w:hAnsiTheme="minorEastAsia"/>
                <w:szCs w:val="21"/>
              </w:rPr>
              <w:t>工艺流程图识读能力</w:t>
            </w:r>
          </w:p>
        </w:tc>
        <w:tc>
          <w:tcPr>
            <w:tcW w:w="1705" w:type="dxa"/>
            <w:vMerge w:val="continue"/>
          </w:tcPr>
          <w:p>
            <w:pPr>
              <w:rPr>
                <w:rFonts w:asciiTheme="minorEastAsia" w:hAnsiTheme="minorEastAsia"/>
                <w:szCs w:val="21"/>
              </w:rPr>
            </w:pPr>
          </w:p>
        </w:tc>
        <w:tc>
          <w:tcPr>
            <w:tcW w:w="1705" w:type="dxa"/>
            <w:vMerge w:val="continue"/>
          </w:tcPr>
          <w:p>
            <w:pP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continue"/>
          </w:tcPr>
          <w:p>
            <w:pPr>
              <w:rPr>
                <w:rFonts w:asciiTheme="minorEastAsia" w:hAnsiTheme="minorEastAsia"/>
                <w:szCs w:val="21"/>
              </w:rPr>
            </w:pPr>
          </w:p>
        </w:tc>
        <w:tc>
          <w:tcPr>
            <w:tcW w:w="1841" w:type="dxa"/>
            <w:vMerge w:val="continue"/>
          </w:tcPr>
          <w:p>
            <w:pPr>
              <w:rPr>
                <w:rFonts w:asciiTheme="minorEastAsia" w:hAnsiTheme="minorEastAsia"/>
                <w:szCs w:val="21"/>
              </w:rPr>
            </w:pPr>
          </w:p>
        </w:tc>
        <w:tc>
          <w:tcPr>
            <w:tcW w:w="2738" w:type="dxa"/>
          </w:tcPr>
          <w:p>
            <w:pPr>
              <w:rPr>
                <w:rFonts w:asciiTheme="minorEastAsia" w:hAnsiTheme="minorEastAsia"/>
                <w:szCs w:val="21"/>
              </w:rPr>
            </w:pPr>
            <w:r>
              <w:rPr>
                <w:rFonts w:hint="eastAsia" w:asciiTheme="minorEastAsia" w:hAnsiTheme="minorEastAsia"/>
                <w:szCs w:val="21"/>
              </w:rPr>
              <w:t>设备异常现象判断处理能力</w:t>
            </w:r>
          </w:p>
        </w:tc>
        <w:tc>
          <w:tcPr>
            <w:tcW w:w="1705" w:type="dxa"/>
            <w:vMerge w:val="continue"/>
          </w:tcPr>
          <w:p>
            <w:pPr>
              <w:rPr>
                <w:rFonts w:asciiTheme="minorEastAsia" w:hAnsiTheme="minorEastAsia"/>
                <w:szCs w:val="21"/>
              </w:rPr>
            </w:pPr>
          </w:p>
        </w:tc>
        <w:tc>
          <w:tcPr>
            <w:tcW w:w="1705" w:type="dxa"/>
            <w:vMerge w:val="continue"/>
          </w:tcPr>
          <w:p>
            <w:pP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continue"/>
          </w:tcPr>
          <w:p>
            <w:pPr>
              <w:rPr>
                <w:rFonts w:asciiTheme="minorEastAsia" w:hAnsiTheme="minorEastAsia"/>
                <w:szCs w:val="21"/>
              </w:rPr>
            </w:pPr>
          </w:p>
        </w:tc>
        <w:tc>
          <w:tcPr>
            <w:tcW w:w="1841" w:type="dxa"/>
            <w:vMerge w:val="restart"/>
          </w:tcPr>
          <w:p>
            <w:pPr>
              <w:rPr>
                <w:rFonts w:asciiTheme="minorEastAsia" w:hAnsiTheme="minorEastAsia"/>
                <w:kern w:val="0"/>
                <w:szCs w:val="21"/>
              </w:rPr>
            </w:pPr>
          </w:p>
          <w:p>
            <w:pPr>
              <w:rPr>
                <w:rFonts w:asciiTheme="minorEastAsia" w:hAnsiTheme="minorEastAsia"/>
                <w:kern w:val="0"/>
                <w:szCs w:val="21"/>
              </w:rPr>
            </w:pPr>
          </w:p>
          <w:p>
            <w:pPr>
              <w:rPr>
                <w:rFonts w:asciiTheme="minorEastAsia" w:hAnsiTheme="minorEastAsia"/>
                <w:kern w:val="0"/>
                <w:szCs w:val="21"/>
              </w:rPr>
            </w:pPr>
          </w:p>
          <w:p>
            <w:pPr>
              <w:rPr>
                <w:rFonts w:asciiTheme="minorEastAsia" w:hAnsiTheme="minorEastAsia"/>
                <w:kern w:val="0"/>
                <w:szCs w:val="21"/>
              </w:rPr>
            </w:pPr>
          </w:p>
          <w:p>
            <w:pPr>
              <w:ind w:left="315" w:hanging="315" w:hangingChars="150"/>
              <w:rPr>
                <w:rFonts w:asciiTheme="minorEastAsia" w:hAnsiTheme="minorEastAsia"/>
                <w:szCs w:val="21"/>
              </w:rPr>
            </w:pPr>
            <w:r>
              <w:rPr>
                <w:rFonts w:hint="eastAsia" w:asciiTheme="minorEastAsia" w:hAnsiTheme="minorEastAsia"/>
                <w:kern w:val="0"/>
                <w:szCs w:val="21"/>
              </w:rPr>
              <w:t>化工生产工艺运行控制岗</w:t>
            </w:r>
          </w:p>
        </w:tc>
        <w:tc>
          <w:tcPr>
            <w:tcW w:w="2738" w:type="dxa"/>
          </w:tcPr>
          <w:p>
            <w:pPr>
              <w:rPr>
                <w:rFonts w:asciiTheme="minorEastAsia" w:hAnsiTheme="minorEastAsia"/>
                <w:szCs w:val="21"/>
              </w:rPr>
            </w:pPr>
            <w:r>
              <w:rPr>
                <w:rFonts w:hint="eastAsia" w:asciiTheme="minorEastAsia" w:hAnsiTheme="minorEastAsia"/>
                <w:szCs w:val="21"/>
              </w:rPr>
              <w:t>工艺流程图绘制与识读能力</w:t>
            </w:r>
          </w:p>
        </w:tc>
        <w:tc>
          <w:tcPr>
            <w:tcW w:w="1705" w:type="dxa"/>
            <w:vMerge w:val="continue"/>
          </w:tcPr>
          <w:p>
            <w:pPr>
              <w:rPr>
                <w:rFonts w:asciiTheme="minorEastAsia" w:hAnsiTheme="minorEastAsia"/>
                <w:szCs w:val="21"/>
              </w:rPr>
            </w:pPr>
          </w:p>
        </w:tc>
        <w:tc>
          <w:tcPr>
            <w:tcW w:w="1705" w:type="dxa"/>
            <w:vMerge w:val="continue"/>
          </w:tcPr>
          <w:p>
            <w:pP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continue"/>
          </w:tcPr>
          <w:p>
            <w:pPr>
              <w:rPr>
                <w:rFonts w:asciiTheme="minorEastAsia" w:hAnsiTheme="minorEastAsia"/>
                <w:szCs w:val="21"/>
              </w:rPr>
            </w:pPr>
          </w:p>
        </w:tc>
        <w:tc>
          <w:tcPr>
            <w:tcW w:w="1841" w:type="dxa"/>
            <w:vMerge w:val="continue"/>
          </w:tcPr>
          <w:p>
            <w:pPr>
              <w:rPr>
                <w:rFonts w:asciiTheme="minorEastAsia" w:hAnsiTheme="minorEastAsia"/>
                <w:szCs w:val="21"/>
              </w:rPr>
            </w:pPr>
          </w:p>
        </w:tc>
        <w:tc>
          <w:tcPr>
            <w:tcW w:w="2738" w:type="dxa"/>
          </w:tcPr>
          <w:p>
            <w:pPr>
              <w:rPr>
                <w:rFonts w:asciiTheme="minorEastAsia" w:hAnsiTheme="minorEastAsia"/>
                <w:szCs w:val="21"/>
              </w:rPr>
            </w:pPr>
            <w:r>
              <w:rPr>
                <w:rFonts w:hint="eastAsia" w:asciiTheme="minorEastAsia" w:hAnsiTheme="minorEastAsia"/>
                <w:szCs w:val="21"/>
              </w:rPr>
              <w:t>仪表使用及维护能力</w:t>
            </w:r>
          </w:p>
        </w:tc>
        <w:tc>
          <w:tcPr>
            <w:tcW w:w="1705" w:type="dxa"/>
            <w:vMerge w:val="continue"/>
          </w:tcPr>
          <w:p>
            <w:pPr>
              <w:rPr>
                <w:rFonts w:asciiTheme="minorEastAsia" w:hAnsiTheme="minorEastAsia"/>
                <w:szCs w:val="21"/>
              </w:rPr>
            </w:pPr>
          </w:p>
        </w:tc>
        <w:tc>
          <w:tcPr>
            <w:tcW w:w="1705" w:type="dxa"/>
            <w:vMerge w:val="continue"/>
          </w:tcPr>
          <w:p>
            <w:pP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continue"/>
          </w:tcPr>
          <w:p>
            <w:pPr>
              <w:rPr>
                <w:rFonts w:asciiTheme="minorEastAsia" w:hAnsiTheme="minorEastAsia"/>
                <w:szCs w:val="21"/>
              </w:rPr>
            </w:pPr>
          </w:p>
        </w:tc>
        <w:tc>
          <w:tcPr>
            <w:tcW w:w="1841" w:type="dxa"/>
            <w:vMerge w:val="continue"/>
          </w:tcPr>
          <w:p>
            <w:pPr>
              <w:rPr>
                <w:rFonts w:asciiTheme="minorEastAsia" w:hAnsiTheme="minorEastAsia"/>
                <w:szCs w:val="21"/>
              </w:rPr>
            </w:pPr>
          </w:p>
        </w:tc>
        <w:tc>
          <w:tcPr>
            <w:tcW w:w="2738" w:type="dxa"/>
          </w:tcPr>
          <w:p>
            <w:pPr>
              <w:rPr>
                <w:rFonts w:asciiTheme="minorEastAsia" w:hAnsiTheme="minorEastAsia"/>
                <w:szCs w:val="21"/>
              </w:rPr>
            </w:pPr>
            <w:r>
              <w:rPr>
                <w:rFonts w:hint="eastAsia" w:asciiTheme="minorEastAsia" w:hAnsiTheme="minorEastAsia"/>
                <w:szCs w:val="21"/>
              </w:rPr>
              <w:t>反应过程运行控制能力</w:t>
            </w:r>
          </w:p>
        </w:tc>
        <w:tc>
          <w:tcPr>
            <w:tcW w:w="1705" w:type="dxa"/>
            <w:vMerge w:val="continue"/>
          </w:tcPr>
          <w:p>
            <w:pPr>
              <w:rPr>
                <w:rFonts w:asciiTheme="minorEastAsia" w:hAnsiTheme="minorEastAsia"/>
                <w:szCs w:val="21"/>
              </w:rPr>
            </w:pPr>
          </w:p>
        </w:tc>
        <w:tc>
          <w:tcPr>
            <w:tcW w:w="1705" w:type="dxa"/>
            <w:vMerge w:val="continue"/>
          </w:tcPr>
          <w:p>
            <w:pP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continue"/>
          </w:tcPr>
          <w:p>
            <w:pPr>
              <w:rPr>
                <w:rFonts w:asciiTheme="minorEastAsia" w:hAnsiTheme="minorEastAsia"/>
                <w:szCs w:val="21"/>
              </w:rPr>
            </w:pPr>
          </w:p>
        </w:tc>
        <w:tc>
          <w:tcPr>
            <w:tcW w:w="1841" w:type="dxa"/>
            <w:vMerge w:val="continue"/>
          </w:tcPr>
          <w:p>
            <w:pPr>
              <w:rPr>
                <w:rFonts w:asciiTheme="minorEastAsia" w:hAnsiTheme="minorEastAsia"/>
                <w:szCs w:val="21"/>
              </w:rPr>
            </w:pPr>
          </w:p>
        </w:tc>
        <w:tc>
          <w:tcPr>
            <w:tcW w:w="2738" w:type="dxa"/>
          </w:tcPr>
          <w:p>
            <w:pPr>
              <w:rPr>
                <w:rFonts w:asciiTheme="minorEastAsia" w:hAnsiTheme="minorEastAsia"/>
                <w:szCs w:val="21"/>
              </w:rPr>
            </w:pPr>
            <w:r>
              <w:rPr>
                <w:rFonts w:hint="eastAsia" w:asciiTheme="minorEastAsia" w:hAnsiTheme="minorEastAsia"/>
                <w:szCs w:val="21"/>
              </w:rPr>
              <w:t>物料输送过程控制能力</w:t>
            </w:r>
          </w:p>
        </w:tc>
        <w:tc>
          <w:tcPr>
            <w:tcW w:w="1705" w:type="dxa"/>
            <w:vMerge w:val="continue"/>
          </w:tcPr>
          <w:p>
            <w:pPr>
              <w:rPr>
                <w:rFonts w:asciiTheme="minorEastAsia" w:hAnsiTheme="minorEastAsia"/>
                <w:szCs w:val="21"/>
              </w:rPr>
            </w:pPr>
          </w:p>
        </w:tc>
        <w:tc>
          <w:tcPr>
            <w:tcW w:w="1705" w:type="dxa"/>
            <w:vMerge w:val="continue"/>
          </w:tcPr>
          <w:p>
            <w:pP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continue"/>
          </w:tcPr>
          <w:p>
            <w:pPr>
              <w:rPr>
                <w:rFonts w:asciiTheme="minorEastAsia" w:hAnsiTheme="minorEastAsia"/>
                <w:szCs w:val="21"/>
              </w:rPr>
            </w:pPr>
          </w:p>
        </w:tc>
        <w:tc>
          <w:tcPr>
            <w:tcW w:w="1841" w:type="dxa"/>
            <w:vMerge w:val="continue"/>
          </w:tcPr>
          <w:p>
            <w:pPr>
              <w:rPr>
                <w:rFonts w:asciiTheme="minorEastAsia" w:hAnsiTheme="minorEastAsia"/>
                <w:szCs w:val="21"/>
              </w:rPr>
            </w:pPr>
          </w:p>
        </w:tc>
        <w:tc>
          <w:tcPr>
            <w:tcW w:w="2738" w:type="dxa"/>
          </w:tcPr>
          <w:p>
            <w:pPr>
              <w:rPr>
                <w:rFonts w:asciiTheme="minorEastAsia" w:hAnsiTheme="minorEastAsia"/>
                <w:szCs w:val="21"/>
              </w:rPr>
            </w:pPr>
            <w:r>
              <w:rPr>
                <w:rFonts w:hint="eastAsia" w:asciiTheme="minorEastAsia" w:hAnsiTheme="minorEastAsia"/>
                <w:szCs w:val="21"/>
              </w:rPr>
              <w:t>传热过程控制能力</w:t>
            </w:r>
          </w:p>
        </w:tc>
        <w:tc>
          <w:tcPr>
            <w:tcW w:w="1705" w:type="dxa"/>
            <w:vMerge w:val="continue"/>
          </w:tcPr>
          <w:p>
            <w:pPr>
              <w:rPr>
                <w:rFonts w:asciiTheme="minorEastAsia" w:hAnsiTheme="minorEastAsia"/>
                <w:szCs w:val="21"/>
              </w:rPr>
            </w:pPr>
          </w:p>
        </w:tc>
        <w:tc>
          <w:tcPr>
            <w:tcW w:w="1705" w:type="dxa"/>
            <w:vMerge w:val="continue"/>
          </w:tcPr>
          <w:p>
            <w:pP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continue"/>
          </w:tcPr>
          <w:p>
            <w:pPr>
              <w:rPr>
                <w:rFonts w:asciiTheme="minorEastAsia" w:hAnsiTheme="minorEastAsia"/>
                <w:szCs w:val="21"/>
              </w:rPr>
            </w:pPr>
          </w:p>
        </w:tc>
        <w:tc>
          <w:tcPr>
            <w:tcW w:w="1841" w:type="dxa"/>
            <w:vMerge w:val="continue"/>
          </w:tcPr>
          <w:p>
            <w:pPr>
              <w:rPr>
                <w:rFonts w:asciiTheme="minorEastAsia" w:hAnsiTheme="minorEastAsia"/>
                <w:szCs w:val="21"/>
              </w:rPr>
            </w:pPr>
          </w:p>
        </w:tc>
        <w:tc>
          <w:tcPr>
            <w:tcW w:w="2738" w:type="dxa"/>
          </w:tcPr>
          <w:p>
            <w:pPr>
              <w:rPr>
                <w:rFonts w:asciiTheme="minorEastAsia" w:hAnsiTheme="minorEastAsia"/>
                <w:szCs w:val="21"/>
              </w:rPr>
            </w:pPr>
            <w:r>
              <w:rPr>
                <w:rFonts w:hint="eastAsia" w:asciiTheme="minorEastAsia" w:hAnsiTheme="minorEastAsia"/>
                <w:szCs w:val="21"/>
              </w:rPr>
              <w:t>精馏过程控制能力</w:t>
            </w:r>
          </w:p>
        </w:tc>
        <w:tc>
          <w:tcPr>
            <w:tcW w:w="1705" w:type="dxa"/>
            <w:vMerge w:val="continue"/>
          </w:tcPr>
          <w:p>
            <w:pPr>
              <w:rPr>
                <w:rFonts w:asciiTheme="minorEastAsia" w:hAnsiTheme="minorEastAsia"/>
                <w:szCs w:val="21"/>
              </w:rPr>
            </w:pPr>
          </w:p>
        </w:tc>
        <w:tc>
          <w:tcPr>
            <w:tcW w:w="1705" w:type="dxa"/>
            <w:vMerge w:val="continue"/>
          </w:tcPr>
          <w:p>
            <w:pP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continue"/>
          </w:tcPr>
          <w:p>
            <w:pPr>
              <w:rPr>
                <w:rFonts w:asciiTheme="minorEastAsia" w:hAnsiTheme="minorEastAsia"/>
                <w:szCs w:val="21"/>
              </w:rPr>
            </w:pPr>
          </w:p>
        </w:tc>
        <w:tc>
          <w:tcPr>
            <w:tcW w:w="1841" w:type="dxa"/>
            <w:vMerge w:val="continue"/>
          </w:tcPr>
          <w:p>
            <w:pPr>
              <w:rPr>
                <w:rFonts w:asciiTheme="minorEastAsia" w:hAnsiTheme="minorEastAsia"/>
                <w:szCs w:val="21"/>
              </w:rPr>
            </w:pPr>
          </w:p>
        </w:tc>
        <w:tc>
          <w:tcPr>
            <w:tcW w:w="2738" w:type="dxa"/>
          </w:tcPr>
          <w:p>
            <w:pPr>
              <w:rPr>
                <w:rFonts w:asciiTheme="minorEastAsia" w:hAnsiTheme="minorEastAsia"/>
                <w:szCs w:val="21"/>
              </w:rPr>
            </w:pPr>
            <w:r>
              <w:rPr>
                <w:rFonts w:hint="eastAsia" w:asciiTheme="minorEastAsia" w:hAnsiTheme="minorEastAsia"/>
                <w:szCs w:val="21"/>
              </w:rPr>
              <w:t>吸收过程控制能力</w:t>
            </w:r>
          </w:p>
        </w:tc>
        <w:tc>
          <w:tcPr>
            <w:tcW w:w="1705" w:type="dxa"/>
            <w:vMerge w:val="continue"/>
          </w:tcPr>
          <w:p>
            <w:pPr>
              <w:rPr>
                <w:rFonts w:asciiTheme="minorEastAsia" w:hAnsiTheme="minorEastAsia"/>
                <w:szCs w:val="21"/>
              </w:rPr>
            </w:pPr>
          </w:p>
        </w:tc>
        <w:tc>
          <w:tcPr>
            <w:tcW w:w="1705" w:type="dxa"/>
            <w:vMerge w:val="continue"/>
          </w:tcPr>
          <w:p>
            <w:pP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continue"/>
          </w:tcPr>
          <w:p>
            <w:pPr>
              <w:rPr>
                <w:rFonts w:asciiTheme="minorEastAsia" w:hAnsiTheme="minorEastAsia"/>
                <w:szCs w:val="21"/>
              </w:rPr>
            </w:pPr>
          </w:p>
        </w:tc>
        <w:tc>
          <w:tcPr>
            <w:tcW w:w="1841" w:type="dxa"/>
            <w:vMerge w:val="continue"/>
          </w:tcPr>
          <w:p>
            <w:pPr>
              <w:rPr>
                <w:rFonts w:asciiTheme="minorEastAsia" w:hAnsiTheme="minorEastAsia"/>
                <w:szCs w:val="21"/>
              </w:rPr>
            </w:pPr>
          </w:p>
        </w:tc>
        <w:tc>
          <w:tcPr>
            <w:tcW w:w="2738" w:type="dxa"/>
          </w:tcPr>
          <w:p>
            <w:pPr>
              <w:rPr>
                <w:rFonts w:asciiTheme="minorEastAsia" w:hAnsiTheme="minorEastAsia"/>
                <w:szCs w:val="21"/>
              </w:rPr>
            </w:pPr>
            <w:r>
              <w:rPr>
                <w:rFonts w:hint="eastAsia" w:asciiTheme="minorEastAsia" w:hAnsiTheme="minorEastAsia"/>
                <w:szCs w:val="21"/>
              </w:rPr>
              <w:t>安全设施使用能力</w:t>
            </w:r>
          </w:p>
        </w:tc>
        <w:tc>
          <w:tcPr>
            <w:tcW w:w="1705" w:type="dxa"/>
            <w:vMerge w:val="continue"/>
          </w:tcPr>
          <w:p>
            <w:pPr>
              <w:rPr>
                <w:rFonts w:asciiTheme="minorEastAsia" w:hAnsiTheme="minorEastAsia"/>
                <w:szCs w:val="21"/>
              </w:rPr>
            </w:pPr>
          </w:p>
        </w:tc>
        <w:tc>
          <w:tcPr>
            <w:tcW w:w="1705" w:type="dxa"/>
            <w:vMerge w:val="continue"/>
          </w:tcPr>
          <w:p>
            <w:pP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continue"/>
          </w:tcPr>
          <w:p>
            <w:pPr>
              <w:rPr>
                <w:rFonts w:asciiTheme="minorEastAsia" w:hAnsiTheme="minorEastAsia"/>
                <w:szCs w:val="21"/>
              </w:rPr>
            </w:pPr>
          </w:p>
        </w:tc>
        <w:tc>
          <w:tcPr>
            <w:tcW w:w="1841" w:type="dxa"/>
            <w:vMerge w:val="continue"/>
          </w:tcPr>
          <w:p>
            <w:pPr>
              <w:rPr>
                <w:rFonts w:asciiTheme="minorEastAsia" w:hAnsiTheme="minorEastAsia"/>
                <w:szCs w:val="21"/>
              </w:rPr>
            </w:pPr>
          </w:p>
        </w:tc>
        <w:tc>
          <w:tcPr>
            <w:tcW w:w="2738" w:type="dxa"/>
          </w:tcPr>
          <w:p>
            <w:pPr>
              <w:rPr>
                <w:rFonts w:asciiTheme="minorEastAsia" w:hAnsiTheme="minorEastAsia"/>
                <w:szCs w:val="21"/>
              </w:rPr>
            </w:pPr>
            <w:r>
              <w:rPr>
                <w:rFonts w:hint="eastAsia" w:asciiTheme="minorEastAsia" w:hAnsiTheme="minorEastAsia"/>
                <w:szCs w:val="21"/>
              </w:rPr>
              <w:t>环保设施使用能力</w:t>
            </w:r>
          </w:p>
        </w:tc>
        <w:tc>
          <w:tcPr>
            <w:tcW w:w="1705" w:type="dxa"/>
            <w:vMerge w:val="continue"/>
          </w:tcPr>
          <w:p>
            <w:pPr>
              <w:rPr>
                <w:rFonts w:asciiTheme="minorEastAsia" w:hAnsiTheme="minorEastAsia"/>
                <w:szCs w:val="21"/>
              </w:rPr>
            </w:pPr>
          </w:p>
        </w:tc>
        <w:tc>
          <w:tcPr>
            <w:tcW w:w="1705" w:type="dxa"/>
            <w:vMerge w:val="continue"/>
          </w:tcPr>
          <w:p>
            <w:pP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continue"/>
          </w:tcPr>
          <w:p>
            <w:pPr>
              <w:rPr>
                <w:rFonts w:asciiTheme="minorEastAsia" w:hAnsiTheme="minorEastAsia"/>
                <w:szCs w:val="21"/>
              </w:rPr>
            </w:pPr>
          </w:p>
        </w:tc>
        <w:tc>
          <w:tcPr>
            <w:tcW w:w="1841" w:type="dxa"/>
            <w:vMerge w:val="continue"/>
          </w:tcPr>
          <w:p>
            <w:pPr>
              <w:rPr>
                <w:rFonts w:asciiTheme="minorEastAsia" w:hAnsiTheme="minorEastAsia"/>
                <w:szCs w:val="21"/>
              </w:rPr>
            </w:pPr>
          </w:p>
        </w:tc>
        <w:tc>
          <w:tcPr>
            <w:tcW w:w="2738" w:type="dxa"/>
          </w:tcPr>
          <w:p>
            <w:pPr>
              <w:rPr>
                <w:rFonts w:asciiTheme="minorEastAsia" w:hAnsiTheme="minorEastAsia"/>
                <w:szCs w:val="21"/>
              </w:rPr>
            </w:pPr>
            <w:r>
              <w:rPr>
                <w:rFonts w:hint="eastAsia" w:asciiTheme="minorEastAsia" w:hAnsiTheme="minorEastAsia"/>
                <w:szCs w:val="21"/>
              </w:rPr>
              <w:t>生产异常现象判断处理能力</w:t>
            </w:r>
          </w:p>
        </w:tc>
        <w:tc>
          <w:tcPr>
            <w:tcW w:w="1705" w:type="dxa"/>
            <w:vMerge w:val="continue"/>
          </w:tcPr>
          <w:p>
            <w:pPr>
              <w:rPr>
                <w:rFonts w:asciiTheme="minorEastAsia" w:hAnsiTheme="minorEastAsia"/>
                <w:szCs w:val="21"/>
              </w:rPr>
            </w:pPr>
          </w:p>
        </w:tc>
        <w:tc>
          <w:tcPr>
            <w:tcW w:w="1705" w:type="dxa"/>
            <w:vMerge w:val="continue"/>
          </w:tcPr>
          <w:p>
            <w:pP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continue"/>
          </w:tcPr>
          <w:p>
            <w:pPr>
              <w:rPr>
                <w:rFonts w:asciiTheme="minorEastAsia" w:hAnsiTheme="minorEastAsia"/>
                <w:szCs w:val="21"/>
              </w:rPr>
            </w:pPr>
          </w:p>
        </w:tc>
        <w:tc>
          <w:tcPr>
            <w:tcW w:w="1841" w:type="dxa"/>
            <w:vMerge w:val="continue"/>
          </w:tcPr>
          <w:p>
            <w:pPr>
              <w:rPr>
                <w:rFonts w:asciiTheme="minorEastAsia" w:hAnsiTheme="minorEastAsia"/>
                <w:szCs w:val="21"/>
              </w:rPr>
            </w:pPr>
          </w:p>
        </w:tc>
        <w:tc>
          <w:tcPr>
            <w:tcW w:w="2738" w:type="dxa"/>
          </w:tcPr>
          <w:p>
            <w:pPr>
              <w:rPr>
                <w:rFonts w:asciiTheme="minorEastAsia" w:hAnsiTheme="minorEastAsia"/>
                <w:szCs w:val="21"/>
              </w:rPr>
            </w:pPr>
            <w:r>
              <w:rPr>
                <w:rFonts w:hint="eastAsia" w:asciiTheme="minorEastAsia" w:hAnsiTheme="minorEastAsia"/>
                <w:szCs w:val="21"/>
              </w:rPr>
              <w:t>岗位操作记录能力</w:t>
            </w:r>
          </w:p>
        </w:tc>
        <w:tc>
          <w:tcPr>
            <w:tcW w:w="1705" w:type="dxa"/>
            <w:vMerge w:val="continue"/>
          </w:tcPr>
          <w:p>
            <w:pPr>
              <w:rPr>
                <w:rFonts w:asciiTheme="minorEastAsia" w:hAnsiTheme="minorEastAsia"/>
                <w:szCs w:val="21"/>
              </w:rPr>
            </w:pPr>
          </w:p>
        </w:tc>
        <w:tc>
          <w:tcPr>
            <w:tcW w:w="1705" w:type="dxa"/>
            <w:vMerge w:val="continue"/>
          </w:tcPr>
          <w:p>
            <w:pP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restart"/>
          </w:tcPr>
          <w:p>
            <w:pPr>
              <w:spacing w:line="360" w:lineRule="auto"/>
              <w:jc w:val="center"/>
              <w:rPr>
                <w:rFonts w:asciiTheme="minorEastAsia" w:hAnsiTheme="minorEastAsia"/>
                <w:kern w:val="0"/>
                <w:szCs w:val="21"/>
              </w:rPr>
            </w:pPr>
            <w:r>
              <w:rPr>
                <w:rFonts w:asciiTheme="minorEastAsia" w:hAnsiTheme="minorEastAsia"/>
                <w:kern w:val="0"/>
                <w:szCs w:val="21"/>
              </w:rPr>
              <w:t>发</w:t>
            </w:r>
          </w:p>
          <w:p>
            <w:pPr>
              <w:spacing w:line="360" w:lineRule="auto"/>
              <w:jc w:val="center"/>
              <w:rPr>
                <w:rFonts w:asciiTheme="minorEastAsia" w:hAnsiTheme="minorEastAsia"/>
                <w:kern w:val="0"/>
                <w:szCs w:val="21"/>
              </w:rPr>
            </w:pPr>
            <w:r>
              <w:rPr>
                <w:rFonts w:asciiTheme="minorEastAsia" w:hAnsiTheme="minorEastAsia"/>
                <w:kern w:val="0"/>
                <w:szCs w:val="21"/>
              </w:rPr>
              <w:t>展</w:t>
            </w:r>
          </w:p>
          <w:p>
            <w:pPr>
              <w:spacing w:line="360" w:lineRule="auto"/>
              <w:jc w:val="center"/>
              <w:rPr>
                <w:rFonts w:asciiTheme="minorEastAsia" w:hAnsiTheme="minorEastAsia"/>
                <w:kern w:val="0"/>
                <w:szCs w:val="21"/>
              </w:rPr>
            </w:pPr>
            <w:r>
              <w:rPr>
                <w:rFonts w:asciiTheme="minorEastAsia" w:hAnsiTheme="minorEastAsia"/>
                <w:kern w:val="0"/>
                <w:szCs w:val="21"/>
              </w:rPr>
              <w:t>岗位</w:t>
            </w:r>
          </w:p>
        </w:tc>
        <w:tc>
          <w:tcPr>
            <w:tcW w:w="1841" w:type="dxa"/>
            <w:vMerge w:val="restart"/>
          </w:tcPr>
          <w:p>
            <w:pPr>
              <w:rPr>
                <w:rFonts w:asciiTheme="minorEastAsia" w:hAnsiTheme="minorEastAsia"/>
                <w:kern w:val="0"/>
                <w:szCs w:val="21"/>
              </w:rPr>
            </w:pPr>
          </w:p>
          <w:p>
            <w:pPr>
              <w:rPr>
                <w:rFonts w:asciiTheme="minorEastAsia" w:hAnsiTheme="minorEastAsia"/>
                <w:kern w:val="0"/>
                <w:szCs w:val="21"/>
              </w:rPr>
            </w:pPr>
          </w:p>
          <w:p>
            <w:pPr>
              <w:ind w:firstLine="210" w:firstLineChars="100"/>
              <w:rPr>
                <w:rFonts w:asciiTheme="minorEastAsia" w:hAnsiTheme="minorEastAsia"/>
                <w:kern w:val="0"/>
                <w:szCs w:val="21"/>
              </w:rPr>
            </w:pPr>
            <w:r>
              <w:rPr>
                <w:rFonts w:hint="eastAsia" w:asciiTheme="minorEastAsia" w:hAnsiTheme="minorEastAsia"/>
                <w:kern w:val="0"/>
                <w:szCs w:val="21"/>
              </w:rPr>
              <w:t>化工工艺</w:t>
            </w:r>
          </w:p>
          <w:p>
            <w:pPr>
              <w:ind w:firstLine="210" w:firstLineChars="100"/>
              <w:rPr>
                <w:rFonts w:asciiTheme="minorEastAsia" w:hAnsiTheme="minorEastAsia"/>
                <w:szCs w:val="21"/>
              </w:rPr>
            </w:pPr>
            <w:r>
              <w:rPr>
                <w:rFonts w:hint="eastAsia" w:asciiTheme="minorEastAsia" w:hAnsiTheme="minorEastAsia"/>
                <w:kern w:val="0"/>
                <w:szCs w:val="21"/>
              </w:rPr>
              <w:t>管理岗位</w:t>
            </w:r>
          </w:p>
        </w:tc>
        <w:tc>
          <w:tcPr>
            <w:tcW w:w="2738" w:type="dxa"/>
          </w:tcPr>
          <w:p>
            <w:pPr>
              <w:rPr>
                <w:rFonts w:asciiTheme="minorEastAsia" w:hAnsiTheme="minorEastAsia"/>
                <w:szCs w:val="21"/>
              </w:rPr>
            </w:pPr>
            <w:r>
              <w:rPr>
                <w:rFonts w:hint="eastAsia" w:asciiTheme="minorEastAsia" w:hAnsiTheme="minorEastAsia"/>
                <w:szCs w:val="21"/>
              </w:rPr>
              <w:t>生产组织能力</w:t>
            </w:r>
          </w:p>
        </w:tc>
        <w:tc>
          <w:tcPr>
            <w:tcW w:w="1705" w:type="dxa"/>
            <w:vMerge w:val="continue"/>
          </w:tcPr>
          <w:p>
            <w:pPr>
              <w:rPr>
                <w:rFonts w:asciiTheme="minorEastAsia" w:hAnsiTheme="minorEastAsia"/>
                <w:szCs w:val="21"/>
              </w:rPr>
            </w:pPr>
          </w:p>
        </w:tc>
        <w:tc>
          <w:tcPr>
            <w:tcW w:w="1705" w:type="dxa"/>
            <w:vMerge w:val="continue"/>
          </w:tcPr>
          <w:p>
            <w:pP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continue"/>
          </w:tcPr>
          <w:p>
            <w:pPr>
              <w:rPr>
                <w:rFonts w:asciiTheme="minorEastAsia" w:hAnsiTheme="minorEastAsia"/>
                <w:szCs w:val="21"/>
              </w:rPr>
            </w:pPr>
          </w:p>
        </w:tc>
        <w:tc>
          <w:tcPr>
            <w:tcW w:w="1841" w:type="dxa"/>
            <w:vMerge w:val="continue"/>
          </w:tcPr>
          <w:p>
            <w:pPr>
              <w:rPr>
                <w:rFonts w:asciiTheme="minorEastAsia" w:hAnsiTheme="minorEastAsia"/>
                <w:szCs w:val="21"/>
              </w:rPr>
            </w:pPr>
          </w:p>
        </w:tc>
        <w:tc>
          <w:tcPr>
            <w:tcW w:w="2738" w:type="dxa"/>
          </w:tcPr>
          <w:p>
            <w:pPr>
              <w:rPr>
                <w:rFonts w:asciiTheme="minorEastAsia" w:hAnsiTheme="minorEastAsia"/>
                <w:szCs w:val="21"/>
              </w:rPr>
            </w:pPr>
            <w:r>
              <w:rPr>
                <w:rFonts w:hint="eastAsia" w:asciiTheme="minorEastAsia" w:hAnsiTheme="minorEastAsia"/>
                <w:szCs w:val="21"/>
              </w:rPr>
              <w:t>生产管理能力</w:t>
            </w:r>
          </w:p>
        </w:tc>
        <w:tc>
          <w:tcPr>
            <w:tcW w:w="1705" w:type="dxa"/>
            <w:vMerge w:val="continue"/>
          </w:tcPr>
          <w:p>
            <w:pPr>
              <w:rPr>
                <w:rFonts w:asciiTheme="minorEastAsia" w:hAnsiTheme="minorEastAsia"/>
                <w:szCs w:val="21"/>
              </w:rPr>
            </w:pPr>
          </w:p>
        </w:tc>
        <w:tc>
          <w:tcPr>
            <w:tcW w:w="1705" w:type="dxa"/>
            <w:vMerge w:val="continue"/>
          </w:tcPr>
          <w:p>
            <w:pP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continue"/>
          </w:tcPr>
          <w:p>
            <w:pPr>
              <w:rPr>
                <w:rFonts w:asciiTheme="minorEastAsia" w:hAnsiTheme="minorEastAsia"/>
                <w:szCs w:val="21"/>
              </w:rPr>
            </w:pPr>
          </w:p>
        </w:tc>
        <w:tc>
          <w:tcPr>
            <w:tcW w:w="1841" w:type="dxa"/>
            <w:vMerge w:val="continue"/>
          </w:tcPr>
          <w:p>
            <w:pPr>
              <w:rPr>
                <w:rFonts w:asciiTheme="minorEastAsia" w:hAnsiTheme="minorEastAsia"/>
                <w:szCs w:val="21"/>
              </w:rPr>
            </w:pPr>
          </w:p>
        </w:tc>
        <w:tc>
          <w:tcPr>
            <w:tcW w:w="2738" w:type="dxa"/>
          </w:tcPr>
          <w:p>
            <w:pPr>
              <w:rPr>
                <w:rFonts w:asciiTheme="minorEastAsia" w:hAnsiTheme="minorEastAsia"/>
                <w:szCs w:val="21"/>
              </w:rPr>
            </w:pPr>
            <w:r>
              <w:rPr>
                <w:rFonts w:hint="eastAsia" w:asciiTheme="minorEastAsia" w:hAnsiTheme="minorEastAsia"/>
                <w:szCs w:val="21"/>
              </w:rPr>
              <w:t>技术应用能力</w:t>
            </w:r>
          </w:p>
        </w:tc>
        <w:tc>
          <w:tcPr>
            <w:tcW w:w="1705" w:type="dxa"/>
            <w:vMerge w:val="continue"/>
          </w:tcPr>
          <w:p>
            <w:pPr>
              <w:rPr>
                <w:rFonts w:asciiTheme="minorEastAsia" w:hAnsiTheme="minorEastAsia"/>
                <w:szCs w:val="21"/>
              </w:rPr>
            </w:pPr>
          </w:p>
        </w:tc>
        <w:tc>
          <w:tcPr>
            <w:tcW w:w="1705" w:type="dxa"/>
            <w:vMerge w:val="continue"/>
          </w:tcPr>
          <w:p>
            <w:pP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continue"/>
          </w:tcPr>
          <w:p>
            <w:pPr>
              <w:rPr>
                <w:rFonts w:asciiTheme="minorEastAsia" w:hAnsiTheme="minorEastAsia"/>
                <w:szCs w:val="21"/>
              </w:rPr>
            </w:pPr>
          </w:p>
        </w:tc>
        <w:tc>
          <w:tcPr>
            <w:tcW w:w="1841" w:type="dxa"/>
            <w:vMerge w:val="continue"/>
          </w:tcPr>
          <w:p>
            <w:pPr>
              <w:rPr>
                <w:rFonts w:asciiTheme="minorEastAsia" w:hAnsiTheme="minorEastAsia"/>
                <w:szCs w:val="21"/>
              </w:rPr>
            </w:pPr>
          </w:p>
        </w:tc>
        <w:tc>
          <w:tcPr>
            <w:tcW w:w="2738" w:type="dxa"/>
          </w:tcPr>
          <w:p>
            <w:pPr>
              <w:rPr>
                <w:rFonts w:asciiTheme="minorEastAsia" w:hAnsiTheme="minorEastAsia"/>
                <w:szCs w:val="21"/>
              </w:rPr>
            </w:pPr>
            <w:r>
              <w:rPr>
                <w:rFonts w:hint="eastAsia" w:asciiTheme="minorEastAsia" w:hAnsiTheme="minorEastAsia"/>
                <w:szCs w:val="21"/>
              </w:rPr>
              <w:t>技术管理能力</w:t>
            </w:r>
          </w:p>
        </w:tc>
        <w:tc>
          <w:tcPr>
            <w:tcW w:w="1705" w:type="dxa"/>
            <w:vMerge w:val="continue"/>
          </w:tcPr>
          <w:p>
            <w:pPr>
              <w:rPr>
                <w:rFonts w:asciiTheme="minorEastAsia" w:hAnsiTheme="minorEastAsia"/>
                <w:szCs w:val="21"/>
              </w:rPr>
            </w:pPr>
          </w:p>
        </w:tc>
        <w:tc>
          <w:tcPr>
            <w:tcW w:w="1705" w:type="dxa"/>
            <w:vMerge w:val="continue"/>
          </w:tcPr>
          <w:p>
            <w:pP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continue"/>
          </w:tcPr>
          <w:p>
            <w:pPr>
              <w:rPr>
                <w:rFonts w:asciiTheme="minorEastAsia" w:hAnsiTheme="minorEastAsia"/>
                <w:szCs w:val="21"/>
              </w:rPr>
            </w:pPr>
          </w:p>
        </w:tc>
        <w:tc>
          <w:tcPr>
            <w:tcW w:w="1841" w:type="dxa"/>
            <w:vMerge w:val="continue"/>
          </w:tcPr>
          <w:p>
            <w:pPr>
              <w:rPr>
                <w:rFonts w:asciiTheme="minorEastAsia" w:hAnsiTheme="minorEastAsia"/>
                <w:szCs w:val="21"/>
              </w:rPr>
            </w:pPr>
          </w:p>
        </w:tc>
        <w:tc>
          <w:tcPr>
            <w:tcW w:w="2738" w:type="dxa"/>
          </w:tcPr>
          <w:p>
            <w:pPr>
              <w:rPr>
                <w:rFonts w:asciiTheme="minorEastAsia" w:hAnsiTheme="minorEastAsia"/>
                <w:szCs w:val="21"/>
              </w:rPr>
            </w:pPr>
            <w:r>
              <w:rPr>
                <w:rFonts w:hint="eastAsia" w:asciiTheme="minorEastAsia" w:hAnsiTheme="minorEastAsia"/>
                <w:szCs w:val="21"/>
              </w:rPr>
              <w:t>编写制定生产方案能力</w:t>
            </w:r>
          </w:p>
        </w:tc>
        <w:tc>
          <w:tcPr>
            <w:tcW w:w="1705" w:type="dxa"/>
            <w:vMerge w:val="continue"/>
          </w:tcPr>
          <w:p>
            <w:pPr>
              <w:rPr>
                <w:rFonts w:asciiTheme="minorEastAsia" w:hAnsiTheme="minorEastAsia"/>
                <w:szCs w:val="21"/>
              </w:rPr>
            </w:pPr>
          </w:p>
        </w:tc>
        <w:tc>
          <w:tcPr>
            <w:tcW w:w="1705" w:type="dxa"/>
            <w:vMerge w:val="continue"/>
          </w:tcPr>
          <w:p>
            <w:pP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continue"/>
          </w:tcPr>
          <w:p>
            <w:pPr>
              <w:rPr>
                <w:rFonts w:asciiTheme="minorEastAsia" w:hAnsiTheme="minorEastAsia"/>
                <w:szCs w:val="21"/>
              </w:rPr>
            </w:pPr>
          </w:p>
        </w:tc>
        <w:tc>
          <w:tcPr>
            <w:tcW w:w="1841" w:type="dxa"/>
            <w:vMerge w:val="continue"/>
          </w:tcPr>
          <w:p>
            <w:pPr>
              <w:rPr>
                <w:rFonts w:asciiTheme="minorEastAsia" w:hAnsiTheme="minorEastAsia"/>
                <w:szCs w:val="21"/>
              </w:rPr>
            </w:pPr>
          </w:p>
        </w:tc>
        <w:tc>
          <w:tcPr>
            <w:tcW w:w="2738" w:type="dxa"/>
          </w:tcPr>
          <w:p>
            <w:pPr>
              <w:rPr>
                <w:rFonts w:asciiTheme="minorEastAsia" w:hAnsiTheme="minorEastAsia"/>
                <w:szCs w:val="21"/>
              </w:rPr>
            </w:pPr>
            <w:r>
              <w:rPr>
                <w:rFonts w:hint="eastAsia" w:asciiTheme="minorEastAsia" w:hAnsiTheme="minorEastAsia"/>
                <w:szCs w:val="21"/>
              </w:rPr>
              <w:t>组织处理异常现象能力</w:t>
            </w:r>
          </w:p>
        </w:tc>
        <w:tc>
          <w:tcPr>
            <w:tcW w:w="1705" w:type="dxa"/>
            <w:vMerge w:val="continue"/>
          </w:tcPr>
          <w:p>
            <w:pPr>
              <w:rPr>
                <w:rFonts w:asciiTheme="minorEastAsia" w:hAnsiTheme="minorEastAsia"/>
                <w:szCs w:val="21"/>
              </w:rPr>
            </w:pPr>
          </w:p>
        </w:tc>
        <w:tc>
          <w:tcPr>
            <w:tcW w:w="1705" w:type="dxa"/>
            <w:vMerge w:val="continue"/>
          </w:tcPr>
          <w:p>
            <w:pPr>
              <w:rPr>
                <w:rFonts w:asciiTheme="minorEastAsia" w:hAnsiTheme="minorEastAsia"/>
                <w:szCs w:val="21"/>
              </w:rPr>
            </w:pPr>
          </w:p>
        </w:tc>
      </w:tr>
    </w:tbl>
    <w:p>
      <w:pPr>
        <w:spacing w:line="360" w:lineRule="auto"/>
        <w:rPr>
          <w:rFonts w:ascii="Times New Roman" w:hAnsi="Times New Roman" w:eastAsia="宋体" w:cs="Times New Roman"/>
          <w:bCs/>
          <w:color w:val="FF0000"/>
          <w:sz w:val="24"/>
        </w:rPr>
      </w:pPr>
    </w:p>
    <w:p>
      <w:pPr>
        <w:spacing w:line="360" w:lineRule="auto"/>
        <w:ind w:firstLine="300" w:firstLineChars="100"/>
        <w:rPr>
          <w:rFonts w:ascii="黑体" w:hAnsi="黑体" w:eastAsia="黑体" w:cs="黑体"/>
          <w:bCs/>
          <w:sz w:val="30"/>
          <w:szCs w:val="30"/>
        </w:rPr>
      </w:pPr>
      <w:r>
        <w:rPr>
          <w:rFonts w:hint="eastAsia" w:ascii="黑体" w:hAnsi="黑体" w:eastAsia="黑体" w:cs="黑体"/>
          <w:bCs/>
          <w:sz w:val="30"/>
          <w:szCs w:val="30"/>
        </w:rPr>
        <w:t>（三）课程体系设置</w:t>
      </w:r>
    </w:p>
    <w:p>
      <w:pPr>
        <w:spacing w:line="360" w:lineRule="auto"/>
        <w:ind w:firstLine="493"/>
        <w:rPr>
          <w:rFonts w:ascii="仿宋_GB2312" w:hAnsi="仿宋_GB2312" w:eastAsia="仿宋_GB2312" w:cs="宋体"/>
          <w:b/>
          <w:bCs/>
          <w:kern w:val="0"/>
          <w:sz w:val="28"/>
          <w:szCs w:val="28"/>
        </w:rPr>
      </w:pPr>
      <w:r>
        <w:rPr>
          <w:rFonts w:hint="eastAsia" w:ascii="宋体" w:hAnsi="宋体" w:eastAsia="宋体" w:cs="Times New Roman"/>
          <w:sz w:val="24"/>
        </w:rPr>
        <w:t>依据行业企业标准和职业岗位的任职需求，经过论证，形成了本专业的课程体系，具体如下：</w:t>
      </w:r>
    </w:p>
    <w:p>
      <w:pPr>
        <w:spacing w:beforeLines="100" w:afterLines="100"/>
        <w:ind w:firstLine="493"/>
        <w:jc w:val="center"/>
        <w:rPr>
          <w:rFonts w:ascii="宋体" w:hAnsi="宋体" w:cs="宋体"/>
          <w:b/>
          <w:bCs/>
          <w:kern w:val="0"/>
          <w:sz w:val="24"/>
        </w:rPr>
      </w:pPr>
      <w:r>
        <w:rPr>
          <w:rFonts w:hint="eastAsia" w:ascii="宋体" w:hAnsi="宋体"/>
          <w:b/>
          <w:bCs/>
          <w:sz w:val="24"/>
        </w:rPr>
        <w:t>应用化工技术</w:t>
      </w:r>
      <w:r>
        <w:rPr>
          <w:rFonts w:hint="eastAsia" w:ascii="宋体" w:hAnsi="宋体" w:cs="宋体"/>
          <w:b/>
          <w:bCs/>
          <w:kern w:val="0"/>
          <w:sz w:val="24"/>
        </w:rPr>
        <w:t>专业的课程体系</w:t>
      </w:r>
    </w:p>
    <w:tbl>
      <w:tblPr>
        <w:tblStyle w:val="18"/>
        <w:tblW w:w="938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88"/>
        <w:gridCol w:w="524"/>
        <w:gridCol w:w="1213"/>
        <w:gridCol w:w="910"/>
        <w:gridCol w:w="440"/>
        <w:gridCol w:w="666"/>
        <w:gridCol w:w="550"/>
        <w:gridCol w:w="629"/>
        <w:gridCol w:w="6"/>
        <w:gridCol w:w="693"/>
        <w:gridCol w:w="6"/>
        <w:gridCol w:w="534"/>
        <w:gridCol w:w="633"/>
        <w:gridCol w:w="677"/>
        <w:gridCol w:w="121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3" w:hRule="atLeast"/>
          <w:tblHeader/>
          <w:jc w:val="center"/>
        </w:trPr>
        <w:tc>
          <w:tcPr>
            <w:tcW w:w="688" w:type="dxa"/>
            <w:vMerge w:val="restart"/>
            <w:tcBorders>
              <w:top w:val="single" w:color="auto" w:sz="12" w:space="0"/>
              <w:left w:val="single" w:color="auto" w:sz="12" w:space="0"/>
              <w:bottom w:val="single" w:color="auto" w:sz="6" w:space="0"/>
              <w:right w:val="single" w:color="auto" w:sz="6" w:space="0"/>
            </w:tcBorders>
            <w:shd w:val="clear" w:color="auto" w:fill="E6E6E6"/>
            <w:noWrap/>
            <w:vAlign w:val="center"/>
          </w:tcPr>
          <w:p>
            <w:pPr>
              <w:widowControl/>
              <w:spacing w:line="240" w:lineRule="exact"/>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课程类别</w:t>
            </w:r>
          </w:p>
        </w:tc>
        <w:tc>
          <w:tcPr>
            <w:tcW w:w="1737" w:type="dxa"/>
            <w:gridSpan w:val="2"/>
            <w:vMerge w:val="restart"/>
            <w:tcBorders>
              <w:top w:val="single" w:color="auto" w:sz="12" w:space="0"/>
              <w:left w:val="single" w:color="auto" w:sz="6" w:space="0"/>
              <w:bottom w:val="single" w:color="auto" w:sz="6" w:space="0"/>
              <w:right w:val="single" w:color="auto" w:sz="6" w:space="0"/>
            </w:tcBorders>
            <w:shd w:val="clear" w:color="auto" w:fill="E6E6E6"/>
            <w:noWrap/>
            <w:vAlign w:val="center"/>
          </w:tcPr>
          <w:p>
            <w:pPr>
              <w:widowControl/>
              <w:spacing w:line="240" w:lineRule="exact"/>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课程名称</w:t>
            </w:r>
          </w:p>
        </w:tc>
        <w:tc>
          <w:tcPr>
            <w:tcW w:w="910" w:type="dxa"/>
            <w:vMerge w:val="restart"/>
            <w:tcBorders>
              <w:top w:val="single" w:color="auto" w:sz="12" w:space="0"/>
              <w:left w:val="single" w:color="auto" w:sz="6" w:space="0"/>
              <w:bottom w:val="single" w:color="auto" w:sz="6" w:space="0"/>
              <w:right w:val="single" w:color="auto" w:sz="6" w:space="0"/>
            </w:tcBorders>
            <w:shd w:val="clear" w:color="auto" w:fill="E6E6E6"/>
            <w:noWrap/>
            <w:vAlign w:val="center"/>
          </w:tcPr>
          <w:p>
            <w:pPr>
              <w:widowControl/>
              <w:spacing w:line="240" w:lineRule="exact"/>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课程性质</w:t>
            </w:r>
          </w:p>
        </w:tc>
        <w:tc>
          <w:tcPr>
            <w:tcW w:w="440" w:type="dxa"/>
            <w:vMerge w:val="restart"/>
            <w:tcBorders>
              <w:top w:val="single" w:color="auto" w:sz="12" w:space="0"/>
              <w:left w:val="single" w:color="auto" w:sz="6" w:space="0"/>
              <w:bottom w:val="single" w:color="auto" w:sz="6" w:space="0"/>
              <w:right w:val="single" w:color="auto" w:sz="4" w:space="0"/>
            </w:tcBorders>
            <w:shd w:val="clear" w:color="auto" w:fill="E6E6E6"/>
            <w:noWrap/>
            <w:vAlign w:val="center"/>
          </w:tcPr>
          <w:p>
            <w:pPr>
              <w:widowControl/>
              <w:spacing w:line="240" w:lineRule="exact"/>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课程类型</w:t>
            </w:r>
          </w:p>
        </w:tc>
        <w:tc>
          <w:tcPr>
            <w:tcW w:w="666" w:type="dxa"/>
            <w:vMerge w:val="restart"/>
            <w:tcBorders>
              <w:top w:val="single" w:color="auto" w:sz="12" w:space="0"/>
              <w:left w:val="single" w:color="auto" w:sz="4" w:space="0"/>
              <w:bottom w:val="single" w:color="auto" w:sz="6" w:space="0"/>
              <w:right w:val="single" w:color="auto" w:sz="6" w:space="0"/>
            </w:tcBorders>
            <w:shd w:val="clear" w:color="auto" w:fill="E6E6E6"/>
            <w:noWrap/>
            <w:vAlign w:val="center"/>
          </w:tcPr>
          <w:p>
            <w:pPr>
              <w:widowControl/>
              <w:spacing w:line="240" w:lineRule="exact"/>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学时小计</w:t>
            </w:r>
          </w:p>
        </w:tc>
        <w:tc>
          <w:tcPr>
            <w:tcW w:w="3728" w:type="dxa"/>
            <w:gridSpan w:val="8"/>
            <w:tcBorders>
              <w:top w:val="single" w:color="auto" w:sz="12" w:space="0"/>
              <w:left w:val="single" w:color="auto" w:sz="6" w:space="0"/>
              <w:bottom w:val="single" w:color="auto" w:sz="6" w:space="0"/>
              <w:right w:val="single" w:color="auto" w:sz="6" w:space="0"/>
            </w:tcBorders>
            <w:shd w:val="clear" w:color="auto" w:fill="E6E6E6"/>
            <w:noWrap/>
            <w:vAlign w:val="center"/>
          </w:tcPr>
          <w:p>
            <w:pPr>
              <w:widowControl/>
              <w:spacing w:line="240" w:lineRule="exact"/>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参考学时数（学期课时数）</w:t>
            </w:r>
          </w:p>
        </w:tc>
        <w:tc>
          <w:tcPr>
            <w:tcW w:w="1215" w:type="dxa"/>
            <w:tcBorders>
              <w:top w:val="single" w:color="auto" w:sz="12" w:space="0"/>
              <w:left w:val="single" w:color="auto" w:sz="6" w:space="0"/>
              <w:bottom w:val="single" w:color="auto" w:sz="6" w:space="0"/>
              <w:right w:val="single" w:color="auto" w:sz="12" w:space="0"/>
            </w:tcBorders>
            <w:shd w:val="clear" w:color="auto" w:fill="E6E6E6"/>
            <w:noWrap/>
            <w:vAlign w:val="center"/>
          </w:tcPr>
          <w:p>
            <w:pPr>
              <w:widowControl/>
              <w:spacing w:line="240" w:lineRule="exact"/>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3" w:hRule="atLeast"/>
          <w:tblHeader/>
          <w:jc w:val="center"/>
        </w:trPr>
        <w:tc>
          <w:tcPr>
            <w:tcW w:w="688" w:type="dxa"/>
            <w:vMerge w:val="continue"/>
            <w:tcBorders>
              <w:top w:val="single" w:color="auto" w:sz="12" w:space="0"/>
              <w:left w:val="single" w:color="auto" w:sz="12" w:space="0"/>
              <w:bottom w:val="single" w:color="auto" w:sz="6" w:space="0"/>
              <w:right w:val="single" w:color="auto" w:sz="6" w:space="0"/>
            </w:tcBorders>
            <w:shd w:val="clear" w:color="auto" w:fill="auto"/>
            <w:noWrap/>
            <w:vAlign w:val="center"/>
          </w:tcPr>
          <w:p>
            <w:pPr>
              <w:widowControl/>
              <w:spacing w:line="240" w:lineRule="exact"/>
              <w:jc w:val="left"/>
              <w:rPr>
                <w:rFonts w:ascii="仿宋_GB2312" w:hAnsi="仿宋_GB2312" w:eastAsia="仿宋_GB2312" w:cs="宋体"/>
                <w:b/>
                <w:bCs/>
                <w:kern w:val="0"/>
                <w:szCs w:val="21"/>
              </w:rPr>
            </w:pPr>
          </w:p>
        </w:tc>
        <w:tc>
          <w:tcPr>
            <w:tcW w:w="1737" w:type="dxa"/>
            <w:gridSpan w:val="2"/>
            <w:vMerge w:val="continue"/>
            <w:tcBorders>
              <w:top w:val="single" w:color="auto" w:sz="12" w:space="0"/>
              <w:left w:val="single" w:color="auto" w:sz="6" w:space="0"/>
              <w:bottom w:val="single" w:color="auto" w:sz="6" w:space="0"/>
              <w:right w:val="single" w:color="auto" w:sz="6" w:space="0"/>
            </w:tcBorders>
            <w:shd w:val="clear" w:color="auto" w:fill="auto"/>
            <w:noWrap/>
            <w:vAlign w:val="center"/>
          </w:tcPr>
          <w:p>
            <w:pPr>
              <w:widowControl/>
              <w:spacing w:line="240" w:lineRule="exact"/>
              <w:jc w:val="left"/>
              <w:rPr>
                <w:rFonts w:ascii="仿宋_GB2312" w:hAnsi="仿宋_GB2312" w:eastAsia="仿宋_GB2312" w:cs="宋体"/>
                <w:b/>
                <w:bCs/>
                <w:kern w:val="0"/>
                <w:szCs w:val="21"/>
              </w:rPr>
            </w:pPr>
          </w:p>
        </w:tc>
        <w:tc>
          <w:tcPr>
            <w:tcW w:w="910" w:type="dxa"/>
            <w:vMerge w:val="continue"/>
            <w:tcBorders>
              <w:top w:val="single" w:color="auto" w:sz="12" w:space="0"/>
              <w:left w:val="single" w:color="auto" w:sz="6" w:space="0"/>
              <w:bottom w:val="single" w:color="auto" w:sz="6" w:space="0"/>
              <w:right w:val="single" w:color="auto" w:sz="6" w:space="0"/>
            </w:tcBorders>
            <w:shd w:val="clear" w:color="auto" w:fill="auto"/>
            <w:noWrap/>
            <w:vAlign w:val="center"/>
          </w:tcPr>
          <w:p>
            <w:pPr>
              <w:widowControl/>
              <w:spacing w:line="240" w:lineRule="exact"/>
              <w:jc w:val="left"/>
              <w:rPr>
                <w:rFonts w:ascii="仿宋_GB2312" w:hAnsi="仿宋_GB2312" w:eastAsia="仿宋_GB2312" w:cs="宋体"/>
                <w:b/>
                <w:bCs/>
                <w:kern w:val="0"/>
                <w:szCs w:val="21"/>
              </w:rPr>
            </w:pPr>
          </w:p>
        </w:tc>
        <w:tc>
          <w:tcPr>
            <w:tcW w:w="440" w:type="dxa"/>
            <w:vMerge w:val="continue"/>
            <w:tcBorders>
              <w:top w:val="single" w:color="auto" w:sz="12" w:space="0"/>
              <w:left w:val="single" w:color="auto" w:sz="6" w:space="0"/>
              <w:bottom w:val="single" w:color="auto" w:sz="6" w:space="0"/>
              <w:right w:val="single" w:color="auto" w:sz="4" w:space="0"/>
            </w:tcBorders>
            <w:shd w:val="clear" w:color="auto" w:fill="auto"/>
            <w:noWrap/>
            <w:vAlign w:val="center"/>
          </w:tcPr>
          <w:p>
            <w:pPr>
              <w:widowControl/>
              <w:spacing w:line="240" w:lineRule="exact"/>
              <w:jc w:val="left"/>
              <w:rPr>
                <w:rFonts w:ascii="Calibri" w:hAnsi="Calibri" w:eastAsia="仿宋_GB2312" w:cs="宋体"/>
                <w:szCs w:val="21"/>
              </w:rPr>
            </w:pPr>
          </w:p>
        </w:tc>
        <w:tc>
          <w:tcPr>
            <w:tcW w:w="666" w:type="dxa"/>
            <w:vMerge w:val="continue"/>
            <w:tcBorders>
              <w:top w:val="single" w:color="auto" w:sz="12" w:space="0"/>
              <w:left w:val="single" w:color="auto" w:sz="4" w:space="0"/>
              <w:bottom w:val="single" w:color="auto" w:sz="6" w:space="0"/>
              <w:right w:val="single" w:color="auto" w:sz="6" w:space="0"/>
            </w:tcBorders>
            <w:shd w:val="clear" w:color="auto" w:fill="auto"/>
            <w:noWrap/>
            <w:vAlign w:val="center"/>
          </w:tcPr>
          <w:p>
            <w:pPr>
              <w:widowControl/>
              <w:spacing w:line="240" w:lineRule="exact"/>
              <w:jc w:val="left"/>
              <w:rPr>
                <w:rFonts w:ascii="仿宋_GB2312" w:hAnsi="仿宋_GB2312" w:eastAsia="仿宋_GB2312" w:cs="宋体"/>
                <w:b/>
                <w:bCs/>
                <w:kern w:val="0"/>
                <w:szCs w:val="21"/>
              </w:rPr>
            </w:pPr>
          </w:p>
        </w:tc>
        <w:tc>
          <w:tcPr>
            <w:tcW w:w="1179" w:type="dxa"/>
            <w:gridSpan w:val="2"/>
            <w:tcBorders>
              <w:top w:val="single" w:color="auto" w:sz="6" w:space="0"/>
              <w:left w:val="single" w:color="auto" w:sz="6" w:space="0"/>
              <w:bottom w:val="single" w:color="auto" w:sz="6" w:space="0"/>
              <w:right w:val="single" w:color="auto" w:sz="6" w:space="0"/>
            </w:tcBorders>
            <w:shd w:val="clear" w:color="auto" w:fill="E6E6E6"/>
            <w:noWrap/>
            <w:vAlign w:val="center"/>
          </w:tcPr>
          <w:p>
            <w:pPr>
              <w:widowControl/>
              <w:spacing w:line="240" w:lineRule="exact"/>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第一</w:t>
            </w:r>
          </w:p>
          <w:p>
            <w:pPr>
              <w:widowControl/>
              <w:spacing w:line="240" w:lineRule="exact"/>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学年</w:t>
            </w:r>
          </w:p>
        </w:tc>
        <w:tc>
          <w:tcPr>
            <w:tcW w:w="1239" w:type="dxa"/>
            <w:gridSpan w:val="4"/>
            <w:tcBorders>
              <w:top w:val="single" w:color="auto" w:sz="6" w:space="0"/>
              <w:left w:val="single" w:color="auto" w:sz="6" w:space="0"/>
              <w:bottom w:val="single" w:color="auto" w:sz="6" w:space="0"/>
              <w:right w:val="single" w:color="auto" w:sz="6" w:space="0"/>
            </w:tcBorders>
            <w:shd w:val="clear" w:color="auto" w:fill="E6E6E6"/>
            <w:noWrap/>
            <w:vAlign w:val="center"/>
          </w:tcPr>
          <w:p>
            <w:pPr>
              <w:widowControl/>
              <w:spacing w:line="240" w:lineRule="exact"/>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第二</w:t>
            </w:r>
          </w:p>
          <w:p>
            <w:pPr>
              <w:widowControl/>
              <w:spacing w:line="240" w:lineRule="exact"/>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学年</w:t>
            </w:r>
          </w:p>
        </w:tc>
        <w:tc>
          <w:tcPr>
            <w:tcW w:w="1310" w:type="dxa"/>
            <w:gridSpan w:val="2"/>
            <w:tcBorders>
              <w:top w:val="single" w:color="auto" w:sz="6" w:space="0"/>
              <w:left w:val="single" w:color="auto" w:sz="6" w:space="0"/>
              <w:bottom w:val="single" w:color="auto" w:sz="6" w:space="0"/>
              <w:right w:val="single" w:color="auto" w:sz="6" w:space="0"/>
            </w:tcBorders>
            <w:shd w:val="clear" w:color="auto" w:fill="E6E6E6"/>
            <w:noWrap/>
            <w:vAlign w:val="center"/>
          </w:tcPr>
          <w:p>
            <w:pPr>
              <w:widowControl/>
              <w:spacing w:line="240" w:lineRule="exact"/>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第三</w:t>
            </w:r>
          </w:p>
          <w:p>
            <w:pPr>
              <w:widowControl/>
              <w:spacing w:line="240" w:lineRule="exact"/>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学年</w:t>
            </w:r>
          </w:p>
        </w:tc>
        <w:tc>
          <w:tcPr>
            <w:tcW w:w="1215" w:type="dxa"/>
            <w:tcBorders>
              <w:top w:val="single" w:color="auto" w:sz="12" w:space="0"/>
              <w:left w:val="single" w:color="auto" w:sz="6" w:space="0"/>
              <w:bottom w:val="single" w:color="auto" w:sz="6" w:space="0"/>
              <w:right w:val="single" w:color="auto" w:sz="12" w:space="0"/>
            </w:tcBorders>
            <w:noWrap/>
            <w:vAlign w:val="center"/>
          </w:tcPr>
          <w:p>
            <w:pPr>
              <w:widowControl/>
              <w:spacing w:line="240" w:lineRule="exact"/>
              <w:jc w:val="left"/>
              <w:rPr>
                <w:rFonts w:ascii="仿宋_GB2312" w:hAnsi="仿宋_GB2312" w:eastAsia="仿宋_GB2312" w:cs="宋体"/>
                <w:b/>
                <w:bCs/>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688" w:type="dxa"/>
            <w:vMerge w:val="restart"/>
            <w:tcBorders>
              <w:top w:val="single" w:color="auto" w:sz="6" w:space="0"/>
              <w:left w:val="single" w:color="auto" w:sz="12" w:space="0"/>
              <w:bottom w:val="single" w:color="auto" w:sz="6" w:space="0"/>
              <w:right w:val="single" w:color="auto" w:sz="6" w:space="0"/>
            </w:tcBorders>
            <w:noWrap/>
            <w:textDirection w:val="tbRlV"/>
            <w:vAlign w:val="center"/>
          </w:tcPr>
          <w:p>
            <w:pPr>
              <w:widowControl/>
              <w:spacing w:line="360" w:lineRule="auto"/>
              <w:ind w:left="113" w:right="113"/>
              <w:jc w:val="center"/>
              <w:rPr>
                <w:rFonts w:ascii="宋体" w:hAnsi="宋体" w:eastAsia="宋体" w:cs="宋体"/>
                <w:b/>
                <w:kern w:val="0"/>
                <w:szCs w:val="18"/>
              </w:rPr>
            </w:pPr>
            <w:r>
              <w:rPr>
                <w:rFonts w:hint="eastAsia" w:ascii="宋体" w:hAnsi="宋体" w:cs="宋体"/>
                <w:b/>
                <w:kern w:val="0"/>
                <w:szCs w:val="18"/>
              </w:rPr>
              <w:t>公共基础课程</w:t>
            </w: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kern w:val="0"/>
                <w:szCs w:val="18"/>
              </w:rPr>
            </w:pPr>
            <w:r>
              <w:rPr>
                <w:rFonts w:hint="eastAsia" w:ascii="宋体" w:hAnsi="宋体" w:cs="宋体"/>
                <w:kern w:val="0"/>
                <w:szCs w:val="18"/>
              </w:rPr>
              <w:t>高职语文与中华传统文化</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szCs w:val="18"/>
              </w:rPr>
            </w:pPr>
            <w:r>
              <w:rPr>
                <w:rFonts w:hint="eastAsia" w:ascii="宋体" w:hAnsi="宋体"/>
                <w:szCs w:val="18"/>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68</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32</w:t>
            </w:r>
          </w:p>
        </w:tc>
        <w:tc>
          <w:tcPr>
            <w:tcW w:w="629"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36</w:t>
            </w:r>
          </w:p>
        </w:tc>
        <w:tc>
          <w:tcPr>
            <w:tcW w:w="705" w:type="dxa"/>
            <w:gridSpan w:val="3"/>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534"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633"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677"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eastAsia="宋体"/>
                <w:szCs w:val="18"/>
              </w:rPr>
            </w:pPr>
            <w:r>
              <w:rPr>
                <w:rFonts w:hint="eastAsia" w:ascii="宋体" w:hAnsi="宋体"/>
                <w:szCs w:val="18"/>
              </w:rPr>
              <w:t>实践20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kern w:val="0"/>
                <w:szCs w:val="18"/>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kern w:val="0"/>
                <w:szCs w:val="18"/>
              </w:rPr>
            </w:pPr>
            <w:r>
              <w:rPr>
                <w:rFonts w:hint="eastAsia" w:ascii="宋体" w:hAnsi="宋体" w:cs="宋体"/>
                <w:kern w:val="0"/>
                <w:szCs w:val="18"/>
              </w:rPr>
              <w:t>高职数学</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szCs w:val="18"/>
              </w:rPr>
            </w:pPr>
            <w:r>
              <w:rPr>
                <w:rFonts w:hint="eastAsia" w:ascii="宋体" w:hAnsi="宋体"/>
                <w:szCs w:val="18"/>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100</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64</w:t>
            </w:r>
          </w:p>
        </w:tc>
        <w:tc>
          <w:tcPr>
            <w:tcW w:w="629"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36</w:t>
            </w:r>
          </w:p>
        </w:tc>
        <w:tc>
          <w:tcPr>
            <w:tcW w:w="705" w:type="dxa"/>
            <w:gridSpan w:val="3"/>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534"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633"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677"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eastAsia="宋体"/>
                <w:szCs w:val="18"/>
              </w:rPr>
            </w:pPr>
            <w:r>
              <w:rPr>
                <w:rFonts w:hint="eastAsia" w:ascii="宋体" w:hAnsi="宋体"/>
                <w:szCs w:val="18"/>
              </w:rPr>
              <w:t>实践33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kern w:val="0"/>
                <w:szCs w:val="18"/>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kern w:val="0"/>
                <w:szCs w:val="18"/>
              </w:rPr>
            </w:pPr>
            <w:r>
              <w:rPr>
                <w:rFonts w:hint="eastAsia" w:ascii="宋体" w:hAnsi="宋体" w:cs="宋体"/>
                <w:kern w:val="0"/>
                <w:szCs w:val="18"/>
              </w:rPr>
              <w:t>高职英语</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szCs w:val="18"/>
              </w:rPr>
            </w:pPr>
            <w:r>
              <w:rPr>
                <w:rFonts w:hint="eastAsia" w:ascii="宋体" w:hAnsi="宋体"/>
                <w:szCs w:val="18"/>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100</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64</w:t>
            </w:r>
          </w:p>
        </w:tc>
        <w:tc>
          <w:tcPr>
            <w:tcW w:w="629"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36</w:t>
            </w:r>
          </w:p>
        </w:tc>
        <w:tc>
          <w:tcPr>
            <w:tcW w:w="705" w:type="dxa"/>
            <w:gridSpan w:val="3"/>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534"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633"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677"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eastAsia="宋体"/>
                <w:szCs w:val="18"/>
              </w:rPr>
            </w:pPr>
            <w:r>
              <w:rPr>
                <w:rFonts w:hint="eastAsia" w:ascii="宋体" w:hAnsi="宋体"/>
                <w:szCs w:val="18"/>
              </w:rPr>
              <w:t>实践33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kern w:val="0"/>
                <w:szCs w:val="18"/>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kern w:val="0"/>
                <w:szCs w:val="18"/>
              </w:rPr>
            </w:pPr>
            <w:r>
              <w:rPr>
                <w:rFonts w:hint="eastAsia" w:ascii="宋体" w:hAnsi="宋体" w:cs="宋体"/>
                <w:kern w:val="0"/>
                <w:szCs w:val="18"/>
              </w:rPr>
              <w:t>计算机应用</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szCs w:val="18"/>
              </w:rPr>
            </w:pPr>
            <w:r>
              <w:rPr>
                <w:rFonts w:hint="eastAsia" w:ascii="宋体" w:hAnsi="宋体"/>
                <w:szCs w:val="18"/>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72</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629"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72</w:t>
            </w:r>
          </w:p>
        </w:tc>
        <w:tc>
          <w:tcPr>
            <w:tcW w:w="705" w:type="dxa"/>
            <w:gridSpan w:val="3"/>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534"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633"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677"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eastAsia="宋体"/>
                <w:szCs w:val="18"/>
              </w:rPr>
            </w:pPr>
            <w:r>
              <w:rPr>
                <w:rFonts w:hint="eastAsia" w:ascii="宋体" w:hAnsi="宋体"/>
                <w:szCs w:val="18"/>
              </w:rPr>
              <w:t>实践36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kern w:val="0"/>
                <w:szCs w:val="18"/>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kern w:val="0"/>
                <w:szCs w:val="18"/>
              </w:rPr>
            </w:pPr>
            <w:r>
              <w:rPr>
                <w:rFonts w:hint="eastAsia" w:ascii="宋体" w:hAnsi="宋体" w:cs="宋体"/>
                <w:kern w:val="0"/>
                <w:szCs w:val="18"/>
              </w:rPr>
              <w:t>体育与健康</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szCs w:val="18"/>
              </w:rPr>
            </w:pPr>
            <w:r>
              <w:rPr>
                <w:rFonts w:hint="eastAsia" w:ascii="宋体" w:hAnsi="宋体"/>
                <w:szCs w:val="18"/>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136</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32</w:t>
            </w:r>
          </w:p>
        </w:tc>
        <w:tc>
          <w:tcPr>
            <w:tcW w:w="629"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36</w:t>
            </w:r>
          </w:p>
        </w:tc>
        <w:tc>
          <w:tcPr>
            <w:tcW w:w="705" w:type="dxa"/>
            <w:gridSpan w:val="3"/>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32</w:t>
            </w:r>
          </w:p>
        </w:tc>
        <w:tc>
          <w:tcPr>
            <w:tcW w:w="534"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36</w:t>
            </w:r>
          </w:p>
        </w:tc>
        <w:tc>
          <w:tcPr>
            <w:tcW w:w="633"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677"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szCs w:val="18"/>
              </w:rPr>
            </w:pPr>
            <w:r>
              <w:rPr>
                <w:rFonts w:hint="eastAsia" w:ascii="宋体" w:hAnsi="宋体"/>
                <w:szCs w:val="18"/>
              </w:rPr>
              <w:t>实践120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5"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kern w:val="0"/>
                <w:szCs w:val="18"/>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kern w:val="0"/>
                <w:szCs w:val="18"/>
              </w:rPr>
            </w:pPr>
            <w:r>
              <w:rPr>
                <w:rFonts w:hint="eastAsia" w:ascii="宋体" w:hAnsi="宋体" w:cs="宋体"/>
                <w:kern w:val="0"/>
                <w:szCs w:val="18"/>
              </w:rPr>
              <w:t>思想道德修养与法律基础</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szCs w:val="18"/>
              </w:rPr>
            </w:pPr>
            <w:r>
              <w:rPr>
                <w:rFonts w:hint="eastAsia" w:ascii="宋体" w:hAnsi="宋体"/>
                <w:szCs w:val="18"/>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68</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32</w:t>
            </w:r>
          </w:p>
        </w:tc>
        <w:tc>
          <w:tcPr>
            <w:tcW w:w="629"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36</w:t>
            </w:r>
          </w:p>
        </w:tc>
        <w:tc>
          <w:tcPr>
            <w:tcW w:w="705" w:type="dxa"/>
            <w:gridSpan w:val="3"/>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534"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633"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677"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szCs w:val="18"/>
              </w:rPr>
            </w:pPr>
            <w:r>
              <w:rPr>
                <w:rFonts w:hint="eastAsia" w:ascii="宋体" w:hAnsi="宋体"/>
                <w:szCs w:val="18"/>
              </w:rPr>
              <w:t>实践18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5"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kern w:val="0"/>
                <w:szCs w:val="18"/>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kern w:val="0"/>
                <w:szCs w:val="18"/>
              </w:rPr>
            </w:pPr>
            <w:r>
              <w:rPr>
                <w:rFonts w:hint="eastAsia" w:ascii="宋体" w:hAnsi="宋体" w:cs="宋体"/>
                <w:kern w:val="0"/>
                <w:szCs w:val="18"/>
              </w:rPr>
              <w:t>毛泽东思想和中国特色社会主义理论体系概论</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szCs w:val="18"/>
              </w:rPr>
            </w:pPr>
            <w:r>
              <w:rPr>
                <w:rFonts w:hint="eastAsia" w:ascii="宋体" w:hAnsi="宋体"/>
                <w:szCs w:val="18"/>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68</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629"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705" w:type="dxa"/>
            <w:gridSpan w:val="3"/>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32</w:t>
            </w:r>
          </w:p>
        </w:tc>
        <w:tc>
          <w:tcPr>
            <w:tcW w:w="534"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36</w:t>
            </w:r>
          </w:p>
        </w:tc>
        <w:tc>
          <w:tcPr>
            <w:tcW w:w="633"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677"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szCs w:val="18"/>
              </w:rPr>
            </w:pPr>
            <w:r>
              <w:rPr>
                <w:rFonts w:hint="eastAsia" w:ascii="宋体" w:hAnsi="宋体"/>
                <w:szCs w:val="18"/>
              </w:rPr>
              <w:t>实践19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kern w:val="0"/>
                <w:szCs w:val="18"/>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kern w:val="0"/>
                <w:szCs w:val="18"/>
              </w:rPr>
            </w:pPr>
            <w:r>
              <w:rPr>
                <w:rFonts w:hint="eastAsia" w:ascii="宋体" w:hAnsi="宋体" w:cs="宋体"/>
                <w:kern w:val="0"/>
                <w:szCs w:val="18"/>
              </w:rPr>
              <w:t>形势与政策</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eastAsia="宋体"/>
                <w:szCs w:val="18"/>
              </w:rPr>
            </w:pPr>
            <w:r>
              <w:rPr>
                <w:rFonts w:hint="eastAsia" w:ascii="宋体" w:hAnsi="宋体"/>
                <w:szCs w:val="18"/>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ascii="宋体" w:hAnsi="宋体" w:cs="宋体"/>
                <w:szCs w:val="18"/>
              </w:rPr>
              <w:t>36</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240" w:lineRule="atLeast"/>
              <w:jc w:val="center"/>
              <w:rPr>
                <w:rFonts w:ascii="宋体" w:hAnsi="宋体"/>
                <w:szCs w:val="18"/>
              </w:rPr>
            </w:pPr>
            <w:r>
              <w:rPr>
                <w:rFonts w:ascii="宋体" w:hAnsi="宋体"/>
                <w:szCs w:val="21"/>
              </w:rPr>
              <w:t>9</w:t>
            </w:r>
          </w:p>
        </w:tc>
        <w:tc>
          <w:tcPr>
            <w:tcW w:w="629" w:type="dxa"/>
            <w:tcBorders>
              <w:top w:val="single" w:color="auto" w:sz="6" w:space="0"/>
              <w:left w:val="single" w:color="auto" w:sz="6" w:space="0"/>
              <w:bottom w:val="single" w:color="auto" w:sz="6" w:space="0"/>
              <w:right w:val="single" w:color="auto" w:sz="6" w:space="0"/>
            </w:tcBorders>
            <w:noWrap/>
            <w:vAlign w:val="center"/>
          </w:tcPr>
          <w:p>
            <w:pPr>
              <w:widowControl/>
              <w:spacing w:line="240" w:lineRule="atLeast"/>
              <w:jc w:val="center"/>
              <w:rPr>
                <w:rFonts w:ascii="宋体" w:hAnsi="宋体"/>
                <w:szCs w:val="18"/>
              </w:rPr>
            </w:pPr>
            <w:r>
              <w:rPr>
                <w:rFonts w:ascii="宋体" w:hAnsi="宋体"/>
                <w:szCs w:val="21"/>
              </w:rPr>
              <w:t>9</w:t>
            </w:r>
          </w:p>
        </w:tc>
        <w:tc>
          <w:tcPr>
            <w:tcW w:w="705" w:type="dxa"/>
            <w:gridSpan w:val="3"/>
            <w:tcBorders>
              <w:top w:val="single" w:color="auto" w:sz="6" w:space="0"/>
              <w:left w:val="single" w:color="auto" w:sz="6" w:space="0"/>
              <w:bottom w:val="single" w:color="auto" w:sz="6" w:space="0"/>
              <w:right w:val="single" w:color="auto" w:sz="6" w:space="0"/>
            </w:tcBorders>
            <w:noWrap/>
            <w:vAlign w:val="center"/>
          </w:tcPr>
          <w:p>
            <w:pPr>
              <w:widowControl/>
              <w:spacing w:line="240" w:lineRule="atLeast"/>
              <w:jc w:val="center"/>
              <w:rPr>
                <w:rFonts w:ascii="宋体" w:hAnsi="宋体"/>
                <w:szCs w:val="18"/>
              </w:rPr>
            </w:pPr>
            <w:r>
              <w:rPr>
                <w:rFonts w:ascii="宋体" w:hAnsi="宋体"/>
                <w:szCs w:val="21"/>
              </w:rPr>
              <w:t>9</w:t>
            </w:r>
          </w:p>
        </w:tc>
        <w:tc>
          <w:tcPr>
            <w:tcW w:w="534" w:type="dxa"/>
            <w:tcBorders>
              <w:top w:val="single" w:color="auto" w:sz="6" w:space="0"/>
              <w:left w:val="single" w:color="auto" w:sz="6" w:space="0"/>
              <w:bottom w:val="single" w:color="auto" w:sz="6" w:space="0"/>
              <w:right w:val="single" w:color="auto" w:sz="6" w:space="0"/>
            </w:tcBorders>
            <w:noWrap/>
            <w:vAlign w:val="center"/>
          </w:tcPr>
          <w:p>
            <w:pPr>
              <w:widowControl/>
              <w:spacing w:line="240" w:lineRule="atLeast"/>
              <w:jc w:val="center"/>
              <w:rPr>
                <w:rFonts w:ascii="宋体" w:hAnsi="宋体"/>
                <w:szCs w:val="18"/>
              </w:rPr>
            </w:pPr>
            <w:r>
              <w:rPr>
                <w:rFonts w:ascii="宋体" w:hAnsi="宋体"/>
                <w:szCs w:val="21"/>
              </w:rPr>
              <w:t>9</w:t>
            </w:r>
          </w:p>
        </w:tc>
        <w:tc>
          <w:tcPr>
            <w:tcW w:w="633" w:type="dxa"/>
            <w:tcBorders>
              <w:top w:val="single" w:color="auto" w:sz="6" w:space="0"/>
              <w:left w:val="single" w:color="auto" w:sz="6" w:space="0"/>
              <w:bottom w:val="single" w:color="auto" w:sz="6" w:space="0"/>
              <w:right w:val="single" w:color="auto" w:sz="6" w:space="0"/>
            </w:tcBorders>
            <w:noWrap/>
            <w:vAlign w:val="center"/>
          </w:tcPr>
          <w:p>
            <w:pPr>
              <w:widowControl/>
              <w:spacing w:line="240" w:lineRule="atLeast"/>
              <w:jc w:val="center"/>
              <w:rPr>
                <w:rFonts w:ascii="宋体" w:hAnsi="宋体"/>
                <w:szCs w:val="18"/>
              </w:rPr>
            </w:pPr>
          </w:p>
        </w:tc>
        <w:tc>
          <w:tcPr>
            <w:tcW w:w="677" w:type="dxa"/>
            <w:tcBorders>
              <w:top w:val="single" w:color="auto" w:sz="6" w:space="0"/>
              <w:left w:val="single" w:color="auto" w:sz="6" w:space="0"/>
              <w:bottom w:val="single" w:color="auto" w:sz="6" w:space="0"/>
              <w:right w:val="single" w:color="auto" w:sz="6" w:space="0"/>
            </w:tcBorders>
            <w:noWrap/>
            <w:vAlign w:val="center"/>
          </w:tcPr>
          <w:p>
            <w:pPr>
              <w:widowControl/>
              <w:spacing w:line="240" w:lineRule="atLeast"/>
              <w:jc w:val="center"/>
              <w:rPr>
                <w:rFonts w:ascii="宋体" w:hAnsi="宋体"/>
                <w:szCs w:val="18"/>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szCs w:val="18"/>
              </w:rPr>
            </w:pPr>
            <w:r>
              <w:rPr>
                <w:rFonts w:hint="eastAsia" w:ascii="宋体" w:hAnsi="宋体"/>
                <w:szCs w:val="18"/>
              </w:rPr>
              <w:t>讲座形式实践20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kern w:val="0"/>
                <w:szCs w:val="18"/>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kern w:val="0"/>
                <w:szCs w:val="18"/>
              </w:rPr>
            </w:pPr>
            <w:r>
              <w:rPr>
                <w:rFonts w:hint="eastAsia" w:ascii="宋体" w:hAnsi="宋体" w:cs="宋体"/>
                <w:kern w:val="0"/>
                <w:szCs w:val="18"/>
              </w:rPr>
              <w:t>安全教育</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ascii="宋体" w:hAnsi="宋体"/>
                <w:szCs w:val="18"/>
              </w:rPr>
              <w:t>36</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240" w:lineRule="atLeast"/>
              <w:jc w:val="center"/>
              <w:rPr>
                <w:rFonts w:ascii="宋体" w:hAnsi="宋体"/>
                <w:szCs w:val="18"/>
              </w:rPr>
            </w:pPr>
            <w:r>
              <w:rPr>
                <w:rFonts w:ascii="宋体" w:hAnsi="宋体"/>
                <w:szCs w:val="21"/>
              </w:rPr>
              <w:t>9</w:t>
            </w:r>
          </w:p>
        </w:tc>
        <w:tc>
          <w:tcPr>
            <w:tcW w:w="629" w:type="dxa"/>
            <w:tcBorders>
              <w:top w:val="single" w:color="auto" w:sz="6" w:space="0"/>
              <w:left w:val="single" w:color="auto" w:sz="6" w:space="0"/>
              <w:bottom w:val="single" w:color="auto" w:sz="6" w:space="0"/>
              <w:right w:val="single" w:color="auto" w:sz="6" w:space="0"/>
            </w:tcBorders>
            <w:noWrap/>
            <w:vAlign w:val="center"/>
          </w:tcPr>
          <w:p>
            <w:pPr>
              <w:widowControl/>
              <w:spacing w:line="240" w:lineRule="atLeast"/>
              <w:jc w:val="center"/>
              <w:rPr>
                <w:rFonts w:ascii="宋体" w:hAnsi="宋体"/>
                <w:szCs w:val="18"/>
              </w:rPr>
            </w:pPr>
            <w:r>
              <w:rPr>
                <w:rFonts w:ascii="宋体" w:hAnsi="宋体"/>
                <w:szCs w:val="21"/>
              </w:rPr>
              <w:t>9</w:t>
            </w:r>
          </w:p>
        </w:tc>
        <w:tc>
          <w:tcPr>
            <w:tcW w:w="705" w:type="dxa"/>
            <w:gridSpan w:val="3"/>
            <w:tcBorders>
              <w:top w:val="single" w:color="auto" w:sz="6" w:space="0"/>
              <w:left w:val="single" w:color="auto" w:sz="6" w:space="0"/>
              <w:bottom w:val="single" w:color="auto" w:sz="6" w:space="0"/>
              <w:right w:val="single" w:color="auto" w:sz="6" w:space="0"/>
            </w:tcBorders>
            <w:noWrap/>
            <w:vAlign w:val="center"/>
          </w:tcPr>
          <w:p>
            <w:pPr>
              <w:widowControl/>
              <w:spacing w:line="240" w:lineRule="atLeast"/>
              <w:jc w:val="center"/>
              <w:rPr>
                <w:rFonts w:ascii="宋体" w:hAnsi="宋体"/>
                <w:szCs w:val="18"/>
              </w:rPr>
            </w:pPr>
            <w:r>
              <w:rPr>
                <w:rFonts w:ascii="宋体" w:hAnsi="宋体"/>
                <w:szCs w:val="21"/>
              </w:rPr>
              <w:t>9</w:t>
            </w:r>
          </w:p>
        </w:tc>
        <w:tc>
          <w:tcPr>
            <w:tcW w:w="534" w:type="dxa"/>
            <w:tcBorders>
              <w:top w:val="single" w:color="auto" w:sz="6" w:space="0"/>
              <w:left w:val="single" w:color="auto" w:sz="6" w:space="0"/>
              <w:bottom w:val="single" w:color="auto" w:sz="6" w:space="0"/>
              <w:right w:val="single" w:color="auto" w:sz="6" w:space="0"/>
            </w:tcBorders>
            <w:noWrap/>
            <w:vAlign w:val="center"/>
          </w:tcPr>
          <w:p>
            <w:pPr>
              <w:widowControl/>
              <w:spacing w:line="240" w:lineRule="atLeast"/>
              <w:jc w:val="center"/>
              <w:rPr>
                <w:rFonts w:ascii="宋体" w:hAnsi="宋体"/>
                <w:szCs w:val="18"/>
              </w:rPr>
            </w:pPr>
            <w:r>
              <w:rPr>
                <w:rFonts w:ascii="宋体" w:hAnsi="宋体"/>
                <w:szCs w:val="21"/>
              </w:rPr>
              <w:t>9</w:t>
            </w:r>
          </w:p>
        </w:tc>
        <w:tc>
          <w:tcPr>
            <w:tcW w:w="633" w:type="dxa"/>
            <w:tcBorders>
              <w:top w:val="single" w:color="auto" w:sz="6" w:space="0"/>
              <w:left w:val="single" w:color="auto" w:sz="6" w:space="0"/>
              <w:bottom w:val="single" w:color="auto" w:sz="6" w:space="0"/>
              <w:right w:val="single" w:color="auto" w:sz="6" w:space="0"/>
            </w:tcBorders>
            <w:noWrap/>
            <w:vAlign w:val="center"/>
          </w:tcPr>
          <w:p>
            <w:pPr>
              <w:widowControl/>
              <w:spacing w:line="240" w:lineRule="atLeast"/>
              <w:jc w:val="center"/>
              <w:rPr>
                <w:rFonts w:ascii="宋体" w:hAnsi="宋体"/>
                <w:szCs w:val="18"/>
              </w:rPr>
            </w:pPr>
          </w:p>
        </w:tc>
        <w:tc>
          <w:tcPr>
            <w:tcW w:w="677" w:type="dxa"/>
            <w:tcBorders>
              <w:top w:val="single" w:color="auto" w:sz="6" w:space="0"/>
              <w:left w:val="single" w:color="auto" w:sz="6" w:space="0"/>
              <w:bottom w:val="single" w:color="auto" w:sz="6" w:space="0"/>
              <w:right w:val="single" w:color="auto" w:sz="6" w:space="0"/>
            </w:tcBorders>
            <w:noWrap/>
            <w:vAlign w:val="center"/>
          </w:tcPr>
          <w:p>
            <w:pPr>
              <w:widowControl/>
              <w:spacing w:line="240" w:lineRule="atLeast"/>
              <w:jc w:val="center"/>
              <w:rPr>
                <w:rFonts w:ascii="宋体" w:hAnsi="宋体"/>
                <w:szCs w:val="18"/>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szCs w:val="18"/>
              </w:rPr>
            </w:pPr>
            <w:r>
              <w:rPr>
                <w:rFonts w:hint="eastAsia" w:ascii="宋体" w:hAnsi="宋体"/>
                <w:szCs w:val="18"/>
              </w:rPr>
              <w:t>讲座与班会形式</w:t>
            </w:r>
          </w:p>
          <w:p>
            <w:pPr>
              <w:widowControl/>
              <w:spacing w:line="240" w:lineRule="exact"/>
              <w:jc w:val="center"/>
              <w:rPr>
                <w:rFonts w:ascii="宋体" w:hAnsi="宋体"/>
                <w:szCs w:val="18"/>
              </w:rPr>
            </w:pPr>
            <w:r>
              <w:rPr>
                <w:rFonts w:hint="eastAsia" w:ascii="宋体" w:hAnsi="宋体"/>
                <w:szCs w:val="18"/>
              </w:rPr>
              <w:t>实践12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kern w:val="0"/>
                <w:szCs w:val="18"/>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color w:val="000000" w:themeColor="text1"/>
                <w:kern w:val="0"/>
                <w:szCs w:val="18"/>
              </w:rPr>
            </w:pPr>
            <w:r>
              <w:rPr>
                <w:rFonts w:hint="eastAsia" w:ascii="宋体" w:hAnsi="宋体" w:cs="宋体"/>
                <w:color w:val="000000" w:themeColor="text1"/>
                <w:kern w:val="0"/>
                <w:szCs w:val="18"/>
              </w:rPr>
              <w:t>劳动教育</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color w:val="000000" w:themeColor="text1"/>
                <w:kern w:val="0"/>
                <w:szCs w:val="18"/>
              </w:rPr>
            </w:pPr>
            <w:r>
              <w:rPr>
                <w:rFonts w:hint="eastAsia" w:ascii="宋体" w:hAnsi="宋体" w:cs="宋体"/>
                <w:color w:val="000000" w:themeColor="text1"/>
                <w:kern w:val="0"/>
                <w:szCs w:val="18"/>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ind w:firstLine="105" w:firstLineChars="50"/>
              <w:jc w:val="center"/>
              <w:rPr>
                <w:rFonts w:ascii="宋体" w:hAnsi="宋体"/>
                <w:color w:val="000000" w:themeColor="text1"/>
                <w:szCs w:val="18"/>
              </w:rPr>
            </w:pPr>
            <w:r>
              <w:rPr>
                <w:rFonts w:hint="eastAsia" w:ascii="宋体" w:hAnsi="宋体"/>
                <w:color w:val="000000" w:themeColor="text1"/>
                <w:szCs w:val="18"/>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000000" w:themeColor="text1"/>
                <w:szCs w:val="18"/>
              </w:rPr>
            </w:pPr>
            <w:r>
              <w:rPr>
                <w:rFonts w:hint="eastAsia" w:ascii="宋体" w:hAnsi="宋体"/>
                <w:color w:val="000000" w:themeColor="text1"/>
                <w:szCs w:val="18"/>
              </w:rPr>
              <w:t>36</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9</w:t>
            </w:r>
          </w:p>
        </w:tc>
        <w:tc>
          <w:tcPr>
            <w:tcW w:w="629" w:type="dxa"/>
            <w:tcBorders>
              <w:top w:val="single" w:color="auto" w:sz="6" w:space="0"/>
              <w:left w:val="single" w:color="auto" w:sz="6" w:space="0"/>
              <w:bottom w:val="single" w:color="auto" w:sz="6" w:space="0"/>
              <w:right w:val="single" w:color="auto" w:sz="6"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9</w:t>
            </w:r>
          </w:p>
        </w:tc>
        <w:tc>
          <w:tcPr>
            <w:tcW w:w="705" w:type="dxa"/>
            <w:gridSpan w:val="3"/>
            <w:tcBorders>
              <w:top w:val="single" w:color="auto" w:sz="6" w:space="0"/>
              <w:left w:val="single" w:color="auto" w:sz="6" w:space="0"/>
              <w:bottom w:val="single" w:color="auto" w:sz="6" w:space="0"/>
              <w:right w:val="single" w:color="auto" w:sz="6"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9</w:t>
            </w:r>
          </w:p>
        </w:tc>
        <w:tc>
          <w:tcPr>
            <w:tcW w:w="534" w:type="dxa"/>
            <w:tcBorders>
              <w:top w:val="single" w:color="auto" w:sz="6" w:space="0"/>
              <w:left w:val="single" w:color="auto" w:sz="6" w:space="0"/>
              <w:bottom w:val="single" w:color="auto" w:sz="6" w:space="0"/>
              <w:right w:val="single" w:color="auto" w:sz="6"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9</w:t>
            </w:r>
          </w:p>
        </w:tc>
        <w:tc>
          <w:tcPr>
            <w:tcW w:w="633" w:type="dxa"/>
            <w:tcBorders>
              <w:top w:val="single" w:color="auto" w:sz="6" w:space="0"/>
              <w:left w:val="single" w:color="auto" w:sz="6" w:space="0"/>
              <w:bottom w:val="single" w:color="auto" w:sz="6" w:space="0"/>
              <w:right w:val="single" w:color="auto" w:sz="6" w:space="0"/>
            </w:tcBorders>
            <w:noWrap/>
            <w:vAlign w:val="center"/>
          </w:tcPr>
          <w:p>
            <w:pPr>
              <w:widowControl/>
              <w:spacing w:line="240" w:lineRule="atLeast"/>
              <w:jc w:val="center"/>
              <w:rPr>
                <w:rFonts w:ascii="宋体" w:hAnsi="宋体"/>
                <w:color w:val="000000" w:themeColor="text1"/>
                <w:szCs w:val="18"/>
              </w:rPr>
            </w:pPr>
          </w:p>
        </w:tc>
        <w:tc>
          <w:tcPr>
            <w:tcW w:w="677" w:type="dxa"/>
            <w:tcBorders>
              <w:top w:val="single" w:color="auto" w:sz="6" w:space="0"/>
              <w:left w:val="single" w:color="auto" w:sz="6" w:space="0"/>
              <w:bottom w:val="single" w:color="auto" w:sz="6" w:space="0"/>
              <w:right w:val="single" w:color="auto" w:sz="6" w:space="0"/>
            </w:tcBorders>
            <w:noWrap/>
            <w:vAlign w:val="center"/>
          </w:tcPr>
          <w:p>
            <w:pPr>
              <w:widowControl/>
              <w:spacing w:line="240" w:lineRule="atLeast"/>
              <w:jc w:val="center"/>
              <w:rPr>
                <w:rFonts w:ascii="宋体" w:hAnsi="宋体"/>
                <w:color w:val="000000" w:themeColor="text1"/>
                <w:szCs w:val="18"/>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rPr>
                <w:rFonts w:ascii="宋体" w:hAnsi="宋体"/>
                <w:color w:val="000000" w:themeColor="text1"/>
                <w:szCs w:val="18"/>
              </w:rPr>
            </w:pPr>
            <w:r>
              <w:rPr>
                <w:rFonts w:hint="eastAsia" w:ascii="宋体" w:hAnsi="宋体"/>
                <w:color w:val="000000" w:themeColor="text1"/>
                <w:szCs w:val="18"/>
              </w:rPr>
              <w:t>讲座、主题、班会形式 实践24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kern w:val="0"/>
                <w:szCs w:val="18"/>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kern w:val="0"/>
                <w:szCs w:val="18"/>
              </w:rPr>
            </w:pPr>
            <w:r>
              <w:rPr>
                <w:rFonts w:hint="eastAsia" w:ascii="宋体" w:hAnsi="宋体" w:cs="宋体"/>
                <w:kern w:val="0"/>
                <w:szCs w:val="18"/>
              </w:rPr>
              <w:t>心理健康教育</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szCs w:val="18"/>
              </w:rPr>
            </w:pPr>
            <w:r>
              <w:rPr>
                <w:rFonts w:hint="eastAsia" w:ascii="宋体" w:hAnsi="宋体"/>
                <w:szCs w:val="18"/>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16</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2/8</w:t>
            </w:r>
          </w:p>
        </w:tc>
        <w:tc>
          <w:tcPr>
            <w:tcW w:w="635" w:type="dxa"/>
            <w:gridSpan w:val="2"/>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693" w:type="dxa"/>
            <w:tcBorders>
              <w:top w:val="single" w:color="auto" w:sz="6" w:space="0"/>
              <w:left w:val="single" w:color="auto" w:sz="4"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540" w:type="dxa"/>
            <w:gridSpan w:val="2"/>
            <w:tcBorders>
              <w:top w:val="single" w:color="auto" w:sz="6" w:space="0"/>
              <w:left w:val="single" w:color="auto" w:sz="4"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633"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677"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szCs w:val="18"/>
              </w:rPr>
            </w:pPr>
            <w:r>
              <w:rPr>
                <w:rFonts w:hint="eastAsia" w:ascii="宋体" w:hAnsi="宋体"/>
                <w:szCs w:val="18"/>
              </w:rPr>
              <w:t>实践6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kern w:val="0"/>
                <w:szCs w:val="18"/>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kern w:val="0"/>
                <w:szCs w:val="18"/>
              </w:rPr>
            </w:pPr>
            <w:r>
              <w:rPr>
                <w:rFonts w:hint="eastAsia" w:ascii="宋体" w:hAnsi="宋体" w:cs="宋体"/>
                <w:kern w:val="0"/>
                <w:szCs w:val="18"/>
              </w:rPr>
              <w:t>公共艺术</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szCs w:val="18"/>
              </w:rPr>
            </w:pPr>
            <w:r>
              <w:rPr>
                <w:rFonts w:hint="eastAsia" w:ascii="宋体" w:hAnsi="宋体"/>
                <w:szCs w:val="18"/>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16</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2/8</w:t>
            </w:r>
          </w:p>
        </w:tc>
        <w:tc>
          <w:tcPr>
            <w:tcW w:w="629"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705" w:type="dxa"/>
            <w:gridSpan w:val="3"/>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534"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633"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677"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szCs w:val="18"/>
              </w:rPr>
            </w:pPr>
            <w:r>
              <w:rPr>
                <w:rFonts w:hint="eastAsia" w:ascii="宋体" w:hAnsi="宋体"/>
                <w:szCs w:val="18"/>
              </w:rPr>
              <w:t>实践6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kern w:val="0"/>
                <w:szCs w:val="18"/>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kern w:val="0"/>
                <w:szCs w:val="18"/>
              </w:rPr>
            </w:pPr>
            <w:r>
              <w:rPr>
                <w:rFonts w:hint="eastAsia" w:ascii="宋体" w:hAnsi="宋体" w:cs="宋体"/>
                <w:kern w:val="0"/>
                <w:szCs w:val="18"/>
              </w:rPr>
              <w:t>职业规划与就业指导</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szCs w:val="18"/>
              </w:rPr>
            </w:pPr>
            <w:r>
              <w:rPr>
                <w:rFonts w:hint="eastAsia" w:ascii="宋体" w:hAnsi="宋体"/>
                <w:szCs w:val="18"/>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18</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629"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705" w:type="dxa"/>
            <w:gridSpan w:val="3"/>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534"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2/9</w:t>
            </w:r>
          </w:p>
        </w:tc>
        <w:tc>
          <w:tcPr>
            <w:tcW w:w="633"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677"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szCs w:val="18"/>
              </w:rPr>
            </w:pPr>
            <w:r>
              <w:rPr>
                <w:rFonts w:hint="eastAsia" w:ascii="宋体" w:hAnsi="宋体"/>
                <w:szCs w:val="18"/>
              </w:rPr>
              <w:t>实践8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kern w:val="0"/>
                <w:szCs w:val="18"/>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kern w:val="0"/>
                <w:szCs w:val="18"/>
              </w:rPr>
            </w:pPr>
            <w:r>
              <w:rPr>
                <w:rFonts w:hint="eastAsia" w:ascii="宋体" w:hAnsi="宋体" w:cs="宋体"/>
                <w:kern w:val="0"/>
                <w:szCs w:val="18"/>
              </w:rPr>
              <w:t>创新创业教育</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kern w:val="0"/>
                <w:szCs w:val="18"/>
              </w:rPr>
            </w:pPr>
            <w:r>
              <w:rPr>
                <w:rFonts w:hint="eastAsia" w:ascii="宋体" w:hAnsi="宋体" w:cs="宋体"/>
                <w:kern w:val="0"/>
                <w:szCs w:val="18"/>
              </w:rPr>
              <w:t>必修</w:t>
            </w: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szCs w:val="18"/>
              </w:rPr>
            </w:pPr>
            <w:r>
              <w:rPr>
                <w:rFonts w:hint="eastAsia" w:ascii="宋体" w:hAnsi="宋体"/>
                <w:szCs w:val="18"/>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18</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629"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705" w:type="dxa"/>
            <w:gridSpan w:val="3"/>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534"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szCs w:val="18"/>
              </w:rPr>
            </w:pPr>
            <w:r>
              <w:rPr>
                <w:rFonts w:hint="eastAsia" w:ascii="宋体" w:hAnsi="宋体"/>
                <w:szCs w:val="18"/>
              </w:rPr>
              <w:t>2/9</w:t>
            </w:r>
          </w:p>
        </w:tc>
        <w:tc>
          <w:tcPr>
            <w:tcW w:w="633"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677"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b/>
                <w:szCs w:val="18"/>
              </w:rPr>
            </w:pPr>
            <w:r>
              <w:rPr>
                <w:rFonts w:hint="eastAsia" w:ascii="宋体" w:hAnsi="宋体"/>
                <w:szCs w:val="18"/>
              </w:rPr>
              <w:t>实践8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9"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kern w:val="0"/>
                <w:szCs w:val="18"/>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kern w:val="0"/>
                <w:szCs w:val="18"/>
              </w:rPr>
            </w:pP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kern w:val="0"/>
                <w:szCs w:val="18"/>
              </w:rPr>
            </w:pP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szCs w:val="18"/>
              </w:rPr>
            </w:pP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629"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705" w:type="dxa"/>
            <w:gridSpan w:val="3"/>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534"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633"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677"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b/>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left"/>
              <w:rPr>
                <w:rFonts w:ascii="宋体" w:hAnsi="宋体" w:cs="宋体"/>
                <w:kern w:val="0"/>
                <w:szCs w:val="18"/>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s="宋体"/>
                <w:kern w:val="0"/>
                <w:szCs w:val="18"/>
              </w:rPr>
            </w:pPr>
            <w:r>
              <w:rPr>
                <w:rFonts w:hint="eastAsia" w:ascii="宋体" w:hAnsi="宋体" w:cs="宋体"/>
                <w:kern w:val="0"/>
                <w:szCs w:val="18"/>
              </w:rPr>
              <w:t>小计</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kern w:val="0"/>
                <w:szCs w:val="18"/>
              </w:rPr>
            </w:pP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szCs w:val="18"/>
              </w:rPr>
            </w:pP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eastAsia="宋体"/>
                <w:color w:val="000000" w:themeColor="text1"/>
                <w:szCs w:val="18"/>
              </w:rPr>
            </w:pPr>
            <w:r>
              <w:rPr>
                <w:rFonts w:hint="eastAsia" w:ascii="宋体" w:hAnsi="宋体"/>
                <w:color w:val="000000" w:themeColor="text1"/>
                <w:szCs w:val="18"/>
              </w:rPr>
              <w:t>788</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eastAsia="宋体"/>
                <w:color w:val="000000" w:themeColor="text1"/>
                <w:szCs w:val="18"/>
              </w:rPr>
            </w:pPr>
            <w:r>
              <w:rPr>
                <w:rFonts w:hint="eastAsia" w:ascii="宋体" w:hAnsi="宋体"/>
                <w:color w:val="000000" w:themeColor="text1"/>
                <w:szCs w:val="18"/>
              </w:rPr>
              <w:t>283</w:t>
            </w:r>
          </w:p>
        </w:tc>
        <w:tc>
          <w:tcPr>
            <w:tcW w:w="629"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eastAsia="宋体"/>
                <w:color w:val="000000" w:themeColor="text1"/>
                <w:szCs w:val="18"/>
              </w:rPr>
            </w:pPr>
            <w:r>
              <w:rPr>
                <w:rFonts w:ascii="宋体" w:hAnsi="宋体"/>
                <w:color w:val="000000" w:themeColor="text1"/>
                <w:szCs w:val="18"/>
              </w:rPr>
              <w:t>27</w:t>
            </w:r>
            <w:r>
              <w:rPr>
                <w:rFonts w:hint="eastAsia" w:ascii="宋体" w:hAnsi="宋体"/>
                <w:color w:val="000000" w:themeColor="text1"/>
                <w:szCs w:val="18"/>
              </w:rPr>
              <w:t>9</w:t>
            </w:r>
          </w:p>
        </w:tc>
        <w:tc>
          <w:tcPr>
            <w:tcW w:w="705" w:type="dxa"/>
            <w:gridSpan w:val="3"/>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eastAsia="宋体"/>
                <w:color w:val="000000" w:themeColor="text1"/>
                <w:szCs w:val="18"/>
              </w:rPr>
            </w:pPr>
            <w:r>
              <w:rPr>
                <w:rFonts w:hint="eastAsia" w:ascii="宋体" w:hAnsi="宋体"/>
                <w:color w:val="000000" w:themeColor="text1"/>
                <w:szCs w:val="18"/>
              </w:rPr>
              <w:t>91</w:t>
            </w:r>
          </w:p>
        </w:tc>
        <w:tc>
          <w:tcPr>
            <w:tcW w:w="534"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eastAsia="宋体"/>
                <w:color w:val="000000" w:themeColor="text1"/>
                <w:szCs w:val="18"/>
              </w:rPr>
            </w:pPr>
            <w:r>
              <w:rPr>
                <w:rFonts w:hint="eastAsia" w:ascii="宋体" w:hAnsi="宋体"/>
                <w:color w:val="000000" w:themeColor="text1"/>
                <w:szCs w:val="18"/>
              </w:rPr>
              <w:t>135</w:t>
            </w:r>
          </w:p>
        </w:tc>
        <w:tc>
          <w:tcPr>
            <w:tcW w:w="633"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000000" w:themeColor="text1"/>
                <w:szCs w:val="18"/>
              </w:rPr>
            </w:pPr>
          </w:p>
        </w:tc>
        <w:tc>
          <w:tcPr>
            <w:tcW w:w="677"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000000" w:themeColor="text1"/>
                <w:szCs w:val="18"/>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000000" w:themeColor="text1"/>
                <w:szCs w:val="18"/>
              </w:rPr>
            </w:pPr>
            <w:r>
              <w:rPr>
                <w:rFonts w:hint="eastAsia" w:ascii="宋体" w:hAnsi="宋体"/>
                <w:color w:val="000000" w:themeColor="text1"/>
                <w:szCs w:val="18"/>
              </w:rPr>
              <w:t>实践363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restart"/>
            <w:tcBorders>
              <w:top w:val="single" w:color="auto" w:sz="6" w:space="0"/>
              <w:left w:val="single" w:color="auto" w:sz="12" w:space="0"/>
              <w:bottom w:val="single" w:color="auto" w:sz="6" w:space="0"/>
              <w:right w:val="single" w:color="auto" w:sz="6" w:space="0"/>
            </w:tcBorders>
            <w:noWrap/>
            <w:textDirection w:val="tbRlV"/>
            <w:vAlign w:val="center"/>
          </w:tcPr>
          <w:p>
            <w:pPr>
              <w:widowControl/>
              <w:ind w:left="113" w:right="113"/>
              <w:jc w:val="center"/>
              <w:rPr>
                <w:rFonts w:ascii="宋体" w:hAnsi="宋体" w:eastAsia="宋体" w:cs="宋体"/>
                <w:b/>
                <w:kern w:val="0"/>
                <w:szCs w:val="18"/>
              </w:rPr>
            </w:pPr>
            <w:r>
              <w:rPr>
                <w:rFonts w:hint="eastAsia" w:ascii="宋体" w:hAnsi="宋体" w:cs="宋体"/>
                <w:b/>
                <w:kern w:val="0"/>
                <w:szCs w:val="18"/>
              </w:rPr>
              <w:t>专业（技能）课程</w:t>
            </w: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jc w:val="center"/>
              <w:rPr>
                <w:rFonts w:ascii="宋体" w:hAnsi="宋体" w:cs="宋体"/>
                <w:kern w:val="0"/>
                <w:szCs w:val="18"/>
              </w:rPr>
            </w:pPr>
            <w:r>
              <w:rPr>
                <w:kern w:val="0"/>
                <w:szCs w:val="21"/>
              </w:rPr>
              <w:t>无机化学</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jc w:val="center"/>
              <w:rPr>
                <w:rFonts w:ascii="宋体" w:hAnsi="宋体" w:cs="宋体"/>
                <w:kern w:val="0"/>
                <w:szCs w:val="18"/>
              </w:rPr>
            </w:pPr>
            <w:r>
              <w:rPr>
                <w:kern w:val="0"/>
                <w:szCs w:val="21"/>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eastAsia="宋体"/>
                <w:szCs w:val="18"/>
              </w:rPr>
            </w:pPr>
            <w:r>
              <w:rPr>
                <w:rFonts w:hint="eastAsia" w:ascii="宋体" w:hAnsi="宋体"/>
                <w:szCs w:val="18"/>
              </w:rPr>
              <w:t>64</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eastAsia="宋体"/>
                <w:szCs w:val="18"/>
              </w:rPr>
            </w:pPr>
            <w:r>
              <w:rPr>
                <w:rFonts w:hint="eastAsia" w:ascii="宋体" w:hAnsi="宋体"/>
                <w:szCs w:val="18"/>
              </w:rPr>
              <w:t>64</w:t>
            </w:r>
          </w:p>
        </w:tc>
        <w:tc>
          <w:tcPr>
            <w:tcW w:w="62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705" w:type="dxa"/>
            <w:gridSpan w:val="3"/>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534"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633"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677"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szCs w:val="18"/>
              </w:rPr>
            </w:pPr>
            <w:r>
              <w:rPr>
                <w:rFonts w:hint="eastAsia" w:ascii="宋体" w:hAnsi="宋体"/>
                <w:szCs w:val="18"/>
              </w:rPr>
              <w:t>实践48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center"/>
              <w:rPr>
                <w:rFonts w:ascii="宋体" w:hAnsi="宋体" w:cs="宋体"/>
                <w:kern w:val="0"/>
                <w:szCs w:val="18"/>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kern w:val="0"/>
                <w:szCs w:val="18"/>
              </w:rPr>
            </w:pPr>
            <w:r>
              <w:rPr>
                <w:kern w:val="0"/>
                <w:szCs w:val="21"/>
              </w:rPr>
              <w:t>有机化学</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jc w:val="center"/>
              <w:rPr>
                <w:rFonts w:ascii="宋体" w:hAnsi="宋体" w:cs="宋体"/>
                <w:kern w:val="0"/>
                <w:szCs w:val="18"/>
              </w:rPr>
            </w:pPr>
            <w:r>
              <w:rPr>
                <w:kern w:val="0"/>
                <w:szCs w:val="21"/>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eastAsia="宋体"/>
                <w:szCs w:val="18"/>
              </w:rPr>
            </w:pPr>
            <w:r>
              <w:rPr>
                <w:rFonts w:hint="eastAsia" w:ascii="宋体" w:hAnsi="宋体"/>
                <w:szCs w:val="18"/>
              </w:rPr>
              <w:t>64</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eastAsia="宋体"/>
                <w:szCs w:val="18"/>
              </w:rPr>
            </w:pPr>
            <w:r>
              <w:rPr>
                <w:rFonts w:hint="eastAsia" w:ascii="宋体" w:hAnsi="宋体"/>
                <w:szCs w:val="18"/>
              </w:rPr>
              <w:t>64</w:t>
            </w:r>
          </w:p>
        </w:tc>
        <w:tc>
          <w:tcPr>
            <w:tcW w:w="62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705" w:type="dxa"/>
            <w:gridSpan w:val="3"/>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534"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633"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677"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szCs w:val="18"/>
              </w:rPr>
            </w:pPr>
            <w:r>
              <w:rPr>
                <w:rFonts w:hint="eastAsia" w:ascii="宋体" w:hAnsi="宋体"/>
                <w:szCs w:val="18"/>
              </w:rPr>
              <w:t>实践48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center"/>
              <w:rPr>
                <w:rFonts w:ascii="宋体" w:hAnsi="宋体" w:cs="宋体"/>
                <w:kern w:val="0"/>
                <w:szCs w:val="18"/>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kern w:val="0"/>
                <w:szCs w:val="18"/>
              </w:rPr>
            </w:pPr>
            <w:r>
              <w:rPr>
                <w:kern w:val="0"/>
                <w:szCs w:val="21"/>
              </w:rPr>
              <w:t>分析化学</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jc w:val="center"/>
              <w:rPr>
                <w:rFonts w:ascii="宋体" w:hAnsi="宋体"/>
                <w:szCs w:val="18"/>
              </w:rPr>
            </w:pPr>
            <w:r>
              <w:rPr>
                <w:kern w:val="0"/>
                <w:szCs w:val="21"/>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eastAsia="宋体"/>
                <w:szCs w:val="18"/>
              </w:rPr>
            </w:pPr>
            <w:r>
              <w:rPr>
                <w:rFonts w:hint="eastAsia" w:ascii="宋体" w:hAnsi="宋体"/>
                <w:szCs w:val="18"/>
              </w:rPr>
              <w:t>32</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eastAsia="宋体"/>
                <w:szCs w:val="18"/>
              </w:rPr>
            </w:pPr>
            <w:r>
              <w:rPr>
                <w:rFonts w:hint="eastAsia" w:ascii="宋体" w:hAnsi="宋体"/>
                <w:szCs w:val="18"/>
              </w:rPr>
              <w:t>32</w:t>
            </w:r>
          </w:p>
        </w:tc>
        <w:tc>
          <w:tcPr>
            <w:tcW w:w="62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705" w:type="dxa"/>
            <w:gridSpan w:val="3"/>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534"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633"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677"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szCs w:val="18"/>
              </w:rPr>
            </w:pPr>
            <w:r>
              <w:rPr>
                <w:rFonts w:hint="eastAsia" w:ascii="宋体" w:hAnsi="宋体"/>
                <w:szCs w:val="18"/>
              </w:rPr>
              <w:t>实践24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center"/>
              <w:rPr>
                <w:rFonts w:ascii="宋体" w:hAnsi="宋体" w:cs="宋体"/>
                <w:kern w:val="0"/>
                <w:szCs w:val="18"/>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kern w:val="0"/>
                <w:szCs w:val="21"/>
              </w:rPr>
            </w:pPr>
            <w:r>
              <w:rPr>
                <w:szCs w:val="21"/>
              </w:rPr>
              <w:t>化工安全技术</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jc w:val="center"/>
              <w:rPr>
                <w:kern w:val="0"/>
                <w:szCs w:val="21"/>
              </w:rPr>
            </w:pPr>
            <w:r>
              <w:rPr>
                <w:kern w:val="0"/>
                <w:szCs w:val="21"/>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72</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62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eastAsia="宋体"/>
                <w:szCs w:val="18"/>
              </w:rPr>
            </w:pPr>
            <w:r>
              <w:rPr>
                <w:rFonts w:hint="eastAsia" w:ascii="宋体" w:hAnsi="宋体"/>
                <w:szCs w:val="18"/>
              </w:rPr>
              <w:t>72</w:t>
            </w:r>
          </w:p>
        </w:tc>
        <w:tc>
          <w:tcPr>
            <w:tcW w:w="705" w:type="dxa"/>
            <w:gridSpan w:val="3"/>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534"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633"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677"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szCs w:val="18"/>
              </w:rPr>
            </w:pPr>
            <w:r>
              <w:rPr>
                <w:rFonts w:hint="eastAsia" w:ascii="宋体" w:hAnsi="宋体"/>
                <w:szCs w:val="18"/>
              </w:rPr>
              <w:t>实践42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center"/>
              <w:rPr>
                <w:rFonts w:ascii="宋体" w:hAnsi="宋体" w:cs="宋体"/>
                <w:kern w:val="0"/>
                <w:szCs w:val="18"/>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szCs w:val="18"/>
              </w:rPr>
            </w:pPr>
            <w:r>
              <w:rPr>
                <w:bCs/>
                <w:kern w:val="0"/>
                <w:szCs w:val="21"/>
              </w:rPr>
              <w:t>化工单元操作</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jc w:val="center"/>
              <w:rPr>
                <w:rFonts w:ascii="宋体" w:hAnsi="宋体"/>
                <w:szCs w:val="18"/>
              </w:rPr>
            </w:pPr>
            <w:r>
              <w:rPr>
                <w:kern w:val="0"/>
                <w:szCs w:val="21"/>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eastAsia="宋体"/>
                <w:szCs w:val="18"/>
              </w:rPr>
            </w:pPr>
            <w:r>
              <w:rPr>
                <w:rFonts w:hint="eastAsia" w:ascii="宋体" w:hAnsi="宋体"/>
                <w:szCs w:val="18"/>
              </w:rPr>
              <w:t>136</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eastAsia="宋体"/>
                <w:szCs w:val="18"/>
              </w:rPr>
            </w:pPr>
          </w:p>
        </w:tc>
        <w:tc>
          <w:tcPr>
            <w:tcW w:w="62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eastAsia="宋体"/>
                <w:szCs w:val="18"/>
              </w:rPr>
            </w:pPr>
            <w:r>
              <w:rPr>
                <w:rFonts w:hint="eastAsia" w:ascii="宋体" w:hAnsi="宋体"/>
                <w:szCs w:val="18"/>
              </w:rPr>
              <w:t>72</w:t>
            </w:r>
          </w:p>
        </w:tc>
        <w:tc>
          <w:tcPr>
            <w:tcW w:w="705" w:type="dxa"/>
            <w:gridSpan w:val="3"/>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eastAsia="宋体"/>
                <w:szCs w:val="18"/>
              </w:rPr>
            </w:pPr>
            <w:r>
              <w:rPr>
                <w:rFonts w:hint="eastAsia" w:ascii="宋体" w:hAnsi="宋体"/>
                <w:szCs w:val="18"/>
              </w:rPr>
              <w:t>64</w:t>
            </w:r>
          </w:p>
        </w:tc>
        <w:tc>
          <w:tcPr>
            <w:tcW w:w="534"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633"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highlight w:val="yellow"/>
              </w:rPr>
            </w:pPr>
          </w:p>
        </w:tc>
        <w:tc>
          <w:tcPr>
            <w:tcW w:w="677"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highlight w:val="yellow"/>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szCs w:val="18"/>
              </w:rPr>
            </w:pPr>
            <w:r>
              <w:rPr>
                <w:rFonts w:hint="eastAsia" w:ascii="宋体" w:hAnsi="宋体"/>
                <w:szCs w:val="18"/>
              </w:rPr>
              <w:t>实践84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center"/>
              <w:rPr>
                <w:rFonts w:ascii="宋体" w:hAnsi="宋体" w:cs="宋体"/>
                <w:kern w:val="0"/>
                <w:szCs w:val="18"/>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bCs/>
                <w:kern w:val="0"/>
                <w:szCs w:val="18"/>
              </w:rPr>
            </w:pPr>
            <w:r>
              <w:rPr>
                <w:bCs/>
                <w:kern w:val="0"/>
                <w:szCs w:val="21"/>
              </w:rPr>
              <w:t>化工仪表</w:t>
            </w:r>
            <w:r>
              <w:rPr>
                <w:rFonts w:hint="eastAsia"/>
              </w:rPr>
              <w:t>及自动化</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jc w:val="center"/>
              <w:rPr>
                <w:rFonts w:ascii="宋体" w:hAnsi="宋体" w:cs="宋体"/>
                <w:bCs/>
                <w:kern w:val="0"/>
                <w:szCs w:val="18"/>
              </w:rPr>
            </w:pPr>
            <w:r>
              <w:rPr>
                <w:kern w:val="0"/>
                <w:szCs w:val="21"/>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eastAsia="宋体"/>
                <w:szCs w:val="18"/>
              </w:rPr>
            </w:pPr>
            <w:r>
              <w:rPr>
                <w:rFonts w:hint="eastAsia" w:ascii="宋体" w:hAnsi="宋体"/>
                <w:szCs w:val="18"/>
              </w:rPr>
              <w:t>72</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eastAsia="宋体"/>
                <w:szCs w:val="18"/>
              </w:rPr>
            </w:pPr>
          </w:p>
        </w:tc>
        <w:tc>
          <w:tcPr>
            <w:tcW w:w="62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eastAsia="宋体"/>
                <w:szCs w:val="18"/>
              </w:rPr>
            </w:pPr>
            <w:r>
              <w:rPr>
                <w:rFonts w:hint="eastAsia" w:ascii="宋体" w:hAnsi="宋体"/>
                <w:szCs w:val="18"/>
              </w:rPr>
              <w:t>72</w:t>
            </w:r>
          </w:p>
        </w:tc>
        <w:tc>
          <w:tcPr>
            <w:tcW w:w="705" w:type="dxa"/>
            <w:gridSpan w:val="3"/>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534"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633"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highlight w:val="yellow"/>
              </w:rPr>
            </w:pPr>
          </w:p>
        </w:tc>
        <w:tc>
          <w:tcPr>
            <w:tcW w:w="677"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eastAsia="宋体"/>
                <w:szCs w:val="18"/>
              </w:rPr>
            </w:pPr>
            <w:r>
              <w:rPr>
                <w:rFonts w:hint="eastAsia" w:ascii="宋体" w:hAnsi="宋体"/>
                <w:szCs w:val="18"/>
              </w:rPr>
              <w:t>实践42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center"/>
              <w:rPr>
                <w:rFonts w:ascii="宋体" w:hAnsi="宋体" w:cs="宋体"/>
                <w:kern w:val="0"/>
                <w:szCs w:val="18"/>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bCs/>
                <w:kern w:val="0"/>
                <w:szCs w:val="21"/>
              </w:rPr>
            </w:pPr>
            <w:r>
              <w:rPr>
                <w:szCs w:val="21"/>
              </w:rPr>
              <w:t>化工设备基础</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jc w:val="center"/>
              <w:rPr>
                <w:kern w:val="0"/>
                <w:szCs w:val="21"/>
              </w:rPr>
            </w:pPr>
            <w:r>
              <w:rPr>
                <w:kern w:val="0"/>
                <w:szCs w:val="21"/>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eastAsia="宋体"/>
                <w:szCs w:val="18"/>
              </w:rPr>
            </w:pPr>
            <w:r>
              <w:rPr>
                <w:rFonts w:hint="eastAsia" w:ascii="宋体" w:hAnsi="宋体"/>
                <w:szCs w:val="18"/>
              </w:rPr>
              <w:t>64</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eastAsia="宋体"/>
                <w:szCs w:val="18"/>
              </w:rPr>
            </w:pPr>
          </w:p>
        </w:tc>
        <w:tc>
          <w:tcPr>
            <w:tcW w:w="62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705" w:type="dxa"/>
            <w:gridSpan w:val="3"/>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eastAsia="宋体"/>
                <w:szCs w:val="18"/>
              </w:rPr>
            </w:pPr>
            <w:r>
              <w:rPr>
                <w:rFonts w:hint="eastAsia" w:ascii="宋体" w:hAnsi="宋体"/>
                <w:szCs w:val="18"/>
              </w:rPr>
              <w:t>64</w:t>
            </w:r>
          </w:p>
        </w:tc>
        <w:tc>
          <w:tcPr>
            <w:tcW w:w="534"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633"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highlight w:val="yellow"/>
              </w:rPr>
            </w:pPr>
          </w:p>
        </w:tc>
        <w:tc>
          <w:tcPr>
            <w:tcW w:w="677"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eastAsia="宋体"/>
                <w:szCs w:val="18"/>
              </w:rPr>
            </w:pPr>
            <w:r>
              <w:rPr>
                <w:rFonts w:hint="eastAsia" w:ascii="宋体" w:hAnsi="宋体"/>
                <w:szCs w:val="18"/>
              </w:rPr>
              <w:t>实践42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center"/>
              <w:rPr>
                <w:rFonts w:ascii="宋体" w:hAnsi="宋体" w:cs="宋体"/>
                <w:kern w:val="0"/>
                <w:szCs w:val="18"/>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bCs/>
                <w:kern w:val="0"/>
                <w:szCs w:val="21"/>
              </w:rPr>
            </w:pPr>
            <w:r>
              <w:rPr>
                <w:rFonts w:hint="eastAsia" w:ascii="宋体" w:hAnsi="宋体" w:cs="宋体"/>
                <w:kern w:val="0"/>
                <w:szCs w:val="18"/>
              </w:rPr>
              <w:t>物理化学</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jc w:val="center"/>
              <w:rPr>
                <w:kern w:val="0"/>
                <w:szCs w:val="21"/>
              </w:rPr>
            </w:pPr>
            <w:r>
              <w:rPr>
                <w:kern w:val="0"/>
                <w:szCs w:val="21"/>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eastAsia="宋体"/>
                <w:szCs w:val="18"/>
              </w:rPr>
            </w:pPr>
            <w:r>
              <w:rPr>
                <w:rFonts w:hint="eastAsia" w:ascii="宋体" w:hAnsi="宋体"/>
                <w:szCs w:val="18"/>
              </w:rPr>
              <w:t>100</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eastAsia="宋体"/>
                <w:szCs w:val="18"/>
              </w:rPr>
            </w:pPr>
          </w:p>
        </w:tc>
        <w:tc>
          <w:tcPr>
            <w:tcW w:w="62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705" w:type="dxa"/>
            <w:gridSpan w:val="3"/>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eastAsia="宋体"/>
                <w:szCs w:val="18"/>
              </w:rPr>
            </w:pPr>
            <w:r>
              <w:rPr>
                <w:rFonts w:hint="eastAsia" w:ascii="宋体" w:hAnsi="宋体"/>
                <w:szCs w:val="18"/>
              </w:rPr>
              <w:t>64</w:t>
            </w:r>
          </w:p>
        </w:tc>
        <w:tc>
          <w:tcPr>
            <w:tcW w:w="534"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eastAsia="宋体"/>
                <w:szCs w:val="18"/>
              </w:rPr>
            </w:pPr>
            <w:r>
              <w:rPr>
                <w:rFonts w:hint="eastAsia" w:ascii="宋体" w:hAnsi="宋体"/>
                <w:szCs w:val="18"/>
              </w:rPr>
              <w:t>36</w:t>
            </w:r>
          </w:p>
        </w:tc>
        <w:tc>
          <w:tcPr>
            <w:tcW w:w="633"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highlight w:val="yellow"/>
              </w:rPr>
            </w:pPr>
          </w:p>
        </w:tc>
        <w:tc>
          <w:tcPr>
            <w:tcW w:w="677"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eastAsia="宋体"/>
                <w:szCs w:val="18"/>
              </w:rPr>
            </w:pPr>
            <w:r>
              <w:rPr>
                <w:rFonts w:hint="eastAsia" w:ascii="宋体" w:hAnsi="宋体"/>
                <w:szCs w:val="18"/>
              </w:rPr>
              <w:t>实践66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center"/>
              <w:rPr>
                <w:rFonts w:ascii="宋体" w:hAnsi="宋体" w:cs="宋体"/>
                <w:kern w:val="0"/>
                <w:szCs w:val="18"/>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bCs/>
                <w:kern w:val="0"/>
                <w:szCs w:val="18"/>
              </w:rPr>
            </w:pPr>
            <w:r>
              <w:rPr>
                <w:rFonts w:hint="eastAsia"/>
              </w:rPr>
              <w:t xml:space="preserve">化工制图与CAD </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jc w:val="center"/>
              <w:rPr>
                <w:rFonts w:ascii="宋体" w:hAnsi="宋体" w:cs="宋体"/>
                <w:bCs/>
                <w:kern w:val="0"/>
                <w:szCs w:val="18"/>
              </w:rPr>
            </w:pPr>
            <w:r>
              <w:rPr>
                <w:kern w:val="0"/>
                <w:szCs w:val="21"/>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eastAsia="宋体"/>
                <w:szCs w:val="18"/>
              </w:rPr>
            </w:pPr>
            <w:r>
              <w:rPr>
                <w:rFonts w:hint="eastAsia" w:ascii="宋体" w:hAnsi="宋体"/>
                <w:szCs w:val="18"/>
              </w:rPr>
              <w:t>64</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62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705" w:type="dxa"/>
            <w:gridSpan w:val="3"/>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eastAsia="宋体"/>
                <w:szCs w:val="18"/>
              </w:rPr>
            </w:pPr>
            <w:r>
              <w:rPr>
                <w:rFonts w:hint="eastAsia" w:ascii="宋体" w:hAnsi="宋体"/>
                <w:szCs w:val="18"/>
              </w:rPr>
              <w:t>64</w:t>
            </w:r>
          </w:p>
        </w:tc>
        <w:tc>
          <w:tcPr>
            <w:tcW w:w="534"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633"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677"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szCs w:val="18"/>
              </w:rPr>
            </w:pPr>
            <w:r>
              <w:rPr>
                <w:rFonts w:hint="eastAsia" w:ascii="宋体" w:hAnsi="宋体"/>
                <w:szCs w:val="18"/>
              </w:rPr>
              <w:t>实践42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center"/>
              <w:rPr>
                <w:rFonts w:ascii="宋体" w:hAnsi="宋体" w:cs="宋体"/>
                <w:kern w:val="0"/>
                <w:szCs w:val="18"/>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rPr>
                <w:szCs w:val="21"/>
              </w:rPr>
            </w:pPr>
            <w:r>
              <w:rPr>
                <w:rFonts w:hint="eastAsia"/>
              </w:rPr>
              <w:t>环境监测与分析</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kern w:val="0"/>
                <w:szCs w:val="21"/>
              </w:rPr>
            </w:pPr>
            <w:r>
              <w:rPr>
                <w:kern w:val="0"/>
                <w:szCs w:val="21"/>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eastAsia="宋体"/>
                <w:szCs w:val="18"/>
              </w:rPr>
            </w:pPr>
            <w:r>
              <w:rPr>
                <w:rFonts w:hint="eastAsia" w:ascii="宋体" w:hAnsi="宋体"/>
                <w:szCs w:val="18"/>
              </w:rPr>
              <w:t>64</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62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705" w:type="dxa"/>
            <w:gridSpan w:val="3"/>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eastAsia="宋体"/>
                <w:szCs w:val="18"/>
              </w:rPr>
            </w:pPr>
            <w:r>
              <w:rPr>
                <w:rFonts w:hint="eastAsia" w:ascii="宋体" w:hAnsi="宋体"/>
                <w:szCs w:val="18"/>
              </w:rPr>
              <w:t>64</w:t>
            </w:r>
          </w:p>
        </w:tc>
        <w:tc>
          <w:tcPr>
            <w:tcW w:w="534"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633"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677"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szCs w:val="18"/>
              </w:rPr>
            </w:pPr>
            <w:r>
              <w:rPr>
                <w:rFonts w:hint="eastAsia" w:ascii="宋体" w:hAnsi="宋体"/>
                <w:szCs w:val="18"/>
              </w:rPr>
              <w:t>实践42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center"/>
              <w:rPr>
                <w:rFonts w:ascii="宋体" w:hAnsi="宋体" w:cs="宋体"/>
                <w:kern w:val="0"/>
                <w:szCs w:val="18"/>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bCs/>
                <w:kern w:val="0"/>
                <w:szCs w:val="18"/>
              </w:rPr>
            </w:pPr>
            <w:r>
              <w:rPr>
                <w:rFonts w:hAnsi="宋体"/>
                <w:szCs w:val="21"/>
              </w:rPr>
              <w:t>化工环境保护概论</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s="宋体"/>
                <w:bCs/>
                <w:kern w:val="0"/>
                <w:szCs w:val="18"/>
              </w:rPr>
            </w:pPr>
            <w:r>
              <w:rPr>
                <w:kern w:val="0"/>
                <w:szCs w:val="21"/>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eastAsia="宋体"/>
                <w:szCs w:val="18"/>
              </w:rPr>
            </w:pPr>
            <w:r>
              <w:rPr>
                <w:rFonts w:hint="eastAsia" w:ascii="宋体" w:hAnsi="宋体"/>
                <w:szCs w:val="18"/>
              </w:rPr>
              <w:t>32</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62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705" w:type="dxa"/>
            <w:gridSpan w:val="3"/>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eastAsia="宋体"/>
                <w:szCs w:val="18"/>
              </w:rPr>
            </w:pPr>
            <w:r>
              <w:rPr>
                <w:rFonts w:hint="eastAsia" w:ascii="宋体" w:hAnsi="宋体"/>
                <w:szCs w:val="18"/>
              </w:rPr>
              <w:t>32</w:t>
            </w:r>
          </w:p>
        </w:tc>
        <w:tc>
          <w:tcPr>
            <w:tcW w:w="534"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633"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677"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eastAsia="宋体"/>
                <w:szCs w:val="18"/>
              </w:rPr>
            </w:pPr>
            <w:r>
              <w:rPr>
                <w:rFonts w:hint="eastAsia" w:ascii="宋体" w:hAnsi="宋体"/>
                <w:szCs w:val="18"/>
              </w:rPr>
              <w:t>实践22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center"/>
              <w:rPr>
                <w:rFonts w:ascii="宋体" w:hAnsi="宋体" w:cs="宋体"/>
                <w:kern w:val="0"/>
                <w:szCs w:val="18"/>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hAnsi="宋体"/>
                <w:szCs w:val="21"/>
              </w:rPr>
            </w:pPr>
            <w:r>
              <w:rPr>
                <w:szCs w:val="21"/>
              </w:rPr>
              <w:t>无机化工生产技术</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jc w:val="center"/>
              <w:rPr>
                <w:kern w:val="0"/>
                <w:szCs w:val="21"/>
              </w:rPr>
            </w:pPr>
            <w:r>
              <w:rPr>
                <w:kern w:val="0"/>
                <w:szCs w:val="21"/>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72</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62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705" w:type="dxa"/>
            <w:gridSpan w:val="3"/>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534"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72</w:t>
            </w:r>
          </w:p>
        </w:tc>
        <w:tc>
          <w:tcPr>
            <w:tcW w:w="633"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677"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szCs w:val="18"/>
              </w:rPr>
            </w:pPr>
            <w:r>
              <w:rPr>
                <w:rFonts w:hint="eastAsia" w:ascii="宋体" w:hAnsi="宋体"/>
                <w:szCs w:val="18"/>
              </w:rPr>
              <w:t>实践48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center"/>
              <w:rPr>
                <w:rFonts w:ascii="宋体" w:hAnsi="宋体" w:cs="宋体"/>
                <w:kern w:val="0"/>
                <w:szCs w:val="18"/>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sz w:val="18"/>
                <w:szCs w:val="18"/>
              </w:rPr>
            </w:pPr>
            <w:r>
              <w:rPr>
                <w:rFonts w:hint="eastAsia"/>
              </w:rPr>
              <w:t>煤质分析</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jc w:val="center"/>
              <w:rPr>
                <w:rFonts w:ascii="宋体" w:hAnsi="宋体"/>
                <w:szCs w:val="18"/>
              </w:rPr>
            </w:pPr>
            <w:r>
              <w:rPr>
                <w:kern w:val="0"/>
                <w:szCs w:val="21"/>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72</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62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705" w:type="dxa"/>
            <w:gridSpan w:val="3"/>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534"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eastAsia="宋体"/>
                <w:szCs w:val="18"/>
              </w:rPr>
            </w:pPr>
            <w:r>
              <w:rPr>
                <w:rFonts w:hint="eastAsia" w:ascii="宋体" w:hAnsi="宋体"/>
                <w:szCs w:val="18"/>
              </w:rPr>
              <w:t>72</w:t>
            </w:r>
          </w:p>
        </w:tc>
        <w:tc>
          <w:tcPr>
            <w:tcW w:w="633"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677"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szCs w:val="18"/>
              </w:rPr>
            </w:pPr>
            <w:r>
              <w:rPr>
                <w:rFonts w:hint="eastAsia" w:ascii="宋体" w:hAnsi="宋体"/>
                <w:szCs w:val="18"/>
              </w:rPr>
              <w:t>实践48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top w:val="single" w:color="auto" w:sz="6" w:space="0"/>
              <w:left w:val="single" w:color="auto" w:sz="12" w:space="0"/>
              <w:bottom w:val="single" w:color="auto" w:sz="6" w:space="0"/>
              <w:right w:val="single" w:color="auto" w:sz="6" w:space="0"/>
            </w:tcBorders>
            <w:noWrap/>
            <w:vAlign w:val="center"/>
          </w:tcPr>
          <w:p>
            <w:pPr>
              <w:widowControl/>
              <w:jc w:val="center"/>
              <w:rPr>
                <w:rFonts w:ascii="宋体" w:hAnsi="宋体" w:cs="宋体"/>
                <w:kern w:val="0"/>
                <w:szCs w:val="18"/>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rPr>
                <w:rFonts w:ascii="宋体" w:hAnsi="宋体"/>
                <w:sz w:val="18"/>
                <w:szCs w:val="18"/>
              </w:rPr>
            </w:pPr>
            <w:r>
              <w:rPr>
                <w:rFonts w:hint="eastAsia"/>
              </w:rPr>
              <w:t>煤气化工艺</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kern w:val="0"/>
                <w:szCs w:val="21"/>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72</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62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705" w:type="dxa"/>
            <w:gridSpan w:val="3"/>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534"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72</w:t>
            </w:r>
          </w:p>
        </w:tc>
        <w:tc>
          <w:tcPr>
            <w:tcW w:w="633"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677"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szCs w:val="18"/>
              </w:rPr>
            </w:pPr>
            <w:r>
              <w:rPr>
                <w:rFonts w:hint="eastAsia" w:ascii="宋体" w:hAnsi="宋体"/>
                <w:szCs w:val="18"/>
              </w:rPr>
              <w:t>实践48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left w:val="single" w:color="auto" w:sz="12" w:space="0"/>
              <w:right w:val="single" w:color="auto" w:sz="6" w:space="0"/>
            </w:tcBorders>
            <w:noWrap/>
            <w:textDirection w:val="tbRlV"/>
            <w:vAlign w:val="center"/>
          </w:tcPr>
          <w:p>
            <w:pPr>
              <w:widowControl/>
              <w:ind w:left="113" w:right="113"/>
              <w:jc w:val="center"/>
              <w:rPr>
                <w:rFonts w:ascii="宋体" w:hAnsi="宋体"/>
                <w:b/>
                <w:szCs w:val="18"/>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rPr>
                <w:rFonts w:hAnsi="宋体"/>
                <w:szCs w:val="21"/>
              </w:rPr>
            </w:pPr>
            <w:r>
              <w:rPr>
                <w:rFonts w:hint="eastAsia"/>
              </w:rPr>
              <w:t>化工文献检索与处理</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kern w:val="0"/>
                <w:szCs w:val="21"/>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B</w:t>
            </w:r>
          </w:p>
        </w:tc>
        <w:tc>
          <w:tcPr>
            <w:tcW w:w="666"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36</w:t>
            </w:r>
          </w:p>
        </w:tc>
        <w:tc>
          <w:tcPr>
            <w:tcW w:w="550"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szCs w:val="18"/>
              </w:rPr>
            </w:pPr>
          </w:p>
        </w:tc>
        <w:tc>
          <w:tcPr>
            <w:tcW w:w="629"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szCs w:val="18"/>
              </w:rPr>
            </w:pPr>
          </w:p>
        </w:tc>
        <w:tc>
          <w:tcPr>
            <w:tcW w:w="705" w:type="dxa"/>
            <w:gridSpan w:val="3"/>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szCs w:val="18"/>
              </w:rPr>
            </w:pPr>
          </w:p>
        </w:tc>
        <w:tc>
          <w:tcPr>
            <w:tcW w:w="534"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36</w:t>
            </w:r>
          </w:p>
        </w:tc>
        <w:tc>
          <w:tcPr>
            <w:tcW w:w="633" w:type="dxa"/>
            <w:tcBorders>
              <w:top w:val="single" w:color="auto" w:sz="4" w:space="0"/>
              <w:left w:val="single" w:color="auto" w:sz="6" w:space="0"/>
              <w:bottom w:val="single" w:color="auto" w:sz="4" w:space="0"/>
              <w:right w:val="single" w:color="auto" w:sz="4" w:space="0"/>
            </w:tcBorders>
            <w:noWrap/>
            <w:vAlign w:val="center"/>
          </w:tcPr>
          <w:p>
            <w:pPr>
              <w:spacing w:line="360" w:lineRule="auto"/>
              <w:jc w:val="center"/>
              <w:rPr>
                <w:rFonts w:ascii="宋体" w:hAnsi="宋体"/>
                <w:szCs w:val="18"/>
              </w:rPr>
            </w:pPr>
          </w:p>
        </w:tc>
        <w:tc>
          <w:tcPr>
            <w:tcW w:w="677"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szCs w:val="18"/>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eastAsia="宋体"/>
                <w:szCs w:val="18"/>
              </w:rPr>
            </w:pPr>
            <w:r>
              <w:rPr>
                <w:rFonts w:hint="eastAsia" w:ascii="宋体" w:hAnsi="宋体"/>
                <w:szCs w:val="18"/>
              </w:rPr>
              <w:t>实践24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left w:val="single" w:color="auto" w:sz="12" w:space="0"/>
              <w:right w:val="single" w:color="auto" w:sz="6" w:space="0"/>
            </w:tcBorders>
            <w:noWrap/>
            <w:textDirection w:val="tbRlV"/>
            <w:vAlign w:val="center"/>
          </w:tcPr>
          <w:p>
            <w:pPr>
              <w:widowControl/>
              <w:ind w:left="113" w:right="113"/>
              <w:jc w:val="center"/>
              <w:rPr>
                <w:rFonts w:ascii="宋体" w:hAnsi="宋体"/>
                <w:b/>
                <w:szCs w:val="18"/>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rPr>
                <w:rFonts w:hAnsi="宋体"/>
                <w:szCs w:val="21"/>
              </w:rPr>
            </w:pPr>
            <w:r>
              <w:rPr>
                <w:rFonts w:hint="eastAsia"/>
              </w:rPr>
              <w:t>现代煤化工技术</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jc w:val="center"/>
              <w:rPr>
                <w:rFonts w:ascii="宋体" w:hAnsi="宋体"/>
                <w:szCs w:val="18"/>
              </w:rPr>
            </w:pPr>
            <w:r>
              <w:rPr>
                <w:kern w:val="0"/>
                <w:szCs w:val="21"/>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B</w:t>
            </w:r>
          </w:p>
        </w:tc>
        <w:tc>
          <w:tcPr>
            <w:tcW w:w="666"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72</w:t>
            </w:r>
          </w:p>
        </w:tc>
        <w:tc>
          <w:tcPr>
            <w:tcW w:w="550"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szCs w:val="18"/>
              </w:rPr>
            </w:pPr>
          </w:p>
        </w:tc>
        <w:tc>
          <w:tcPr>
            <w:tcW w:w="629"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szCs w:val="18"/>
              </w:rPr>
            </w:pPr>
          </w:p>
        </w:tc>
        <w:tc>
          <w:tcPr>
            <w:tcW w:w="705" w:type="dxa"/>
            <w:gridSpan w:val="3"/>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szCs w:val="18"/>
              </w:rPr>
            </w:pPr>
          </w:p>
        </w:tc>
        <w:tc>
          <w:tcPr>
            <w:tcW w:w="534"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eastAsia="宋体"/>
                <w:szCs w:val="18"/>
              </w:rPr>
            </w:pPr>
            <w:r>
              <w:rPr>
                <w:rFonts w:hint="eastAsia" w:ascii="宋体" w:hAnsi="宋体"/>
                <w:szCs w:val="18"/>
              </w:rPr>
              <w:t>72</w:t>
            </w:r>
          </w:p>
        </w:tc>
        <w:tc>
          <w:tcPr>
            <w:tcW w:w="633" w:type="dxa"/>
            <w:tcBorders>
              <w:top w:val="single" w:color="auto" w:sz="4" w:space="0"/>
              <w:left w:val="single" w:color="auto" w:sz="6" w:space="0"/>
              <w:bottom w:val="single" w:color="auto" w:sz="4" w:space="0"/>
              <w:right w:val="single" w:color="auto" w:sz="4" w:space="0"/>
            </w:tcBorders>
            <w:noWrap/>
            <w:vAlign w:val="center"/>
          </w:tcPr>
          <w:p>
            <w:pPr>
              <w:spacing w:line="360" w:lineRule="auto"/>
              <w:jc w:val="center"/>
              <w:rPr>
                <w:rFonts w:ascii="宋体" w:hAnsi="宋体"/>
                <w:szCs w:val="18"/>
              </w:rPr>
            </w:pPr>
          </w:p>
        </w:tc>
        <w:tc>
          <w:tcPr>
            <w:tcW w:w="677"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szCs w:val="18"/>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szCs w:val="18"/>
              </w:rPr>
            </w:pPr>
            <w:r>
              <w:rPr>
                <w:rFonts w:hint="eastAsia" w:ascii="宋体" w:hAnsi="宋体"/>
                <w:szCs w:val="18"/>
              </w:rPr>
              <w:t>实践48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3" w:hRule="atLeast"/>
          <w:jc w:val="center"/>
        </w:trPr>
        <w:tc>
          <w:tcPr>
            <w:tcW w:w="688" w:type="dxa"/>
            <w:vMerge w:val="continue"/>
            <w:tcBorders>
              <w:top w:val="single" w:color="auto" w:sz="6" w:space="0"/>
              <w:left w:val="single" w:color="auto" w:sz="12" w:space="0"/>
              <w:bottom w:val="single" w:color="auto" w:sz="4" w:space="0"/>
              <w:right w:val="single" w:color="auto" w:sz="6" w:space="0"/>
            </w:tcBorders>
            <w:noWrap/>
            <w:vAlign w:val="center"/>
          </w:tcPr>
          <w:p>
            <w:pPr>
              <w:widowControl/>
              <w:jc w:val="left"/>
              <w:rPr>
                <w:rFonts w:ascii="宋体" w:hAnsi="宋体"/>
                <w:szCs w:val="18"/>
              </w:rPr>
            </w:pPr>
          </w:p>
        </w:tc>
        <w:tc>
          <w:tcPr>
            <w:tcW w:w="1737" w:type="dxa"/>
            <w:gridSpan w:val="2"/>
            <w:tcBorders>
              <w:top w:val="single" w:color="auto" w:sz="6" w:space="0"/>
              <w:left w:val="single" w:color="auto" w:sz="6" w:space="0"/>
              <w:bottom w:val="single" w:color="auto" w:sz="4" w:space="0"/>
              <w:right w:val="single" w:color="auto" w:sz="6" w:space="0"/>
            </w:tcBorders>
            <w:noWrap/>
            <w:vAlign w:val="center"/>
          </w:tcPr>
          <w:p>
            <w:pPr>
              <w:widowControl/>
              <w:spacing w:line="240" w:lineRule="exact"/>
              <w:jc w:val="center"/>
              <w:rPr>
                <w:rFonts w:ascii="宋体" w:hAnsi="宋体" w:cs="宋体"/>
                <w:kern w:val="0"/>
                <w:szCs w:val="18"/>
              </w:rPr>
            </w:pPr>
            <w:r>
              <w:rPr>
                <w:rFonts w:hint="eastAsia" w:ascii="宋体" w:hAnsi="宋体" w:cs="宋体"/>
                <w:kern w:val="0"/>
                <w:szCs w:val="18"/>
              </w:rPr>
              <w:t>小计</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s="宋体"/>
                <w:kern w:val="0"/>
                <w:szCs w:val="18"/>
              </w:rPr>
            </w:pPr>
          </w:p>
        </w:tc>
        <w:tc>
          <w:tcPr>
            <w:tcW w:w="440" w:type="dxa"/>
            <w:tcBorders>
              <w:top w:val="single" w:color="auto" w:sz="6" w:space="0"/>
              <w:left w:val="single" w:color="auto" w:sz="6" w:space="0"/>
              <w:bottom w:val="single" w:color="auto" w:sz="6" w:space="0"/>
              <w:right w:val="single" w:color="auto" w:sz="6" w:space="0"/>
            </w:tcBorders>
            <w:noWrap/>
            <w:vAlign w:val="center"/>
          </w:tcPr>
          <w:p>
            <w:pPr>
              <w:spacing w:line="360" w:lineRule="auto"/>
              <w:jc w:val="center"/>
              <w:rPr>
                <w:rFonts w:ascii="宋体" w:hAnsi="宋体"/>
                <w:szCs w:val="18"/>
              </w:rPr>
            </w:pPr>
          </w:p>
        </w:tc>
        <w:tc>
          <w:tcPr>
            <w:tcW w:w="666" w:type="dxa"/>
            <w:tcBorders>
              <w:top w:val="single" w:color="auto" w:sz="4" w:space="0"/>
              <w:left w:val="single" w:color="auto" w:sz="6" w:space="0"/>
              <w:bottom w:val="single" w:color="auto" w:sz="4" w:space="0"/>
              <w:right w:val="single" w:color="auto" w:sz="6" w:space="0"/>
            </w:tcBorders>
            <w:noWrap/>
            <w:vAlign w:val="center"/>
          </w:tcPr>
          <w:p>
            <w:pPr>
              <w:spacing w:line="360" w:lineRule="auto"/>
              <w:jc w:val="center"/>
              <w:rPr>
                <w:rFonts w:ascii="宋体" w:hAnsi="宋体" w:eastAsia="宋体"/>
                <w:szCs w:val="18"/>
              </w:rPr>
            </w:pPr>
            <w:r>
              <w:rPr>
                <w:rFonts w:hint="eastAsia" w:ascii="宋体" w:hAnsi="宋体"/>
                <w:szCs w:val="18"/>
              </w:rPr>
              <w:t>1088</w:t>
            </w:r>
          </w:p>
        </w:tc>
        <w:tc>
          <w:tcPr>
            <w:tcW w:w="550"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eastAsia="宋体"/>
                <w:szCs w:val="18"/>
              </w:rPr>
            </w:pPr>
            <w:r>
              <w:rPr>
                <w:rFonts w:hint="eastAsia" w:ascii="宋体" w:hAnsi="宋体"/>
                <w:szCs w:val="18"/>
              </w:rPr>
              <w:t>160</w:t>
            </w:r>
          </w:p>
        </w:tc>
        <w:tc>
          <w:tcPr>
            <w:tcW w:w="62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eastAsia="宋体"/>
                <w:szCs w:val="18"/>
              </w:rPr>
            </w:pPr>
            <w:r>
              <w:rPr>
                <w:rFonts w:hint="eastAsia" w:ascii="宋体" w:hAnsi="宋体"/>
                <w:szCs w:val="18"/>
              </w:rPr>
              <w:t>216</w:t>
            </w:r>
          </w:p>
        </w:tc>
        <w:tc>
          <w:tcPr>
            <w:tcW w:w="705"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eastAsia="宋体"/>
                <w:szCs w:val="18"/>
              </w:rPr>
            </w:pPr>
            <w:r>
              <w:rPr>
                <w:rFonts w:hint="eastAsia" w:ascii="宋体" w:hAnsi="宋体"/>
                <w:szCs w:val="18"/>
              </w:rPr>
              <w:t>352</w:t>
            </w:r>
          </w:p>
        </w:tc>
        <w:tc>
          <w:tcPr>
            <w:tcW w:w="534"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eastAsia="宋体"/>
                <w:szCs w:val="18"/>
              </w:rPr>
            </w:pPr>
            <w:r>
              <w:rPr>
                <w:rFonts w:hint="eastAsia" w:ascii="宋体" w:hAnsi="宋体"/>
                <w:szCs w:val="18"/>
              </w:rPr>
              <w:t>360</w:t>
            </w:r>
          </w:p>
        </w:tc>
        <w:tc>
          <w:tcPr>
            <w:tcW w:w="633" w:type="dxa"/>
            <w:tcBorders>
              <w:top w:val="single" w:color="auto" w:sz="4" w:space="0"/>
              <w:left w:val="single" w:color="auto" w:sz="6" w:space="0"/>
              <w:bottom w:val="single" w:color="auto" w:sz="4" w:space="0"/>
              <w:right w:val="single" w:color="auto" w:sz="4" w:space="0"/>
            </w:tcBorders>
            <w:noWrap/>
            <w:vAlign w:val="center"/>
          </w:tcPr>
          <w:p>
            <w:pPr>
              <w:spacing w:line="360" w:lineRule="auto"/>
              <w:jc w:val="center"/>
              <w:rPr>
                <w:rFonts w:ascii="宋体" w:hAnsi="宋体"/>
                <w:szCs w:val="18"/>
              </w:rPr>
            </w:pPr>
          </w:p>
        </w:tc>
        <w:tc>
          <w:tcPr>
            <w:tcW w:w="677"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szCs w:val="18"/>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spacing w:line="240" w:lineRule="exact"/>
              <w:jc w:val="center"/>
              <w:rPr>
                <w:rFonts w:ascii="宋体" w:hAnsi="宋体"/>
                <w:szCs w:val="18"/>
              </w:rPr>
            </w:pPr>
            <w:r>
              <w:rPr>
                <w:rFonts w:hint="eastAsia" w:ascii="宋体" w:hAnsi="宋体"/>
                <w:szCs w:val="18"/>
              </w:rPr>
              <w:t>实践718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restart"/>
            <w:tcBorders>
              <w:top w:val="single" w:color="auto" w:sz="4" w:space="0"/>
              <w:left w:val="single" w:color="auto" w:sz="12" w:space="0"/>
              <w:right w:val="single" w:color="auto" w:sz="6" w:space="0"/>
            </w:tcBorders>
            <w:noWrap/>
            <w:vAlign w:val="center"/>
          </w:tcPr>
          <w:p>
            <w:pPr>
              <w:widowControl/>
              <w:jc w:val="left"/>
              <w:rPr>
                <w:rFonts w:ascii="宋体" w:hAnsi="宋体"/>
                <w:szCs w:val="18"/>
              </w:rPr>
            </w:pPr>
            <w:r>
              <w:rPr>
                <w:rFonts w:hint="eastAsia" w:ascii="宋体" w:hAnsi="宋体"/>
                <w:b/>
                <w:szCs w:val="18"/>
              </w:rPr>
              <w:t>专业限选课程</w:t>
            </w:r>
          </w:p>
        </w:tc>
        <w:tc>
          <w:tcPr>
            <w:tcW w:w="1737" w:type="dxa"/>
            <w:gridSpan w:val="2"/>
            <w:tcBorders>
              <w:top w:val="single" w:color="auto" w:sz="4" w:space="0"/>
              <w:left w:val="single" w:color="auto" w:sz="6" w:space="0"/>
              <w:bottom w:val="single" w:color="auto" w:sz="6" w:space="0"/>
              <w:right w:val="single" w:color="auto" w:sz="6" w:space="0"/>
            </w:tcBorders>
            <w:noWrap/>
            <w:vAlign w:val="center"/>
          </w:tcPr>
          <w:p>
            <w:pPr>
              <w:widowControl/>
              <w:jc w:val="center"/>
              <w:rPr>
                <w:rFonts w:ascii="宋体" w:hAnsi="宋体" w:cs="宋体"/>
                <w:kern w:val="0"/>
                <w:szCs w:val="18"/>
              </w:rPr>
            </w:pPr>
            <w:r>
              <w:rPr>
                <w:rFonts w:hint="eastAsia" w:ascii="宋体" w:hAnsi="宋体" w:cs="宋体"/>
                <w:kern w:val="0"/>
                <w:szCs w:val="18"/>
              </w:rPr>
              <w:t>艺术哲学：美是如何诞生的</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exact"/>
              <w:rPr>
                <w:rFonts w:ascii="宋体" w:hAnsi="宋体" w:cs="宋体"/>
                <w:kern w:val="0"/>
                <w:szCs w:val="18"/>
              </w:rPr>
            </w:pPr>
            <w:r>
              <w:rPr>
                <w:rFonts w:hint="eastAsia" w:ascii="宋体"/>
                <w:szCs w:val="18"/>
              </w:rPr>
              <w:t>选修</w:t>
            </w:r>
          </w:p>
        </w:tc>
        <w:tc>
          <w:tcPr>
            <w:tcW w:w="440" w:type="dxa"/>
            <w:tcBorders>
              <w:top w:val="single" w:color="auto" w:sz="6" w:space="0"/>
              <w:left w:val="single" w:color="auto" w:sz="6" w:space="0"/>
              <w:bottom w:val="single" w:color="auto" w:sz="6" w:space="0"/>
              <w:right w:val="single" w:color="auto" w:sz="6" w:space="0"/>
            </w:tcBorders>
            <w:noWrap/>
          </w:tcPr>
          <w:p>
            <w:pPr>
              <w:widowControl/>
              <w:spacing w:line="360" w:lineRule="auto"/>
              <w:jc w:val="center"/>
              <w:rPr>
                <w:rFonts w:ascii="宋体" w:hAnsi="宋体" w:eastAsia="宋体"/>
                <w:szCs w:val="18"/>
              </w:rPr>
            </w:pPr>
            <w:r>
              <w:rPr>
                <w:rFonts w:hint="eastAsia" w:ascii="宋体" w:hAnsi="宋体"/>
                <w:szCs w:val="18"/>
              </w:rPr>
              <w:t>A</w:t>
            </w:r>
          </w:p>
        </w:tc>
        <w:tc>
          <w:tcPr>
            <w:tcW w:w="666"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szCs w:val="18"/>
              </w:rPr>
            </w:pPr>
            <w:r>
              <w:rPr>
                <w:rFonts w:ascii="宋体" w:hAnsi="宋体"/>
                <w:szCs w:val="18"/>
              </w:rPr>
              <w:t>72</w:t>
            </w:r>
          </w:p>
        </w:tc>
        <w:tc>
          <w:tcPr>
            <w:tcW w:w="550"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szCs w:val="18"/>
              </w:rPr>
            </w:pPr>
          </w:p>
        </w:tc>
        <w:tc>
          <w:tcPr>
            <w:tcW w:w="62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szCs w:val="18"/>
              </w:rPr>
            </w:pPr>
          </w:p>
        </w:tc>
        <w:tc>
          <w:tcPr>
            <w:tcW w:w="705"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szCs w:val="18"/>
              </w:rPr>
            </w:pPr>
          </w:p>
        </w:tc>
        <w:tc>
          <w:tcPr>
            <w:tcW w:w="534"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szCs w:val="18"/>
              </w:rPr>
            </w:pPr>
          </w:p>
        </w:tc>
        <w:tc>
          <w:tcPr>
            <w:tcW w:w="633"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szCs w:val="18"/>
              </w:rPr>
            </w:pPr>
            <w:r>
              <w:rPr>
                <w:rFonts w:ascii="宋体" w:hAnsi="宋体"/>
                <w:szCs w:val="18"/>
              </w:rPr>
              <w:t>72</w:t>
            </w:r>
          </w:p>
        </w:tc>
        <w:tc>
          <w:tcPr>
            <w:tcW w:w="677"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szCs w:val="18"/>
              </w:rPr>
            </w:pPr>
          </w:p>
        </w:tc>
        <w:tc>
          <w:tcPr>
            <w:tcW w:w="1215" w:type="dxa"/>
            <w:vMerge w:val="restart"/>
            <w:tcBorders>
              <w:top w:val="single" w:color="auto" w:sz="6" w:space="0"/>
              <w:left w:val="single" w:color="auto" w:sz="6" w:space="0"/>
              <w:bottom w:val="single" w:color="auto" w:sz="6" w:space="0"/>
              <w:right w:val="single" w:color="auto" w:sz="12" w:space="0"/>
            </w:tcBorders>
            <w:noWrap/>
            <w:vAlign w:val="center"/>
          </w:tcPr>
          <w:p>
            <w:pPr>
              <w:spacing w:line="240" w:lineRule="exact"/>
              <w:jc w:val="center"/>
              <w:rPr>
                <w:rFonts w:ascii="宋体" w:hAnsi="宋体"/>
                <w:szCs w:val="18"/>
              </w:rPr>
            </w:pPr>
            <w:r>
              <w:rPr>
                <w:rFonts w:hint="eastAsia" w:ascii="宋体" w:hAnsi="宋体"/>
                <w:szCs w:val="18"/>
              </w:rPr>
              <w:t>任选5门课程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6" w:hRule="atLeast"/>
          <w:jc w:val="center"/>
        </w:trPr>
        <w:tc>
          <w:tcPr>
            <w:tcW w:w="688" w:type="dxa"/>
            <w:vMerge w:val="continue"/>
            <w:tcBorders>
              <w:left w:val="single" w:color="auto" w:sz="12" w:space="0"/>
              <w:right w:val="single" w:color="auto" w:sz="6" w:space="0"/>
            </w:tcBorders>
            <w:noWrap/>
            <w:vAlign w:val="center"/>
          </w:tcPr>
          <w:p>
            <w:pPr>
              <w:widowControl/>
              <w:jc w:val="left"/>
              <w:rPr>
                <w:rFonts w:ascii="宋体" w:hAnsi="宋体"/>
                <w:szCs w:val="18"/>
              </w:rPr>
            </w:pPr>
          </w:p>
        </w:tc>
        <w:tc>
          <w:tcPr>
            <w:tcW w:w="1737" w:type="dxa"/>
            <w:gridSpan w:val="2"/>
            <w:tcBorders>
              <w:top w:val="single" w:color="auto" w:sz="6" w:space="0"/>
              <w:left w:val="single" w:color="auto" w:sz="6" w:space="0"/>
              <w:bottom w:val="single" w:color="auto" w:sz="4" w:space="0"/>
              <w:right w:val="single" w:color="auto" w:sz="6" w:space="0"/>
            </w:tcBorders>
            <w:noWrap/>
            <w:vAlign w:val="center"/>
          </w:tcPr>
          <w:p>
            <w:pPr>
              <w:widowControl/>
              <w:jc w:val="center"/>
              <w:rPr>
                <w:rFonts w:ascii="宋体" w:hAnsi="宋体" w:cs="宋体"/>
                <w:kern w:val="0"/>
                <w:szCs w:val="18"/>
              </w:rPr>
            </w:pPr>
            <w:r>
              <w:rPr>
                <w:rFonts w:hint="eastAsia" w:ascii="宋体" w:hAnsi="宋体" w:cs="宋体"/>
                <w:kern w:val="0"/>
                <w:szCs w:val="18"/>
              </w:rPr>
              <w:t>习近平新时代中国特色社会主义思想与当代中国</w:t>
            </w:r>
          </w:p>
        </w:tc>
        <w:tc>
          <w:tcPr>
            <w:tcW w:w="910" w:type="dxa"/>
            <w:tcBorders>
              <w:top w:val="single" w:color="auto" w:sz="6" w:space="0"/>
              <w:left w:val="single" w:color="auto" w:sz="6" w:space="0"/>
              <w:bottom w:val="single" w:color="auto" w:sz="4" w:space="0"/>
              <w:right w:val="single" w:color="auto" w:sz="6" w:space="0"/>
            </w:tcBorders>
            <w:noWrap/>
            <w:vAlign w:val="center"/>
          </w:tcPr>
          <w:p>
            <w:pPr>
              <w:widowControl/>
              <w:spacing w:line="360" w:lineRule="exact"/>
              <w:rPr>
                <w:rFonts w:ascii="宋体" w:hAnsi="宋体" w:cs="宋体"/>
                <w:kern w:val="0"/>
                <w:szCs w:val="18"/>
              </w:rPr>
            </w:pPr>
            <w:r>
              <w:rPr>
                <w:rFonts w:hint="eastAsia" w:ascii="宋体"/>
                <w:szCs w:val="18"/>
              </w:rPr>
              <w:t>选修</w:t>
            </w:r>
          </w:p>
        </w:tc>
        <w:tc>
          <w:tcPr>
            <w:tcW w:w="440" w:type="dxa"/>
            <w:tcBorders>
              <w:top w:val="single" w:color="auto" w:sz="6" w:space="0"/>
              <w:left w:val="single" w:color="auto" w:sz="6" w:space="0"/>
              <w:bottom w:val="single" w:color="auto" w:sz="4" w:space="0"/>
              <w:right w:val="single" w:color="auto" w:sz="6" w:space="0"/>
            </w:tcBorders>
            <w:noWrap/>
          </w:tcPr>
          <w:p>
            <w:pPr>
              <w:widowControl/>
              <w:spacing w:line="360" w:lineRule="auto"/>
              <w:jc w:val="center"/>
              <w:rPr>
                <w:rFonts w:ascii="宋体" w:hAnsi="宋体"/>
                <w:szCs w:val="18"/>
              </w:rPr>
            </w:pPr>
            <w:r>
              <w:rPr>
                <w:rFonts w:hint="eastAsia" w:ascii="宋体" w:hAnsi="宋体"/>
                <w:szCs w:val="18"/>
              </w:rPr>
              <w:t>A</w:t>
            </w:r>
          </w:p>
        </w:tc>
        <w:tc>
          <w:tcPr>
            <w:tcW w:w="666" w:type="dxa"/>
            <w:tcBorders>
              <w:top w:val="single" w:color="auto" w:sz="6"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szCs w:val="18"/>
              </w:rPr>
            </w:pPr>
            <w:r>
              <w:rPr>
                <w:rFonts w:ascii="宋体" w:hAnsi="宋体"/>
                <w:szCs w:val="18"/>
              </w:rPr>
              <w:t>72</w:t>
            </w:r>
          </w:p>
        </w:tc>
        <w:tc>
          <w:tcPr>
            <w:tcW w:w="550" w:type="dxa"/>
            <w:tcBorders>
              <w:top w:val="single" w:color="auto" w:sz="6"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szCs w:val="18"/>
              </w:rPr>
            </w:pPr>
          </w:p>
        </w:tc>
        <w:tc>
          <w:tcPr>
            <w:tcW w:w="629" w:type="dxa"/>
            <w:tcBorders>
              <w:top w:val="single" w:color="auto" w:sz="6"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szCs w:val="18"/>
              </w:rPr>
            </w:pPr>
          </w:p>
        </w:tc>
        <w:tc>
          <w:tcPr>
            <w:tcW w:w="705" w:type="dxa"/>
            <w:gridSpan w:val="3"/>
            <w:tcBorders>
              <w:top w:val="single" w:color="auto" w:sz="6"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szCs w:val="18"/>
              </w:rPr>
            </w:pPr>
          </w:p>
        </w:tc>
        <w:tc>
          <w:tcPr>
            <w:tcW w:w="534" w:type="dxa"/>
            <w:tcBorders>
              <w:top w:val="single" w:color="auto" w:sz="6"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szCs w:val="18"/>
              </w:rPr>
            </w:pPr>
          </w:p>
        </w:tc>
        <w:tc>
          <w:tcPr>
            <w:tcW w:w="633" w:type="dxa"/>
            <w:tcBorders>
              <w:top w:val="single" w:color="auto" w:sz="6"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szCs w:val="18"/>
              </w:rPr>
            </w:pPr>
            <w:r>
              <w:rPr>
                <w:rFonts w:ascii="宋体" w:hAnsi="宋体"/>
                <w:szCs w:val="18"/>
              </w:rPr>
              <w:t>72</w:t>
            </w:r>
          </w:p>
        </w:tc>
        <w:tc>
          <w:tcPr>
            <w:tcW w:w="677" w:type="dxa"/>
            <w:tcBorders>
              <w:top w:val="single" w:color="auto" w:sz="6"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szCs w:val="18"/>
              </w:rPr>
            </w:pPr>
          </w:p>
        </w:tc>
        <w:tc>
          <w:tcPr>
            <w:tcW w:w="1215" w:type="dxa"/>
            <w:vMerge w:val="continue"/>
            <w:tcBorders>
              <w:top w:val="single" w:color="auto" w:sz="6" w:space="0"/>
              <w:left w:val="single" w:color="auto" w:sz="6" w:space="0"/>
              <w:bottom w:val="single" w:color="auto" w:sz="4" w:space="0"/>
              <w:right w:val="single" w:color="auto" w:sz="12" w:space="0"/>
            </w:tcBorders>
            <w:noWrap/>
            <w:vAlign w:val="center"/>
          </w:tcPr>
          <w:p>
            <w:pPr>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3" w:hRule="atLeast"/>
          <w:jc w:val="center"/>
        </w:trPr>
        <w:tc>
          <w:tcPr>
            <w:tcW w:w="688" w:type="dxa"/>
            <w:vMerge w:val="continue"/>
            <w:tcBorders>
              <w:left w:val="single" w:color="auto" w:sz="12" w:space="0"/>
              <w:right w:val="single" w:color="auto" w:sz="6" w:space="0"/>
            </w:tcBorders>
            <w:noWrap/>
            <w:vAlign w:val="center"/>
          </w:tcPr>
          <w:p>
            <w:pPr>
              <w:widowControl/>
              <w:jc w:val="left"/>
              <w:rPr>
                <w:rFonts w:ascii="宋体" w:hAnsi="宋体"/>
                <w:szCs w:val="18"/>
              </w:rPr>
            </w:pPr>
          </w:p>
        </w:tc>
        <w:tc>
          <w:tcPr>
            <w:tcW w:w="1737" w:type="dxa"/>
            <w:gridSpan w:val="2"/>
            <w:tcBorders>
              <w:top w:val="single" w:color="auto" w:sz="4" w:space="0"/>
              <w:left w:val="single" w:color="auto" w:sz="6" w:space="0"/>
              <w:bottom w:val="single" w:color="auto" w:sz="4" w:space="0"/>
              <w:right w:val="single" w:color="auto" w:sz="6" w:space="0"/>
            </w:tcBorders>
            <w:noWrap/>
            <w:vAlign w:val="center"/>
          </w:tcPr>
          <w:p>
            <w:pPr>
              <w:widowControl/>
              <w:jc w:val="center"/>
              <w:rPr>
                <w:rFonts w:ascii="宋体" w:hAnsi="宋体" w:cs="宋体"/>
                <w:kern w:val="0"/>
                <w:szCs w:val="18"/>
              </w:rPr>
            </w:pPr>
            <w:r>
              <w:rPr>
                <w:rFonts w:hint="eastAsia" w:ascii="宋体" w:hAnsi="宋体" w:cs="宋体"/>
                <w:kern w:val="0"/>
                <w:szCs w:val="18"/>
              </w:rPr>
              <w:t>人工智能与信息社会</w:t>
            </w:r>
          </w:p>
        </w:tc>
        <w:tc>
          <w:tcPr>
            <w:tcW w:w="910"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exact"/>
              <w:rPr>
                <w:rFonts w:ascii="宋体" w:hAnsi="宋体" w:cs="宋体"/>
                <w:kern w:val="0"/>
                <w:szCs w:val="18"/>
              </w:rPr>
            </w:pPr>
            <w:r>
              <w:rPr>
                <w:rFonts w:hint="eastAsia" w:ascii="宋体"/>
                <w:szCs w:val="18"/>
              </w:rPr>
              <w:t>选修</w:t>
            </w:r>
          </w:p>
        </w:tc>
        <w:tc>
          <w:tcPr>
            <w:tcW w:w="440" w:type="dxa"/>
            <w:tcBorders>
              <w:top w:val="single" w:color="auto" w:sz="4" w:space="0"/>
              <w:left w:val="single" w:color="auto" w:sz="6" w:space="0"/>
              <w:bottom w:val="single" w:color="auto" w:sz="4" w:space="0"/>
              <w:right w:val="single" w:color="auto" w:sz="6" w:space="0"/>
            </w:tcBorders>
            <w:noWrap/>
          </w:tcPr>
          <w:p>
            <w:pPr>
              <w:widowControl/>
              <w:spacing w:line="360" w:lineRule="auto"/>
              <w:jc w:val="center"/>
              <w:rPr>
                <w:rFonts w:ascii="宋体" w:hAnsi="宋体"/>
                <w:szCs w:val="18"/>
              </w:rPr>
            </w:pPr>
            <w:r>
              <w:rPr>
                <w:rFonts w:hint="eastAsia" w:ascii="宋体" w:hAnsi="宋体"/>
                <w:szCs w:val="18"/>
              </w:rPr>
              <w:t>A</w:t>
            </w:r>
          </w:p>
        </w:tc>
        <w:tc>
          <w:tcPr>
            <w:tcW w:w="666"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szCs w:val="18"/>
              </w:rPr>
            </w:pPr>
            <w:r>
              <w:rPr>
                <w:rFonts w:ascii="宋体" w:hAnsi="宋体"/>
                <w:szCs w:val="18"/>
              </w:rPr>
              <w:t>72</w:t>
            </w:r>
          </w:p>
        </w:tc>
        <w:tc>
          <w:tcPr>
            <w:tcW w:w="550"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szCs w:val="18"/>
              </w:rPr>
            </w:pPr>
          </w:p>
        </w:tc>
        <w:tc>
          <w:tcPr>
            <w:tcW w:w="629"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szCs w:val="18"/>
              </w:rPr>
            </w:pPr>
          </w:p>
        </w:tc>
        <w:tc>
          <w:tcPr>
            <w:tcW w:w="705" w:type="dxa"/>
            <w:gridSpan w:val="3"/>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szCs w:val="18"/>
              </w:rPr>
            </w:pPr>
          </w:p>
        </w:tc>
        <w:tc>
          <w:tcPr>
            <w:tcW w:w="534"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szCs w:val="18"/>
              </w:rPr>
            </w:pPr>
          </w:p>
        </w:tc>
        <w:tc>
          <w:tcPr>
            <w:tcW w:w="633"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szCs w:val="18"/>
              </w:rPr>
            </w:pPr>
            <w:r>
              <w:rPr>
                <w:rFonts w:ascii="宋体" w:hAnsi="宋体"/>
                <w:szCs w:val="18"/>
              </w:rPr>
              <w:t>72</w:t>
            </w:r>
          </w:p>
        </w:tc>
        <w:tc>
          <w:tcPr>
            <w:tcW w:w="677"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szCs w:val="18"/>
              </w:rPr>
            </w:pPr>
          </w:p>
        </w:tc>
        <w:tc>
          <w:tcPr>
            <w:tcW w:w="1215" w:type="dxa"/>
            <w:vMerge w:val="continue"/>
            <w:tcBorders>
              <w:top w:val="single" w:color="auto" w:sz="4" w:space="0"/>
              <w:left w:val="single" w:color="auto" w:sz="6" w:space="0"/>
              <w:bottom w:val="single" w:color="auto" w:sz="4" w:space="0"/>
              <w:right w:val="single" w:color="auto" w:sz="12" w:space="0"/>
            </w:tcBorders>
            <w:noWrap/>
            <w:vAlign w:val="center"/>
          </w:tcPr>
          <w:p>
            <w:pPr>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688" w:type="dxa"/>
            <w:vMerge w:val="continue"/>
            <w:tcBorders>
              <w:left w:val="single" w:color="auto" w:sz="12" w:space="0"/>
              <w:right w:val="single" w:color="auto" w:sz="6" w:space="0"/>
            </w:tcBorders>
            <w:noWrap/>
            <w:vAlign w:val="center"/>
          </w:tcPr>
          <w:p>
            <w:pPr>
              <w:widowControl/>
              <w:jc w:val="left"/>
              <w:rPr>
                <w:rFonts w:ascii="宋体" w:hAnsi="宋体"/>
                <w:szCs w:val="18"/>
              </w:rPr>
            </w:pPr>
          </w:p>
        </w:tc>
        <w:tc>
          <w:tcPr>
            <w:tcW w:w="1737" w:type="dxa"/>
            <w:gridSpan w:val="2"/>
            <w:tcBorders>
              <w:top w:val="single" w:color="auto" w:sz="4" w:space="0"/>
              <w:left w:val="single" w:color="auto" w:sz="6" w:space="0"/>
              <w:bottom w:val="single" w:color="auto" w:sz="4" w:space="0"/>
              <w:right w:val="single" w:color="auto" w:sz="6" w:space="0"/>
            </w:tcBorders>
            <w:noWrap/>
            <w:vAlign w:val="center"/>
          </w:tcPr>
          <w:p>
            <w:pPr>
              <w:widowControl/>
              <w:spacing w:line="240" w:lineRule="exact"/>
              <w:jc w:val="center"/>
              <w:rPr>
                <w:rFonts w:ascii="宋体" w:hAnsi="宋体" w:cs="宋体"/>
                <w:kern w:val="0"/>
                <w:szCs w:val="18"/>
              </w:rPr>
            </w:pPr>
            <w:r>
              <w:rPr>
                <w:rFonts w:hint="eastAsia" w:ascii="宋体" w:hAnsi="宋体" w:cs="宋体"/>
                <w:kern w:val="0"/>
                <w:szCs w:val="18"/>
              </w:rPr>
              <w:t>化学与人类</w:t>
            </w:r>
          </w:p>
        </w:tc>
        <w:tc>
          <w:tcPr>
            <w:tcW w:w="910"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auto"/>
              <w:rPr>
                <w:rFonts w:ascii="宋体" w:hAnsi="宋体" w:cs="宋体"/>
                <w:kern w:val="0"/>
                <w:szCs w:val="18"/>
              </w:rPr>
            </w:pPr>
            <w:r>
              <w:rPr>
                <w:rFonts w:hint="eastAsia" w:ascii="宋体"/>
                <w:szCs w:val="18"/>
              </w:rPr>
              <w:t>选修</w:t>
            </w:r>
          </w:p>
        </w:tc>
        <w:tc>
          <w:tcPr>
            <w:tcW w:w="440"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A</w:t>
            </w:r>
          </w:p>
        </w:tc>
        <w:tc>
          <w:tcPr>
            <w:tcW w:w="666"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szCs w:val="18"/>
              </w:rPr>
            </w:pPr>
            <w:r>
              <w:rPr>
                <w:rFonts w:ascii="宋体" w:hAnsi="宋体"/>
                <w:szCs w:val="18"/>
              </w:rPr>
              <w:t>72</w:t>
            </w:r>
          </w:p>
        </w:tc>
        <w:tc>
          <w:tcPr>
            <w:tcW w:w="550"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szCs w:val="18"/>
              </w:rPr>
            </w:pPr>
          </w:p>
        </w:tc>
        <w:tc>
          <w:tcPr>
            <w:tcW w:w="629"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szCs w:val="18"/>
              </w:rPr>
            </w:pPr>
          </w:p>
        </w:tc>
        <w:tc>
          <w:tcPr>
            <w:tcW w:w="705" w:type="dxa"/>
            <w:gridSpan w:val="3"/>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szCs w:val="18"/>
              </w:rPr>
            </w:pPr>
          </w:p>
        </w:tc>
        <w:tc>
          <w:tcPr>
            <w:tcW w:w="534"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szCs w:val="18"/>
              </w:rPr>
            </w:pPr>
          </w:p>
        </w:tc>
        <w:tc>
          <w:tcPr>
            <w:tcW w:w="633"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szCs w:val="18"/>
              </w:rPr>
            </w:pPr>
            <w:r>
              <w:rPr>
                <w:rFonts w:ascii="宋体" w:hAnsi="宋体"/>
                <w:szCs w:val="18"/>
              </w:rPr>
              <w:t>72</w:t>
            </w:r>
          </w:p>
        </w:tc>
        <w:tc>
          <w:tcPr>
            <w:tcW w:w="677"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szCs w:val="18"/>
              </w:rPr>
            </w:pPr>
          </w:p>
        </w:tc>
        <w:tc>
          <w:tcPr>
            <w:tcW w:w="1215" w:type="dxa"/>
            <w:vMerge w:val="continue"/>
            <w:tcBorders>
              <w:top w:val="single" w:color="auto" w:sz="4" w:space="0"/>
              <w:left w:val="single" w:color="auto" w:sz="6" w:space="0"/>
              <w:bottom w:val="single" w:color="auto" w:sz="4" w:space="0"/>
              <w:right w:val="single" w:color="auto" w:sz="12" w:space="0"/>
            </w:tcBorders>
            <w:noWrap/>
            <w:vAlign w:val="center"/>
          </w:tcPr>
          <w:p>
            <w:pPr>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58" w:hRule="atLeast"/>
          <w:jc w:val="center"/>
        </w:trPr>
        <w:tc>
          <w:tcPr>
            <w:tcW w:w="688" w:type="dxa"/>
            <w:vMerge w:val="continue"/>
            <w:tcBorders>
              <w:left w:val="single" w:color="auto" w:sz="12" w:space="0"/>
              <w:right w:val="single" w:color="auto" w:sz="6" w:space="0"/>
            </w:tcBorders>
            <w:noWrap/>
            <w:vAlign w:val="center"/>
          </w:tcPr>
          <w:p>
            <w:pPr>
              <w:widowControl/>
              <w:jc w:val="left"/>
              <w:rPr>
                <w:rFonts w:ascii="宋体" w:hAnsi="宋体"/>
                <w:szCs w:val="18"/>
              </w:rPr>
            </w:pPr>
          </w:p>
        </w:tc>
        <w:tc>
          <w:tcPr>
            <w:tcW w:w="1737" w:type="dxa"/>
            <w:gridSpan w:val="2"/>
            <w:tcBorders>
              <w:top w:val="single" w:color="auto" w:sz="4" w:space="0"/>
              <w:left w:val="single" w:color="auto" w:sz="6" w:space="0"/>
              <w:bottom w:val="single" w:color="auto" w:sz="4" w:space="0"/>
              <w:right w:val="single" w:color="auto" w:sz="6" w:space="0"/>
            </w:tcBorders>
            <w:noWrap/>
            <w:vAlign w:val="center"/>
          </w:tcPr>
          <w:p>
            <w:pPr>
              <w:widowControl/>
              <w:spacing w:line="240" w:lineRule="exact"/>
              <w:jc w:val="center"/>
              <w:rPr>
                <w:rFonts w:ascii="宋体" w:hAnsi="宋体" w:cs="宋体"/>
                <w:kern w:val="0"/>
                <w:szCs w:val="18"/>
              </w:rPr>
            </w:pPr>
            <w:r>
              <w:rPr>
                <w:rFonts w:hint="eastAsia" w:ascii="宋体" w:hAnsi="宋体" w:cs="宋体"/>
                <w:kern w:val="0"/>
                <w:szCs w:val="18"/>
              </w:rPr>
              <w:t>家园的治理：环境科学概论</w:t>
            </w:r>
          </w:p>
        </w:tc>
        <w:tc>
          <w:tcPr>
            <w:tcW w:w="910"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auto"/>
              <w:rPr>
                <w:rFonts w:ascii="宋体" w:hAnsi="宋体" w:cs="宋体"/>
                <w:kern w:val="0"/>
                <w:szCs w:val="18"/>
              </w:rPr>
            </w:pPr>
            <w:r>
              <w:rPr>
                <w:rFonts w:hint="eastAsia" w:ascii="宋体"/>
                <w:szCs w:val="18"/>
              </w:rPr>
              <w:t>选修</w:t>
            </w:r>
          </w:p>
        </w:tc>
        <w:tc>
          <w:tcPr>
            <w:tcW w:w="440"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A</w:t>
            </w:r>
          </w:p>
        </w:tc>
        <w:tc>
          <w:tcPr>
            <w:tcW w:w="666"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szCs w:val="18"/>
              </w:rPr>
            </w:pPr>
            <w:r>
              <w:rPr>
                <w:rFonts w:ascii="宋体" w:hAnsi="宋体"/>
                <w:szCs w:val="18"/>
              </w:rPr>
              <w:t>72</w:t>
            </w:r>
          </w:p>
        </w:tc>
        <w:tc>
          <w:tcPr>
            <w:tcW w:w="550"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szCs w:val="18"/>
              </w:rPr>
            </w:pPr>
          </w:p>
        </w:tc>
        <w:tc>
          <w:tcPr>
            <w:tcW w:w="629"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szCs w:val="18"/>
              </w:rPr>
            </w:pPr>
          </w:p>
        </w:tc>
        <w:tc>
          <w:tcPr>
            <w:tcW w:w="705" w:type="dxa"/>
            <w:gridSpan w:val="3"/>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szCs w:val="18"/>
              </w:rPr>
            </w:pPr>
          </w:p>
        </w:tc>
        <w:tc>
          <w:tcPr>
            <w:tcW w:w="534"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szCs w:val="18"/>
              </w:rPr>
            </w:pPr>
          </w:p>
        </w:tc>
        <w:tc>
          <w:tcPr>
            <w:tcW w:w="633"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szCs w:val="18"/>
              </w:rPr>
            </w:pPr>
            <w:r>
              <w:rPr>
                <w:rFonts w:ascii="宋体" w:hAnsi="宋体"/>
                <w:szCs w:val="18"/>
              </w:rPr>
              <w:t>72</w:t>
            </w:r>
          </w:p>
        </w:tc>
        <w:tc>
          <w:tcPr>
            <w:tcW w:w="677"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szCs w:val="18"/>
              </w:rPr>
            </w:pPr>
          </w:p>
        </w:tc>
        <w:tc>
          <w:tcPr>
            <w:tcW w:w="1215" w:type="dxa"/>
            <w:vMerge w:val="continue"/>
            <w:tcBorders>
              <w:top w:val="single" w:color="auto" w:sz="4" w:space="0"/>
              <w:left w:val="single" w:color="auto" w:sz="6" w:space="0"/>
              <w:bottom w:val="single" w:color="auto" w:sz="4" w:space="0"/>
              <w:right w:val="single" w:color="auto" w:sz="12" w:space="0"/>
            </w:tcBorders>
            <w:noWrap/>
            <w:vAlign w:val="center"/>
          </w:tcPr>
          <w:p>
            <w:pPr>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5" w:hRule="atLeast"/>
          <w:jc w:val="center"/>
        </w:trPr>
        <w:tc>
          <w:tcPr>
            <w:tcW w:w="688" w:type="dxa"/>
            <w:vMerge w:val="continue"/>
            <w:tcBorders>
              <w:left w:val="single" w:color="auto" w:sz="12" w:space="0"/>
              <w:right w:val="single" w:color="auto" w:sz="6" w:space="0"/>
            </w:tcBorders>
            <w:noWrap/>
            <w:vAlign w:val="center"/>
          </w:tcPr>
          <w:p>
            <w:pPr>
              <w:widowControl/>
              <w:jc w:val="left"/>
              <w:rPr>
                <w:rFonts w:ascii="宋体" w:hAnsi="宋体"/>
                <w:szCs w:val="18"/>
              </w:rPr>
            </w:pPr>
          </w:p>
        </w:tc>
        <w:tc>
          <w:tcPr>
            <w:tcW w:w="1737" w:type="dxa"/>
            <w:gridSpan w:val="2"/>
            <w:tcBorders>
              <w:top w:val="single" w:color="auto" w:sz="4" w:space="0"/>
              <w:left w:val="single" w:color="auto" w:sz="6" w:space="0"/>
              <w:bottom w:val="single" w:color="auto" w:sz="4" w:space="0"/>
              <w:right w:val="single" w:color="auto" w:sz="6" w:space="0"/>
            </w:tcBorders>
            <w:noWrap/>
            <w:vAlign w:val="center"/>
          </w:tcPr>
          <w:p>
            <w:pPr>
              <w:widowControl/>
              <w:jc w:val="center"/>
              <w:rPr>
                <w:rFonts w:ascii="宋体" w:hAnsi="宋体" w:cs="宋体"/>
                <w:kern w:val="0"/>
                <w:szCs w:val="18"/>
              </w:rPr>
            </w:pPr>
            <w:r>
              <w:rPr>
                <w:rFonts w:hint="eastAsia" w:ascii="宋体" w:hAnsi="宋体" w:cs="宋体"/>
                <w:kern w:val="0"/>
                <w:szCs w:val="18"/>
              </w:rPr>
              <w:t>情绪管理</w:t>
            </w:r>
          </w:p>
        </w:tc>
        <w:tc>
          <w:tcPr>
            <w:tcW w:w="910"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exact"/>
              <w:rPr>
                <w:rFonts w:ascii="宋体" w:hAnsi="宋体" w:cs="宋体"/>
                <w:kern w:val="0"/>
                <w:szCs w:val="18"/>
              </w:rPr>
            </w:pPr>
            <w:r>
              <w:rPr>
                <w:rFonts w:hint="eastAsia" w:ascii="宋体"/>
                <w:szCs w:val="18"/>
              </w:rPr>
              <w:t>选修</w:t>
            </w:r>
          </w:p>
        </w:tc>
        <w:tc>
          <w:tcPr>
            <w:tcW w:w="440" w:type="dxa"/>
            <w:tcBorders>
              <w:top w:val="single" w:color="auto" w:sz="4" w:space="0"/>
              <w:left w:val="single" w:color="auto" w:sz="6" w:space="0"/>
              <w:bottom w:val="single" w:color="auto" w:sz="4" w:space="0"/>
              <w:right w:val="single" w:color="auto" w:sz="6" w:space="0"/>
            </w:tcBorders>
            <w:noWrap/>
          </w:tcPr>
          <w:p>
            <w:pPr>
              <w:widowControl/>
              <w:spacing w:line="360" w:lineRule="auto"/>
              <w:jc w:val="center"/>
              <w:rPr>
                <w:rFonts w:ascii="宋体" w:hAnsi="宋体"/>
                <w:szCs w:val="18"/>
              </w:rPr>
            </w:pPr>
            <w:r>
              <w:rPr>
                <w:rFonts w:hint="eastAsia" w:ascii="宋体" w:hAnsi="宋体"/>
                <w:szCs w:val="18"/>
              </w:rPr>
              <w:t>A</w:t>
            </w:r>
          </w:p>
        </w:tc>
        <w:tc>
          <w:tcPr>
            <w:tcW w:w="666"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szCs w:val="18"/>
              </w:rPr>
            </w:pPr>
            <w:r>
              <w:rPr>
                <w:rFonts w:ascii="宋体" w:hAnsi="宋体"/>
                <w:szCs w:val="18"/>
              </w:rPr>
              <w:t>72</w:t>
            </w:r>
          </w:p>
        </w:tc>
        <w:tc>
          <w:tcPr>
            <w:tcW w:w="550"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szCs w:val="18"/>
              </w:rPr>
            </w:pPr>
          </w:p>
        </w:tc>
        <w:tc>
          <w:tcPr>
            <w:tcW w:w="629"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szCs w:val="18"/>
              </w:rPr>
            </w:pPr>
          </w:p>
        </w:tc>
        <w:tc>
          <w:tcPr>
            <w:tcW w:w="705" w:type="dxa"/>
            <w:gridSpan w:val="3"/>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szCs w:val="18"/>
              </w:rPr>
            </w:pPr>
          </w:p>
        </w:tc>
        <w:tc>
          <w:tcPr>
            <w:tcW w:w="534"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szCs w:val="18"/>
              </w:rPr>
            </w:pPr>
          </w:p>
        </w:tc>
        <w:tc>
          <w:tcPr>
            <w:tcW w:w="633"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szCs w:val="18"/>
              </w:rPr>
            </w:pPr>
            <w:r>
              <w:rPr>
                <w:rFonts w:ascii="宋体" w:hAnsi="宋体"/>
                <w:szCs w:val="18"/>
              </w:rPr>
              <w:t>72</w:t>
            </w:r>
          </w:p>
        </w:tc>
        <w:tc>
          <w:tcPr>
            <w:tcW w:w="677"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szCs w:val="18"/>
              </w:rPr>
            </w:pPr>
          </w:p>
        </w:tc>
        <w:tc>
          <w:tcPr>
            <w:tcW w:w="1215" w:type="dxa"/>
            <w:vMerge w:val="continue"/>
            <w:tcBorders>
              <w:top w:val="single" w:color="auto" w:sz="4" w:space="0"/>
              <w:left w:val="single" w:color="auto" w:sz="6" w:space="0"/>
              <w:bottom w:val="single" w:color="auto" w:sz="4" w:space="0"/>
              <w:right w:val="single" w:color="auto" w:sz="12" w:space="0"/>
            </w:tcBorders>
            <w:noWrap/>
            <w:vAlign w:val="center"/>
          </w:tcPr>
          <w:p>
            <w:pPr>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8" w:hRule="atLeast"/>
          <w:jc w:val="center"/>
        </w:trPr>
        <w:tc>
          <w:tcPr>
            <w:tcW w:w="688" w:type="dxa"/>
            <w:vMerge w:val="continue"/>
            <w:tcBorders>
              <w:left w:val="single" w:color="auto" w:sz="12" w:space="0"/>
              <w:right w:val="single" w:color="auto" w:sz="6" w:space="0"/>
            </w:tcBorders>
            <w:noWrap/>
            <w:vAlign w:val="center"/>
          </w:tcPr>
          <w:p>
            <w:pPr>
              <w:widowControl/>
              <w:jc w:val="left"/>
              <w:rPr>
                <w:rFonts w:ascii="宋体" w:hAnsi="宋体"/>
                <w:szCs w:val="18"/>
              </w:rPr>
            </w:pPr>
          </w:p>
        </w:tc>
        <w:tc>
          <w:tcPr>
            <w:tcW w:w="1737" w:type="dxa"/>
            <w:gridSpan w:val="2"/>
            <w:tcBorders>
              <w:top w:val="single" w:color="auto" w:sz="4"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kern w:val="0"/>
                <w:szCs w:val="18"/>
              </w:rPr>
            </w:pPr>
            <w:r>
              <w:rPr>
                <w:rFonts w:ascii="宋体" w:hAnsi="宋体" w:cs="宋体"/>
                <w:kern w:val="0"/>
                <w:szCs w:val="18"/>
              </w:rPr>
              <w:t>突发事件及自救互救</w:t>
            </w:r>
          </w:p>
        </w:tc>
        <w:tc>
          <w:tcPr>
            <w:tcW w:w="910" w:type="dxa"/>
            <w:tcBorders>
              <w:top w:val="single" w:color="auto" w:sz="4" w:space="0"/>
              <w:left w:val="single" w:color="auto" w:sz="6" w:space="0"/>
              <w:bottom w:val="single" w:color="auto" w:sz="6" w:space="0"/>
              <w:right w:val="single" w:color="auto" w:sz="6" w:space="0"/>
            </w:tcBorders>
            <w:noWrap/>
            <w:vAlign w:val="center"/>
          </w:tcPr>
          <w:p>
            <w:pPr>
              <w:widowControl/>
              <w:spacing w:line="360" w:lineRule="auto"/>
              <w:rPr>
                <w:rFonts w:ascii="宋体" w:hAnsi="宋体" w:cs="宋体"/>
                <w:kern w:val="0"/>
                <w:szCs w:val="18"/>
              </w:rPr>
            </w:pPr>
            <w:r>
              <w:rPr>
                <w:rFonts w:hint="eastAsia" w:ascii="宋体"/>
                <w:szCs w:val="18"/>
              </w:rPr>
              <w:t>选修</w:t>
            </w:r>
          </w:p>
        </w:tc>
        <w:tc>
          <w:tcPr>
            <w:tcW w:w="440" w:type="dxa"/>
            <w:tcBorders>
              <w:top w:val="single" w:color="auto" w:sz="4"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A</w:t>
            </w:r>
          </w:p>
        </w:tc>
        <w:tc>
          <w:tcPr>
            <w:tcW w:w="666" w:type="dxa"/>
            <w:tcBorders>
              <w:top w:val="single" w:color="auto" w:sz="4"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ascii="宋体" w:hAnsi="宋体"/>
                <w:szCs w:val="18"/>
              </w:rPr>
              <w:t>72</w:t>
            </w:r>
          </w:p>
        </w:tc>
        <w:tc>
          <w:tcPr>
            <w:tcW w:w="550" w:type="dxa"/>
            <w:tcBorders>
              <w:top w:val="single" w:color="auto" w:sz="4"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629" w:type="dxa"/>
            <w:tcBorders>
              <w:top w:val="single" w:color="auto" w:sz="4"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705" w:type="dxa"/>
            <w:gridSpan w:val="3"/>
            <w:tcBorders>
              <w:top w:val="single" w:color="auto" w:sz="4"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534" w:type="dxa"/>
            <w:tcBorders>
              <w:top w:val="single" w:color="auto" w:sz="4"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633" w:type="dxa"/>
            <w:tcBorders>
              <w:top w:val="single" w:color="auto" w:sz="4"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r>
              <w:rPr>
                <w:rFonts w:ascii="宋体" w:hAnsi="宋体"/>
                <w:szCs w:val="18"/>
              </w:rPr>
              <w:t>72</w:t>
            </w:r>
          </w:p>
        </w:tc>
        <w:tc>
          <w:tcPr>
            <w:tcW w:w="677" w:type="dxa"/>
            <w:tcBorders>
              <w:top w:val="single" w:color="auto" w:sz="4"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1215" w:type="dxa"/>
            <w:vMerge w:val="continue"/>
            <w:tcBorders>
              <w:top w:val="single" w:color="auto" w:sz="4" w:space="0"/>
              <w:left w:val="single" w:color="auto" w:sz="6" w:space="0"/>
              <w:bottom w:val="single" w:color="auto" w:sz="6" w:space="0"/>
              <w:right w:val="single" w:color="auto" w:sz="12" w:space="0"/>
            </w:tcBorders>
            <w:noWrap/>
            <w:vAlign w:val="center"/>
          </w:tcPr>
          <w:p>
            <w:pPr>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0" w:hRule="atLeast"/>
          <w:jc w:val="center"/>
        </w:trPr>
        <w:tc>
          <w:tcPr>
            <w:tcW w:w="688" w:type="dxa"/>
            <w:vMerge w:val="continue"/>
            <w:tcBorders>
              <w:left w:val="single" w:color="auto" w:sz="12" w:space="0"/>
              <w:bottom w:val="single" w:color="auto" w:sz="6" w:space="0"/>
              <w:right w:val="single" w:color="auto" w:sz="6" w:space="0"/>
            </w:tcBorders>
            <w:noWrap/>
            <w:vAlign w:val="center"/>
          </w:tcPr>
          <w:p>
            <w:pPr>
              <w:widowControl/>
              <w:jc w:val="left"/>
              <w:rPr>
                <w:rFonts w:ascii="宋体" w:hAnsi="宋体"/>
                <w:szCs w:val="18"/>
              </w:rPr>
            </w:pPr>
          </w:p>
        </w:tc>
        <w:tc>
          <w:tcPr>
            <w:tcW w:w="1737" w:type="dxa"/>
            <w:gridSpan w:val="2"/>
            <w:tcBorders>
              <w:top w:val="single" w:color="auto" w:sz="6" w:space="0"/>
              <w:left w:val="single" w:color="auto" w:sz="6" w:space="0"/>
              <w:bottom w:val="single" w:color="auto" w:sz="4" w:space="0"/>
              <w:right w:val="single" w:color="auto" w:sz="6" w:space="0"/>
            </w:tcBorders>
            <w:noWrap/>
            <w:vAlign w:val="center"/>
          </w:tcPr>
          <w:p>
            <w:pPr>
              <w:widowControl/>
              <w:jc w:val="center"/>
              <w:rPr>
                <w:rFonts w:ascii="宋体" w:hAnsi="宋体" w:cs="宋体"/>
                <w:kern w:val="0"/>
                <w:szCs w:val="18"/>
              </w:rPr>
            </w:pPr>
            <w:r>
              <w:rPr>
                <w:rFonts w:hint="eastAsia" w:ascii="宋体" w:hAnsi="宋体" w:cs="宋体"/>
                <w:kern w:val="0"/>
                <w:szCs w:val="18"/>
              </w:rPr>
              <w:t>大学生恋爱与性教育</w:t>
            </w:r>
          </w:p>
        </w:tc>
        <w:tc>
          <w:tcPr>
            <w:tcW w:w="910" w:type="dxa"/>
            <w:tcBorders>
              <w:top w:val="single" w:color="auto" w:sz="6" w:space="0"/>
              <w:left w:val="single" w:color="auto" w:sz="6" w:space="0"/>
              <w:bottom w:val="single" w:color="auto" w:sz="4" w:space="0"/>
              <w:right w:val="single" w:color="auto" w:sz="6" w:space="0"/>
            </w:tcBorders>
            <w:noWrap/>
            <w:vAlign w:val="center"/>
          </w:tcPr>
          <w:p>
            <w:pPr>
              <w:widowControl/>
              <w:spacing w:line="360" w:lineRule="exact"/>
              <w:rPr>
                <w:rFonts w:ascii="宋体" w:hAnsi="宋体" w:cs="宋体"/>
                <w:kern w:val="0"/>
                <w:szCs w:val="18"/>
              </w:rPr>
            </w:pPr>
            <w:r>
              <w:rPr>
                <w:rFonts w:hint="eastAsia" w:ascii="宋体"/>
                <w:szCs w:val="18"/>
              </w:rPr>
              <w:t>选修</w:t>
            </w:r>
          </w:p>
        </w:tc>
        <w:tc>
          <w:tcPr>
            <w:tcW w:w="440" w:type="dxa"/>
            <w:tcBorders>
              <w:top w:val="single" w:color="auto" w:sz="6" w:space="0"/>
              <w:left w:val="single" w:color="auto" w:sz="6" w:space="0"/>
              <w:bottom w:val="single" w:color="auto" w:sz="4" w:space="0"/>
              <w:right w:val="single" w:color="auto" w:sz="6" w:space="0"/>
            </w:tcBorders>
            <w:noWrap/>
          </w:tcPr>
          <w:p>
            <w:pPr>
              <w:widowControl/>
              <w:spacing w:line="360" w:lineRule="auto"/>
              <w:jc w:val="center"/>
              <w:rPr>
                <w:rFonts w:ascii="宋体" w:hAnsi="宋体"/>
                <w:szCs w:val="18"/>
              </w:rPr>
            </w:pPr>
            <w:r>
              <w:rPr>
                <w:rFonts w:hint="eastAsia" w:ascii="宋体" w:hAnsi="宋体"/>
                <w:szCs w:val="18"/>
              </w:rPr>
              <w:t>A</w:t>
            </w:r>
          </w:p>
        </w:tc>
        <w:tc>
          <w:tcPr>
            <w:tcW w:w="666" w:type="dxa"/>
            <w:tcBorders>
              <w:top w:val="single" w:color="auto" w:sz="6"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szCs w:val="18"/>
              </w:rPr>
            </w:pPr>
            <w:r>
              <w:rPr>
                <w:rFonts w:ascii="宋体" w:hAnsi="宋体"/>
                <w:szCs w:val="18"/>
              </w:rPr>
              <w:t>72</w:t>
            </w:r>
          </w:p>
        </w:tc>
        <w:tc>
          <w:tcPr>
            <w:tcW w:w="550" w:type="dxa"/>
            <w:tcBorders>
              <w:top w:val="single" w:color="auto" w:sz="6"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szCs w:val="18"/>
              </w:rPr>
            </w:pPr>
          </w:p>
        </w:tc>
        <w:tc>
          <w:tcPr>
            <w:tcW w:w="635" w:type="dxa"/>
            <w:gridSpan w:val="2"/>
            <w:tcBorders>
              <w:top w:val="single" w:color="auto" w:sz="6"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szCs w:val="18"/>
              </w:rPr>
            </w:pPr>
          </w:p>
        </w:tc>
        <w:tc>
          <w:tcPr>
            <w:tcW w:w="693" w:type="dxa"/>
            <w:tcBorders>
              <w:top w:val="single" w:color="auto" w:sz="6"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szCs w:val="18"/>
              </w:rPr>
            </w:pPr>
          </w:p>
        </w:tc>
        <w:tc>
          <w:tcPr>
            <w:tcW w:w="540" w:type="dxa"/>
            <w:gridSpan w:val="2"/>
            <w:tcBorders>
              <w:top w:val="single" w:color="auto" w:sz="6" w:space="0"/>
              <w:left w:val="single" w:color="auto" w:sz="6" w:space="0"/>
              <w:bottom w:val="single" w:color="auto" w:sz="4" w:space="0"/>
              <w:right w:val="single" w:color="auto" w:sz="4" w:space="0"/>
            </w:tcBorders>
            <w:noWrap/>
            <w:vAlign w:val="center"/>
          </w:tcPr>
          <w:p>
            <w:pPr>
              <w:widowControl/>
              <w:spacing w:line="360" w:lineRule="auto"/>
              <w:rPr>
                <w:rFonts w:ascii="宋体" w:hAnsi="宋体"/>
                <w:szCs w:val="18"/>
              </w:rPr>
            </w:pPr>
          </w:p>
        </w:tc>
        <w:tc>
          <w:tcPr>
            <w:tcW w:w="633" w:type="dxa"/>
            <w:tcBorders>
              <w:top w:val="single" w:color="auto" w:sz="6"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szCs w:val="18"/>
              </w:rPr>
            </w:pPr>
            <w:r>
              <w:rPr>
                <w:rFonts w:ascii="宋体" w:hAnsi="宋体"/>
                <w:szCs w:val="18"/>
              </w:rPr>
              <w:t>72</w:t>
            </w:r>
          </w:p>
        </w:tc>
        <w:tc>
          <w:tcPr>
            <w:tcW w:w="677" w:type="dxa"/>
            <w:tcBorders>
              <w:top w:val="single" w:color="auto" w:sz="6"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szCs w:val="18"/>
              </w:rPr>
            </w:pPr>
          </w:p>
        </w:tc>
        <w:tc>
          <w:tcPr>
            <w:tcW w:w="1215" w:type="dxa"/>
            <w:vMerge w:val="continue"/>
            <w:tcBorders>
              <w:top w:val="single" w:color="auto" w:sz="6" w:space="0"/>
              <w:left w:val="single" w:color="auto" w:sz="6" w:space="0"/>
              <w:bottom w:val="single" w:color="auto" w:sz="4" w:space="0"/>
              <w:right w:val="single" w:color="auto" w:sz="12" w:space="0"/>
            </w:tcBorders>
            <w:noWrap/>
            <w:vAlign w:val="center"/>
          </w:tcPr>
          <w:p>
            <w:pPr>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8" w:hRule="atLeast"/>
          <w:jc w:val="center"/>
        </w:trPr>
        <w:tc>
          <w:tcPr>
            <w:tcW w:w="688" w:type="dxa"/>
            <w:vMerge w:val="continue"/>
            <w:tcBorders>
              <w:left w:val="single" w:color="auto" w:sz="12" w:space="0"/>
              <w:bottom w:val="single" w:color="auto" w:sz="6" w:space="0"/>
              <w:right w:val="single" w:color="auto" w:sz="6" w:space="0"/>
            </w:tcBorders>
            <w:noWrap/>
            <w:vAlign w:val="center"/>
          </w:tcPr>
          <w:p>
            <w:pPr>
              <w:widowControl/>
              <w:jc w:val="left"/>
              <w:rPr>
                <w:rFonts w:ascii="宋体" w:hAnsi="宋体"/>
                <w:szCs w:val="18"/>
              </w:rPr>
            </w:pPr>
          </w:p>
        </w:tc>
        <w:tc>
          <w:tcPr>
            <w:tcW w:w="1737" w:type="dxa"/>
            <w:gridSpan w:val="2"/>
            <w:tcBorders>
              <w:top w:val="single" w:color="auto" w:sz="4" w:space="0"/>
              <w:left w:val="single" w:color="auto" w:sz="6" w:space="0"/>
              <w:bottom w:val="single" w:color="auto" w:sz="4" w:space="0"/>
              <w:right w:val="single" w:color="auto" w:sz="6" w:space="0"/>
            </w:tcBorders>
            <w:noWrap/>
            <w:vAlign w:val="center"/>
          </w:tcPr>
          <w:p>
            <w:pPr>
              <w:widowControl/>
              <w:spacing w:line="240" w:lineRule="exact"/>
              <w:jc w:val="center"/>
              <w:rPr>
                <w:rFonts w:ascii="宋体" w:hAnsi="宋体" w:cs="宋体"/>
                <w:kern w:val="0"/>
                <w:szCs w:val="18"/>
              </w:rPr>
            </w:pPr>
          </w:p>
        </w:tc>
        <w:tc>
          <w:tcPr>
            <w:tcW w:w="910"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cs="宋体"/>
                <w:kern w:val="0"/>
                <w:szCs w:val="18"/>
              </w:rPr>
            </w:pPr>
          </w:p>
        </w:tc>
        <w:tc>
          <w:tcPr>
            <w:tcW w:w="440" w:type="dxa"/>
            <w:tcBorders>
              <w:top w:val="single" w:color="auto" w:sz="4" w:space="0"/>
              <w:left w:val="single" w:color="auto" w:sz="6" w:space="0"/>
              <w:bottom w:val="single" w:color="auto" w:sz="4" w:space="0"/>
              <w:right w:val="single" w:color="auto" w:sz="6" w:space="0"/>
            </w:tcBorders>
            <w:noWrap/>
            <w:vAlign w:val="center"/>
          </w:tcPr>
          <w:p>
            <w:pPr>
              <w:spacing w:line="360" w:lineRule="auto"/>
              <w:jc w:val="center"/>
              <w:rPr>
                <w:rFonts w:ascii="宋体" w:hAnsi="宋体"/>
                <w:szCs w:val="18"/>
              </w:rPr>
            </w:pPr>
          </w:p>
        </w:tc>
        <w:tc>
          <w:tcPr>
            <w:tcW w:w="666" w:type="dxa"/>
            <w:tcBorders>
              <w:top w:val="single" w:color="auto" w:sz="4" w:space="0"/>
              <w:left w:val="single" w:color="auto" w:sz="6" w:space="0"/>
              <w:bottom w:val="single" w:color="auto" w:sz="4" w:space="0"/>
              <w:right w:val="single" w:color="auto" w:sz="6" w:space="0"/>
            </w:tcBorders>
            <w:noWrap/>
            <w:vAlign w:val="center"/>
          </w:tcPr>
          <w:p>
            <w:pPr>
              <w:spacing w:line="360" w:lineRule="auto"/>
              <w:jc w:val="center"/>
              <w:rPr>
                <w:rFonts w:ascii="宋体" w:hAnsi="宋体"/>
                <w:szCs w:val="18"/>
              </w:rPr>
            </w:pPr>
          </w:p>
        </w:tc>
        <w:tc>
          <w:tcPr>
            <w:tcW w:w="550"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szCs w:val="18"/>
              </w:rPr>
            </w:pPr>
          </w:p>
        </w:tc>
        <w:tc>
          <w:tcPr>
            <w:tcW w:w="635" w:type="dxa"/>
            <w:gridSpan w:val="2"/>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szCs w:val="18"/>
              </w:rPr>
            </w:pPr>
          </w:p>
        </w:tc>
        <w:tc>
          <w:tcPr>
            <w:tcW w:w="693"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szCs w:val="18"/>
              </w:rPr>
            </w:pPr>
          </w:p>
        </w:tc>
        <w:tc>
          <w:tcPr>
            <w:tcW w:w="540" w:type="dxa"/>
            <w:gridSpan w:val="2"/>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szCs w:val="18"/>
              </w:rPr>
            </w:pPr>
          </w:p>
        </w:tc>
        <w:tc>
          <w:tcPr>
            <w:tcW w:w="633" w:type="dxa"/>
            <w:tcBorders>
              <w:top w:val="single" w:color="auto" w:sz="4" w:space="0"/>
              <w:left w:val="single" w:color="auto" w:sz="6" w:space="0"/>
              <w:bottom w:val="single" w:color="auto" w:sz="4" w:space="0"/>
              <w:right w:val="single" w:color="auto" w:sz="4" w:space="0"/>
            </w:tcBorders>
            <w:noWrap/>
            <w:vAlign w:val="center"/>
          </w:tcPr>
          <w:p>
            <w:pPr>
              <w:spacing w:line="360" w:lineRule="auto"/>
              <w:jc w:val="center"/>
              <w:rPr>
                <w:rFonts w:ascii="宋体" w:hAnsi="宋体"/>
                <w:szCs w:val="18"/>
              </w:rPr>
            </w:pPr>
          </w:p>
        </w:tc>
        <w:tc>
          <w:tcPr>
            <w:tcW w:w="677"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szCs w:val="18"/>
              </w:rPr>
            </w:pPr>
          </w:p>
        </w:tc>
        <w:tc>
          <w:tcPr>
            <w:tcW w:w="1215" w:type="dxa"/>
            <w:tcBorders>
              <w:top w:val="single" w:color="auto" w:sz="4" w:space="0"/>
              <w:left w:val="single" w:color="auto" w:sz="6" w:space="0"/>
              <w:bottom w:val="single" w:color="auto" w:sz="4" w:space="0"/>
              <w:right w:val="single" w:color="auto" w:sz="12" w:space="0"/>
            </w:tcBorders>
            <w:noWrap/>
            <w:vAlign w:val="center"/>
          </w:tcPr>
          <w:p>
            <w:pPr>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8" w:hRule="atLeast"/>
          <w:jc w:val="center"/>
        </w:trPr>
        <w:tc>
          <w:tcPr>
            <w:tcW w:w="688" w:type="dxa"/>
            <w:vMerge w:val="continue"/>
            <w:tcBorders>
              <w:left w:val="single" w:color="auto" w:sz="12" w:space="0"/>
              <w:bottom w:val="single" w:color="auto" w:sz="6" w:space="0"/>
              <w:right w:val="single" w:color="auto" w:sz="6" w:space="0"/>
            </w:tcBorders>
            <w:noWrap/>
            <w:vAlign w:val="center"/>
          </w:tcPr>
          <w:p>
            <w:pPr>
              <w:widowControl/>
              <w:jc w:val="left"/>
              <w:rPr>
                <w:rFonts w:ascii="宋体" w:hAnsi="宋体"/>
                <w:szCs w:val="18"/>
              </w:rPr>
            </w:pPr>
          </w:p>
        </w:tc>
        <w:tc>
          <w:tcPr>
            <w:tcW w:w="3087" w:type="dxa"/>
            <w:gridSpan w:val="4"/>
            <w:tcBorders>
              <w:top w:val="single" w:color="auto" w:sz="4"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cs="宋体"/>
                <w:kern w:val="0"/>
                <w:szCs w:val="18"/>
              </w:rPr>
              <w:t>小计</w:t>
            </w:r>
          </w:p>
        </w:tc>
        <w:tc>
          <w:tcPr>
            <w:tcW w:w="666" w:type="dxa"/>
            <w:tcBorders>
              <w:top w:val="single" w:color="auto" w:sz="4" w:space="0"/>
              <w:left w:val="single" w:color="auto" w:sz="6" w:space="0"/>
              <w:bottom w:val="single" w:color="auto" w:sz="4" w:space="0"/>
              <w:right w:val="single" w:color="auto" w:sz="6" w:space="0"/>
            </w:tcBorders>
            <w:noWrap/>
            <w:vAlign w:val="center"/>
          </w:tcPr>
          <w:p>
            <w:pPr>
              <w:widowControl/>
              <w:spacing w:line="360" w:lineRule="auto"/>
              <w:jc w:val="center"/>
              <w:rPr>
                <w:rFonts w:ascii="宋体" w:hAnsi="宋体"/>
                <w:szCs w:val="18"/>
              </w:rPr>
            </w:pPr>
            <w:r>
              <w:rPr>
                <w:rFonts w:ascii="宋体"/>
                <w:szCs w:val="18"/>
              </w:rPr>
              <w:t>360</w:t>
            </w:r>
          </w:p>
        </w:tc>
        <w:tc>
          <w:tcPr>
            <w:tcW w:w="550"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szCs w:val="18"/>
              </w:rPr>
            </w:pPr>
          </w:p>
        </w:tc>
        <w:tc>
          <w:tcPr>
            <w:tcW w:w="635" w:type="dxa"/>
            <w:gridSpan w:val="2"/>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szCs w:val="18"/>
              </w:rPr>
            </w:pPr>
          </w:p>
        </w:tc>
        <w:tc>
          <w:tcPr>
            <w:tcW w:w="693"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szCs w:val="18"/>
              </w:rPr>
            </w:pPr>
          </w:p>
        </w:tc>
        <w:tc>
          <w:tcPr>
            <w:tcW w:w="540" w:type="dxa"/>
            <w:gridSpan w:val="2"/>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szCs w:val="18"/>
              </w:rPr>
            </w:pPr>
          </w:p>
        </w:tc>
        <w:tc>
          <w:tcPr>
            <w:tcW w:w="633" w:type="dxa"/>
            <w:tcBorders>
              <w:top w:val="single" w:color="auto" w:sz="4" w:space="0"/>
              <w:left w:val="single" w:color="auto" w:sz="6" w:space="0"/>
              <w:bottom w:val="single" w:color="auto" w:sz="4" w:space="0"/>
              <w:right w:val="single" w:color="auto" w:sz="4" w:space="0"/>
            </w:tcBorders>
            <w:noWrap/>
            <w:vAlign w:val="center"/>
          </w:tcPr>
          <w:p>
            <w:pPr>
              <w:widowControl/>
              <w:spacing w:line="360" w:lineRule="auto"/>
              <w:jc w:val="center"/>
              <w:rPr>
                <w:rFonts w:ascii="宋体" w:hAnsi="宋体"/>
                <w:szCs w:val="18"/>
              </w:rPr>
            </w:pPr>
            <w:r>
              <w:rPr>
                <w:rFonts w:ascii="宋体" w:hAnsi="宋体" w:eastAsia="宋体"/>
                <w:szCs w:val="18"/>
              </w:rPr>
              <w:t>360</w:t>
            </w:r>
          </w:p>
        </w:tc>
        <w:tc>
          <w:tcPr>
            <w:tcW w:w="677" w:type="dxa"/>
            <w:tcBorders>
              <w:top w:val="single" w:color="auto" w:sz="4" w:space="0"/>
              <w:left w:val="single" w:color="auto" w:sz="4" w:space="0"/>
              <w:bottom w:val="single" w:color="auto" w:sz="4" w:space="0"/>
              <w:right w:val="single" w:color="auto" w:sz="6" w:space="0"/>
            </w:tcBorders>
            <w:noWrap/>
            <w:vAlign w:val="center"/>
          </w:tcPr>
          <w:p>
            <w:pPr>
              <w:widowControl/>
              <w:spacing w:line="360" w:lineRule="auto"/>
              <w:jc w:val="center"/>
              <w:rPr>
                <w:rFonts w:ascii="宋体" w:hAnsi="宋体"/>
                <w:szCs w:val="18"/>
              </w:rPr>
            </w:pPr>
          </w:p>
        </w:tc>
        <w:tc>
          <w:tcPr>
            <w:tcW w:w="1215" w:type="dxa"/>
            <w:tcBorders>
              <w:top w:val="single" w:color="auto" w:sz="4" w:space="0"/>
              <w:left w:val="single" w:color="auto" w:sz="6" w:space="0"/>
              <w:bottom w:val="single" w:color="auto" w:sz="4" w:space="0"/>
              <w:right w:val="single" w:color="auto" w:sz="12" w:space="0"/>
            </w:tcBorders>
            <w:noWrap/>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8" w:type="dxa"/>
            <w:vMerge w:val="restart"/>
            <w:tcBorders>
              <w:top w:val="single" w:color="auto" w:sz="6" w:space="0"/>
              <w:left w:val="single" w:color="auto" w:sz="12" w:space="0"/>
              <w:right w:val="single" w:color="auto" w:sz="6" w:space="0"/>
            </w:tcBorders>
            <w:noWrap/>
            <w:textDirection w:val="tbRlV"/>
            <w:vAlign w:val="center"/>
          </w:tcPr>
          <w:p>
            <w:pPr>
              <w:widowControl/>
              <w:ind w:left="113" w:right="113"/>
              <w:jc w:val="center"/>
              <w:rPr>
                <w:rFonts w:ascii="宋体" w:hAnsi="宋体"/>
                <w:b/>
                <w:szCs w:val="18"/>
              </w:rPr>
            </w:pPr>
            <w:r>
              <w:rPr>
                <w:rFonts w:hint="eastAsia" w:ascii="宋体" w:hAnsi="宋体"/>
                <w:b/>
                <w:szCs w:val="18"/>
              </w:rPr>
              <w:t>实习实训</w:t>
            </w: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kern w:val="0"/>
                <w:szCs w:val="18"/>
              </w:rPr>
            </w:pPr>
            <w:r>
              <w:rPr>
                <w:rFonts w:hint="eastAsia" w:ascii="宋体" w:hAnsi="宋体" w:cs="宋体"/>
                <w:kern w:val="0"/>
                <w:szCs w:val="18"/>
              </w:rPr>
              <w:t>入学教育</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C</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18</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r>
              <w:rPr>
                <w:rFonts w:hint="eastAsia" w:ascii="宋体" w:hAnsi="宋体"/>
                <w:szCs w:val="18"/>
              </w:rPr>
              <w:t>18</w:t>
            </w:r>
          </w:p>
        </w:tc>
        <w:tc>
          <w:tcPr>
            <w:tcW w:w="62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705" w:type="dxa"/>
            <w:gridSpan w:val="3"/>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534"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633"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677"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szCs w:val="18"/>
              </w:rPr>
            </w:pPr>
            <w:r>
              <w:rPr>
                <w:rFonts w:hint="eastAsia" w:ascii="宋体" w:hAnsi="宋体"/>
                <w:szCs w:val="18"/>
              </w:rPr>
              <w:t>新生入学第1周进行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8" w:type="dxa"/>
            <w:vMerge w:val="continue"/>
            <w:tcBorders>
              <w:left w:val="single" w:color="auto" w:sz="12" w:space="0"/>
              <w:right w:val="single" w:color="auto" w:sz="6" w:space="0"/>
            </w:tcBorders>
            <w:noWrap/>
            <w:vAlign w:val="center"/>
          </w:tcPr>
          <w:p>
            <w:pPr>
              <w:widowControl/>
              <w:jc w:val="left"/>
              <w:rPr>
                <w:rFonts w:ascii="宋体" w:hAnsi="宋体"/>
                <w:szCs w:val="18"/>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kern w:val="0"/>
                <w:szCs w:val="18"/>
              </w:rPr>
            </w:pPr>
            <w:r>
              <w:rPr>
                <w:rFonts w:hint="eastAsia" w:ascii="宋体" w:hAnsi="宋体" w:cs="宋体"/>
                <w:kern w:val="0"/>
                <w:szCs w:val="18"/>
              </w:rPr>
              <w:t>军事教育</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C</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36</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r>
              <w:rPr>
                <w:rFonts w:hint="eastAsia" w:ascii="宋体" w:hAnsi="宋体"/>
                <w:szCs w:val="18"/>
              </w:rPr>
              <w:t>36</w:t>
            </w:r>
          </w:p>
        </w:tc>
        <w:tc>
          <w:tcPr>
            <w:tcW w:w="62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705" w:type="dxa"/>
            <w:gridSpan w:val="3"/>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534"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633"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677"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szCs w:val="18"/>
              </w:rPr>
            </w:pPr>
            <w:r>
              <w:rPr>
                <w:rFonts w:hint="eastAsia" w:ascii="宋体" w:hAnsi="宋体"/>
                <w:szCs w:val="18"/>
              </w:rPr>
              <w:t>入学第1—2周进行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8" w:type="dxa"/>
            <w:vMerge w:val="continue"/>
            <w:tcBorders>
              <w:left w:val="single" w:color="auto" w:sz="12" w:space="0"/>
              <w:right w:val="single" w:color="auto" w:sz="6" w:space="0"/>
            </w:tcBorders>
            <w:noWrap/>
            <w:vAlign w:val="center"/>
          </w:tcPr>
          <w:p>
            <w:pPr>
              <w:widowControl/>
              <w:jc w:val="left"/>
              <w:rPr>
                <w:rFonts w:ascii="宋体" w:hAnsi="宋体"/>
                <w:szCs w:val="18"/>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kern w:val="0"/>
                <w:szCs w:val="18"/>
              </w:rPr>
            </w:pPr>
            <w:r>
              <w:rPr>
                <w:rFonts w:hint="eastAsia" w:ascii="宋体" w:hAnsi="宋体" w:cs="宋体"/>
                <w:kern w:val="0"/>
                <w:szCs w:val="18"/>
              </w:rPr>
              <w:t>社会实践</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C</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36</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62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705" w:type="dxa"/>
            <w:gridSpan w:val="3"/>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eastAsia="宋体"/>
                <w:szCs w:val="18"/>
              </w:rPr>
            </w:pPr>
            <w:r>
              <w:rPr>
                <w:rFonts w:hint="eastAsia" w:ascii="宋体" w:hAnsi="宋体"/>
                <w:szCs w:val="18"/>
              </w:rPr>
              <w:t>36</w:t>
            </w:r>
          </w:p>
        </w:tc>
        <w:tc>
          <w:tcPr>
            <w:tcW w:w="534"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633"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677"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szCs w:val="21"/>
              </w:rPr>
            </w:pPr>
            <w:r>
              <w:rPr>
                <w:rFonts w:hint="eastAsia" w:ascii="宋体" w:hAnsi="宋体"/>
                <w:bCs/>
                <w:szCs w:val="21"/>
              </w:rPr>
              <w:t>融入勤工助学、社会调查等活动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8" w:type="dxa"/>
            <w:vMerge w:val="continue"/>
            <w:tcBorders>
              <w:left w:val="single" w:color="auto" w:sz="12" w:space="0"/>
              <w:right w:val="single" w:color="auto" w:sz="6" w:space="0"/>
            </w:tcBorders>
            <w:noWrap/>
            <w:vAlign w:val="center"/>
          </w:tcPr>
          <w:p>
            <w:pPr>
              <w:widowControl/>
              <w:jc w:val="left"/>
              <w:rPr>
                <w:rFonts w:ascii="宋体" w:hAnsi="宋体"/>
                <w:szCs w:val="18"/>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kern w:val="0"/>
                <w:szCs w:val="18"/>
              </w:rPr>
            </w:pPr>
            <w:r>
              <w:rPr>
                <w:rFonts w:hint="eastAsia" w:ascii="宋体" w:hAnsi="宋体" w:cs="宋体"/>
                <w:kern w:val="0"/>
                <w:szCs w:val="18"/>
              </w:rPr>
              <w:t>假期社会实践</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C</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eastAsia="宋体"/>
                <w:szCs w:val="18"/>
              </w:rPr>
            </w:pPr>
            <w:r>
              <w:rPr>
                <w:rFonts w:hint="eastAsia" w:ascii="宋体" w:hAnsi="宋体"/>
                <w:szCs w:val="18"/>
              </w:rPr>
              <w:t>36</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62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eastAsia="宋体"/>
                <w:szCs w:val="18"/>
              </w:rPr>
            </w:pPr>
          </w:p>
        </w:tc>
        <w:tc>
          <w:tcPr>
            <w:tcW w:w="705" w:type="dxa"/>
            <w:gridSpan w:val="3"/>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534"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eastAsia="宋体"/>
                <w:szCs w:val="18"/>
              </w:rPr>
            </w:pPr>
          </w:p>
        </w:tc>
        <w:tc>
          <w:tcPr>
            <w:tcW w:w="633"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677"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eastAsia="宋体"/>
                <w:szCs w:val="18"/>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szCs w:val="18"/>
              </w:rPr>
            </w:pPr>
            <w:r>
              <w:rPr>
                <w:rFonts w:hint="eastAsia" w:ascii="宋体" w:hAnsi="宋体"/>
                <w:szCs w:val="18"/>
              </w:rPr>
              <w:t>假期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8" w:type="dxa"/>
            <w:vMerge w:val="continue"/>
            <w:tcBorders>
              <w:left w:val="single" w:color="auto" w:sz="12" w:space="0"/>
              <w:right w:val="single" w:color="auto" w:sz="6" w:space="0"/>
            </w:tcBorders>
            <w:noWrap/>
            <w:vAlign w:val="center"/>
          </w:tcPr>
          <w:p>
            <w:pPr>
              <w:widowControl/>
              <w:jc w:val="left"/>
              <w:rPr>
                <w:rFonts w:ascii="宋体" w:hAnsi="宋体"/>
                <w:szCs w:val="18"/>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kern w:val="0"/>
                <w:szCs w:val="18"/>
              </w:rPr>
            </w:pPr>
            <w:r>
              <w:rPr>
                <w:rFonts w:hint="eastAsia" w:ascii="宋体" w:hAnsi="宋体" w:cs="宋体"/>
                <w:kern w:val="0"/>
                <w:szCs w:val="18"/>
              </w:rPr>
              <w:t>顶岗实习</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C</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eastAsia="宋体"/>
                <w:szCs w:val="21"/>
              </w:rPr>
            </w:pPr>
            <w:r>
              <w:rPr>
                <w:rFonts w:hint="eastAsia" w:ascii="宋体" w:hAnsi="宋体"/>
                <w:szCs w:val="21"/>
              </w:rPr>
              <w:t>288</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62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705" w:type="dxa"/>
            <w:gridSpan w:val="3"/>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534"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633"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21"/>
              </w:rPr>
            </w:pPr>
          </w:p>
        </w:tc>
        <w:tc>
          <w:tcPr>
            <w:tcW w:w="677"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eastAsia="宋体"/>
                <w:szCs w:val="18"/>
              </w:rPr>
            </w:pPr>
            <w:r>
              <w:rPr>
                <w:rFonts w:hint="eastAsia" w:ascii="宋体" w:hAnsi="宋体"/>
                <w:szCs w:val="21"/>
              </w:rPr>
              <w:t>288</w:t>
            </w: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szCs w:val="18"/>
              </w:rPr>
            </w:pPr>
            <w:r>
              <w:rPr>
                <w:rFonts w:ascii="宋体" w:hAnsi="宋体"/>
                <w:szCs w:val="18"/>
              </w:rPr>
              <w:t>顶岗实习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8" w:type="dxa"/>
            <w:vMerge w:val="continue"/>
            <w:tcBorders>
              <w:left w:val="single" w:color="auto" w:sz="12" w:space="0"/>
              <w:right w:val="single" w:color="auto" w:sz="6" w:space="0"/>
            </w:tcBorders>
            <w:noWrap/>
            <w:vAlign w:val="center"/>
          </w:tcPr>
          <w:p>
            <w:pPr>
              <w:widowControl/>
              <w:jc w:val="left"/>
              <w:rPr>
                <w:rFonts w:ascii="宋体" w:hAnsi="宋体"/>
                <w:szCs w:val="18"/>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kern w:val="0"/>
                <w:szCs w:val="18"/>
              </w:rPr>
            </w:pPr>
            <w:r>
              <w:rPr>
                <w:rFonts w:hint="eastAsia" w:ascii="宋体" w:hAnsi="宋体" w:cs="宋体"/>
                <w:kern w:val="0"/>
                <w:szCs w:val="18"/>
              </w:rPr>
              <w:t>毕业设计</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s="宋体"/>
                <w:kern w:val="0"/>
                <w:szCs w:val="18"/>
              </w:rPr>
            </w:pPr>
            <w:r>
              <w:rPr>
                <w:rFonts w:hint="eastAsia" w:ascii="宋体" w:hAnsi="宋体" w:cs="宋体"/>
                <w:kern w:val="0"/>
                <w:szCs w:val="18"/>
              </w:rPr>
              <w:t>必修</w:t>
            </w: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B</w:t>
            </w: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r>
              <w:rPr>
                <w:rFonts w:hint="eastAsia" w:ascii="宋体" w:hAnsi="宋体"/>
                <w:szCs w:val="18"/>
              </w:rPr>
              <w:t>36</w:t>
            </w: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62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705" w:type="dxa"/>
            <w:gridSpan w:val="3"/>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534"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633"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677"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eastAsia="宋体"/>
                <w:szCs w:val="18"/>
              </w:rPr>
            </w:pPr>
            <w:r>
              <w:rPr>
                <w:rFonts w:hint="eastAsia" w:ascii="宋体" w:hAnsi="宋体"/>
                <w:szCs w:val="18"/>
              </w:rPr>
              <w:t>36</w:t>
            </w: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szCs w:val="18"/>
              </w:rPr>
            </w:pPr>
            <w:r>
              <w:rPr>
                <w:rFonts w:hint="eastAsia" w:ascii="宋体" w:hAnsi="宋体"/>
                <w:szCs w:val="18"/>
              </w:rPr>
              <w:t>实践24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8" w:type="dxa"/>
            <w:vMerge w:val="continue"/>
            <w:tcBorders>
              <w:left w:val="single" w:color="auto" w:sz="12" w:space="0"/>
              <w:right w:val="single" w:color="auto" w:sz="6" w:space="0"/>
            </w:tcBorders>
            <w:noWrap/>
            <w:vAlign w:val="center"/>
          </w:tcPr>
          <w:p>
            <w:pPr>
              <w:widowControl/>
              <w:jc w:val="left"/>
              <w:rPr>
                <w:rFonts w:ascii="宋体" w:hAnsi="宋体"/>
                <w:szCs w:val="18"/>
              </w:rPr>
            </w:pPr>
          </w:p>
        </w:tc>
        <w:tc>
          <w:tcPr>
            <w:tcW w:w="1737" w:type="dxa"/>
            <w:gridSpan w:val="2"/>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s="宋体"/>
                <w:kern w:val="0"/>
                <w:szCs w:val="18"/>
              </w:rPr>
            </w:pP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s="宋体"/>
                <w:kern w:val="0"/>
                <w:szCs w:val="18"/>
              </w:rPr>
            </w:pP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550"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629"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705" w:type="dxa"/>
            <w:gridSpan w:val="3"/>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534"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633" w:type="dxa"/>
            <w:tcBorders>
              <w:top w:val="single" w:color="auto" w:sz="6" w:space="0"/>
              <w:left w:val="single" w:color="auto" w:sz="6" w:space="0"/>
              <w:bottom w:val="single" w:color="auto" w:sz="6" w:space="0"/>
              <w:right w:val="single" w:color="auto" w:sz="4" w:space="0"/>
            </w:tcBorders>
            <w:noWrap/>
            <w:vAlign w:val="center"/>
          </w:tcPr>
          <w:p>
            <w:pPr>
              <w:widowControl/>
              <w:spacing w:line="360" w:lineRule="auto"/>
              <w:jc w:val="center"/>
              <w:rPr>
                <w:rFonts w:ascii="宋体" w:hAnsi="宋体"/>
                <w:szCs w:val="18"/>
              </w:rPr>
            </w:pPr>
          </w:p>
        </w:tc>
        <w:tc>
          <w:tcPr>
            <w:tcW w:w="677" w:type="dxa"/>
            <w:tcBorders>
              <w:top w:val="single" w:color="auto" w:sz="6" w:space="0"/>
              <w:left w:val="single" w:color="auto" w:sz="4"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8" w:type="dxa"/>
            <w:vMerge w:val="continue"/>
            <w:tcBorders>
              <w:left w:val="single" w:color="auto" w:sz="12"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1737" w:type="dxa"/>
            <w:gridSpan w:val="2"/>
            <w:tcBorders>
              <w:top w:val="single" w:color="auto" w:sz="6" w:space="0"/>
              <w:left w:val="single" w:color="auto" w:sz="12" w:space="0"/>
              <w:bottom w:val="single" w:color="auto" w:sz="6" w:space="0"/>
              <w:right w:val="single" w:color="auto" w:sz="6" w:space="0"/>
            </w:tcBorders>
            <w:noWrap/>
            <w:vAlign w:val="center"/>
          </w:tcPr>
          <w:p>
            <w:pPr>
              <w:widowControl/>
              <w:spacing w:line="240" w:lineRule="exact"/>
              <w:jc w:val="center"/>
            </w:pPr>
            <w:r>
              <w:rPr>
                <w:rFonts w:hint="eastAsia" w:ascii="宋体" w:hAnsi="宋体" w:cs="宋体"/>
                <w:kern w:val="0"/>
                <w:szCs w:val="18"/>
              </w:rPr>
              <w:t>小计</w:t>
            </w:r>
          </w:p>
        </w:tc>
        <w:tc>
          <w:tcPr>
            <w:tcW w:w="91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44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18"/>
              </w:rPr>
            </w:pPr>
          </w:p>
        </w:tc>
        <w:tc>
          <w:tcPr>
            <w:tcW w:w="666"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szCs w:val="21"/>
              </w:rPr>
            </w:pPr>
            <w:r>
              <w:rPr>
                <w:rFonts w:hint="eastAsia" w:ascii="宋体" w:hAnsi="宋体"/>
                <w:szCs w:val="18"/>
              </w:rPr>
              <w:t>450</w:t>
            </w:r>
          </w:p>
        </w:tc>
        <w:tc>
          <w:tcPr>
            <w:tcW w:w="550"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18"/>
              </w:rPr>
              <w:t>54</w:t>
            </w:r>
          </w:p>
        </w:tc>
        <w:tc>
          <w:tcPr>
            <w:tcW w:w="629" w:type="dxa"/>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000000" w:themeColor="text1"/>
                <w:szCs w:val="21"/>
              </w:rPr>
            </w:pPr>
          </w:p>
        </w:tc>
        <w:tc>
          <w:tcPr>
            <w:tcW w:w="705" w:type="dxa"/>
            <w:gridSpan w:val="3"/>
            <w:tcBorders>
              <w:top w:val="single" w:color="auto" w:sz="6" w:space="0"/>
              <w:left w:val="single" w:color="auto" w:sz="6" w:space="0"/>
              <w:bottom w:val="single" w:color="auto" w:sz="6" w:space="0"/>
              <w:right w:val="single" w:color="auto" w:sz="6"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18"/>
              </w:rPr>
              <w:t>36</w:t>
            </w:r>
          </w:p>
        </w:tc>
        <w:tc>
          <w:tcPr>
            <w:tcW w:w="534" w:type="dxa"/>
            <w:tcBorders>
              <w:top w:val="single" w:color="auto" w:sz="6" w:space="0"/>
              <w:left w:val="single" w:color="auto" w:sz="6" w:space="0"/>
              <w:bottom w:val="single" w:color="auto" w:sz="6" w:space="0"/>
              <w:right w:val="single" w:color="auto" w:sz="6" w:space="0"/>
            </w:tcBorders>
            <w:noWrap/>
          </w:tcPr>
          <w:p>
            <w:pPr>
              <w:widowControl/>
              <w:spacing w:line="360" w:lineRule="exact"/>
              <w:jc w:val="center"/>
              <w:rPr>
                <w:rFonts w:ascii="宋体" w:hAnsi="宋体"/>
                <w:color w:val="000000" w:themeColor="text1"/>
                <w:szCs w:val="21"/>
              </w:rPr>
            </w:pPr>
          </w:p>
        </w:tc>
        <w:tc>
          <w:tcPr>
            <w:tcW w:w="633" w:type="dxa"/>
            <w:tcBorders>
              <w:top w:val="single" w:color="auto" w:sz="6" w:space="0"/>
              <w:left w:val="single" w:color="auto" w:sz="6" w:space="0"/>
              <w:bottom w:val="single" w:color="auto" w:sz="6" w:space="0"/>
              <w:right w:val="single" w:color="auto" w:sz="6" w:space="0"/>
            </w:tcBorders>
            <w:noWrap/>
          </w:tcPr>
          <w:p>
            <w:pPr>
              <w:widowControl/>
              <w:spacing w:line="360" w:lineRule="exact"/>
              <w:jc w:val="center"/>
              <w:rPr>
                <w:rFonts w:ascii="宋体" w:hAnsi="宋体"/>
                <w:color w:val="000000" w:themeColor="text1"/>
                <w:szCs w:val="21"/>
              </w:rPr>
            </w:pPr>
          </w:p>
        </w:tc>
        <w:tc>
          <w:tcPr>
            <w:tcW w:w="677" w:type="dxa"/>
            <w:tcBorders>
              <w:top w:val="single" w:color="auto" w:sz="6" w:space="0"/>
              <w:left w:val="single" w:color="auto" w:sz="6" w:space="0"/>
              <w:bottom w:val="single" w:color="auto" w:sz="6" w:space="0"/>
              <w:right w:val="single" w:color="auto" w:sz="6" w:space="0"/>
            </w:tcBorders>
            <w:noWrap/>
            <w:vAlign w:val="center"/>
          </w:tcPr>
          <w:p>
            <w:pPr>
              <w:widowControl/>
              <w:spacing w:line="240" w:lineRule="exact"/>
              <w:jc w:val="center"/>
              <w:rPr>
                <w:rFonts w:ascii="宋体" w:hAnsi="宋体"/>
                <w:color w:val="000000" w:themeColor="text1"/>
                <w:szCs w:val="21"/>
              </w:rPr>
            </w:pPr>
            <w:r>
              <w:rPr>
                <w:rFonts w:hint="eastAsia" w:ascii="宋体" w:hAnsi="宋体"/>
                <w:color w:val="000000" w:themeColor="text1"/>
                <w:szCs w:val="18"/>
              </w:rPr>
              <w:t>324</w:t>
            </w:r>
          </w:p>
        </w:tc>
        <w:tc>
          <w:tcPr>
            <w:tcW w:w="1215" w:type="dxa"/>
            <w:tcBorders>
              <w:top w:val="single" w:color="auto" w:sz="6" w:space="0"/>
              <w:left w:val="single" w:color="auto" w:sz="6" w:space="0"/>
              <w:bottom w:val="single" w:color="auto" w:sz="6" w:space="0"/>
              <w:right w:val="single" w:color="auto" w:sz="12" w:space="0"/>
            </w:tcBorders>
            <w:noWrap/>
            <w:vAlign w:val="center"/>
          </w:tcPr>
          <w:p>
            <w:pPr>
              <w:widowControl/>
              <w:spacing w:line="240" w:lineRule="exact"/>
              <w:jc w:val="center"/>
              <w:rPr>
                <w:rFonts w:ascii="宋体" w:hAnsi="宋体"/>
                <w:color w:val="000000" w:themeColor="text1"/>
                <w:szCs w:val="18"/>
              </w:rPr>
            </w:pPr>
            <w:r>
              <w:rPr>
                <w:rFonts w:hint="eastAsia" w:ascii="宋体" w:hAnsi="宋体"/>
                <w:color w:val="000000" w:themeColor="text1"/>
                <w:szCs w:val="18"/>
              </w:rPr>
              <w:t>实践438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2425" w:type="dxa"/>
            <w:gridSpan w:val="3"/>
            <w:tcBorders>
              <w:top w:val="single" w:color="auto" w:sz="6" w:space="0"/>
              <w:left w:val="single" w:color="auto" w:sz="12" w:space="0"/>
              <w:bottom w:val="single" w:color="auto" w:sz="6" w:space="0"/>
              <w:right w:val="single" w:color="auto" w:sz="6" w:space="0"/>
            </w:tcBorders>
            <w:noWrap/>
            <w:vAlign w:val="center"/>
          </w:tcPr>
          <w:p>
            <w:pPr>
              <w:widowControl/>
              <w:spacing w:line="240" w:lineRule="exact"/>
              <w:jc w:val="center"/>
              <w:rPr>
                <w:rFonts w:ascii="宋体" w:hAnsi="宋体"/>
                <w:szCs w:val="18"/>
              </w:rPr>
            </w:pPr>
            <w:r>
              <w:rPr>
                <w:rFonts w:hint="eastAsia" w:ascii="宋体" w:hAnsi="宋体"/>
                <w:szCs w:val="18"/>
              </w:rPr>
              <w:t>合   计</w:t>
            </w:r>
          </w:p>
        </w:tc>
        <w:tc>
          <w:tcPr>
            <w:tcW w:w="910" w:type="dxa"/>
            <w:noWrap/>
            <w:vAlign w:val="center"/>
          </w:tcPr>
          <w:p>
            <w:pPr>
              <w:widowControl/>
              <w:spacing w:line="360" w:lineRule="auto"/>
              <w:jc w:val="center"/>
            </w:pPr>
          </w:p>
        </w:tc>
        <w:tc>
          <w:tcPr>
            <w:tcW w:w="440" w:type="dxa"/>
            <w:noWrap/>
            <w:vAlign w:val="center"/>
          </w:tcPr>
          <w:p>
            <w:pPr>
              <w:widowControl/>
              <w:spacing w:line="360" w:lineRule="auto"/>
              <w:jc w:val="center"/>
            </w:pPr>
          </w:p>
        </w:tc>
        <w:tc>
          <w:tcPr>
            <w:tcW w:w="666" w:type="dxa"/>
            <w:noWrap/>
            <w:vAlign w:val="center"/>
          </w:tcPr>
          <w:p>
            <w:pPr>
              <w:widowControl/>
              <w:spacing w:line="360" w:lineRule="auto"/>
              <w:jc w:val="center"/>
              <w:rPr>
                <w:rFonts w:ascii="宋体" w:hAnsi="宋体" w:eastAsia="宋体"/>
                <w:color w:val="000000" w:themeColor="text1"/>
                <w:szCs w:val="18"/>
              </w:rPr>
            </w:pPr>
            <w:r>
              <w:rPr>
                <w:rFonts w:hint="eastAsia" w:ascii="宋体" w:hAnsi="宋体"/>
                <w:color w:val="000000" w:themeColor="text1"/>
                <w:sz w:val="18"/>
                <w:szCs w:val="18"/>
              </w:rPr>
              <w:t>2686</w:t>
            </w:r>
          </w:p>
        </w:tc>
        <w:tc>
          <w:tcPr>
            <w:tcW w:w="550" w:type="dxa"/>
            <w:noWrap/>
            <w:vAlign w:val="center"/>
          </w:tcPr>
          <w:p>
            <w:pPr>
              <w:widowControl/>
              <w:spacing w:line="360" w:lineRule="exact"/>
              <w:jc w:val="center"/>
              <w:rPr>
                <w:rFonts w:ascii="宋体" w:hAnsi="宋体"/>
                <w:color w:val="000000" w:themeColor="text1"/>
                <w:szCs w:val="21"/>
              </w:rPr>
            </w:pPr>
            <w:r>
              <w:rPr>
                <w:rFonts w:hint="eastAsia" w:ascii="宋体" w:hAnsi="宋体"/>
                <w:color w:val="000000" w:themeColor="text1"/>
                <w:szCs w:val="21"/>
              </w:rPr>
              <w:t>497</w:t>
            </w:r>
          </w:p>
        </w:tc>
        <w:tc>
          <w:tcPr>
            <w:tcW w:w="629" w:type="dxa"/>
            <w:noWrap/>
            <w:vAlign w:val="center"/>
          </w:tcPr>
          <w:p>
            <w:pPr>
              <w:widowControl/>
              <w:spacing w:line="360" w:lineRule="exact"/>
              <w:jc w:val="center"/>
              <w:rPr>
                <w:rFonts w:ascii="宋体" w:hAnsi="宋体"/>
                <w:color w:val="000000" w:themeColor="text1"/>
                <w:szCs w:val="21"/>
              </w:rPr>
            </w:pPr>
            <w:r>
              <w:rPr>
                <w:rFonts w:hint="eastAsia" w:ascii="宋体" w:hAnsi="宋体"/>
                <w:color w:val="000000" w:themeColor="text1"/>
                <w:szCs w:val="21"/>
              </w:rPr>
              <w:t>495</w:t>
            </w:r>
          </w:p>
        </w:tc>
        <w:tc>
          <w:tcPr>
            <w:tcW w:w="705" w:type="dxa"/>
            <w:gridSpan w:val="3"/>
            <w:noWrap/>
            <w:vAlign w:val="center"/>
          </w:tcPr>
          <w:p>
            <w:pPr>
              <w:widowControl/>
              <w:spacing w:line="360" w:lineRule="exact"/>
              <w:jc w:val="center"/>
              <w:rPr>
                <w:rFonts w:ascii="宋体" w:hAnsi="宋体"/>
                <w:color w:val="000000" w:themeColor="text1"/>
                <w:szCs w:val="21"/>
              </w:rPr>
            </w:pPr>
            <w:r>
              <w:rPr>
                <w:rFonts w:hint="eastAsia" w:ascii="宋体" w:hAnsi="宋体"/>
                <w:color w:val="000000" w:themeColor="text1"/>
                <w:szCs w:val="21"/>
              </w:rPr>
              <w:t>479</w:t>
            </w:r>
          </w:p>
        </w:tc>
        <w:tc>
          <w:tcPr>
            <w:tcW w:w="534" w:type="dxa"/>
            <w:noWrap/>
            <w:vAlign w:val="center"/>
          </w:tcPr>
          <w:p>
            <w:pPr>
              <w:widowControl/>
              <w:spacing w:line="360" w:lineRule="exact"/>
              <w:jc w:val="center"/>
              <w:rPr>
                <w:rFonts w:ascii="宋体" w:hAnsi="宋体"/>
                <w:color w:val="000000" w:themeColor="text1"/>
                <w:szCs w:val="21"/>
              </w:rPr>
            </w:pPr>
            <w:r>
              <w:rPr>
                <w:rFonts w:hint="eastAsia" w:ascii="宋体" w:hAnsi="宋体"/>
                <w:color w:val="000000" w:themeColor="text1"/>
                <w:szCs w:val="21"/>
              </w:rPr>
              <w:t>495</w:t>
            </w:r>
          </w:p>
        </w:tc>
        <w:tc>
          <w:tcPr>
            <w:tcW w:w="633" w:type="dxa"/>
            <w:noWrap/>
            <w:vAlign w:val="center"/>
          </w:tcPr>
          <w:p>
            <w:pPr>
              <w:widowControl/>
              <w:spacing w:line="360" w:lineRule="exact"/>
              <w:rPr>
                <w:rFonts w:ascii="宋体" w:hAnsi="宋体"/>
                <w:color w:val="000000" w:themeColor="text1"/>
                <w:szCs w:val="21"/>
              </w:rPr>
            </w:pPr>
            <w:r>
              <w:rPr>
                <w:rFonts w:hint="eastAsia" w:ascii="宋体" w:hAnsi="宋体"/>
                <w:color w:val="000000" w:themeColor="text1"/>
                <w:szCs w:val="21"/>
              </w:rPr>
              <w:t>360</w:t>
            </w:r>
          </w:p>
        </w:tc>
        <w:tc>
          <w:tcPr>
            <w:tcW w:w="677" w:type="dxa"/>
            <w:noWrap/>
            <w:vAlign w:val="center"/>
          </w:tcPr>
          <w:p>
            <w:pPr>
              <w:widowControl/>
              <w:spacing w:line="360" w:lineRule="exact"/>
              <w:jc w:val="center"/>
              <w:rPr>
                <w:rFonts w:ascii="宋体" w:hAnsi="宋体"/>
                <w:color w:val="000000" w:themeColor="text1"/>
                <w:szCs w:val="21"/>
              </w:rPr>
            </w:pPr>
            <w:r>
              <w:rPr>
                <w:rFonts w:hint="eastAsia" w:ascii="宋体" w:hAnsi="宋体"/>
                <w:color w:val="000000" w:themeColor="text1"/>
                <w:szCs w:val="21"/>
              </w:rPr>
              <w:t>324</w:t>
            </w:r>
          </w:p>
        </w:tc>
        <w:tc>
          <w:tcPr>
            <w:tcW w:w="1215" w:type="dxa"/>
            <w:noWrap/>
            <w:vAlign w:val="center"/>
          </w:tcPr>
          <w:p>
            <w:pPr>
              <w:widowControl/>
              <w:spacing w:line="240" w:lineRule="exact"/>
              <w:jc w:val="center"/>
              <w:rPr>
                <w:rFonts w:ascii="宋体" w:hAnsi="宋体" w:eastAsia="宋体"/>
                <w:color w:val="000000" w:themeColor="text1"/>
                <w:szCs w:val="18"/>
              </w:rPr>
            </w:pPr>
            <w:r>
              <w:rPr>
                <w:rFonts w:hint="eastAsia" w:ascii="宋体" w:hAnsi="宋体"/>
                <w:color w:val="000000" w:themeColor="text1"/>
                <w:szCs w:val="18"/>
              </w:rPr>
              <w:t>实践</w:t>
            </w:r>
            <w:r>
              <w:rPr>
                <w:rFonts w:hint="eastAsia" w:ascii="宋体" w:hAnsi="宋体"/>
                <w:color w:val="000000" w:themeColor="text1"/>
                <w:sz w:val="18"/>
                <w:szCs w:val="18"/>
              </w:rPr>
              <w:t>1519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1212" w:type="dxa"/>
            <w:gridSpan w:val="2"/>
            <w:tcBorders>
              <w:top w:val="single" w:color="auto" w:sz="6" w:space="0"/>
              <w:left w:val="single" w:color="auto" w:sz="12" w:space="0"/>
              <w:bottom w:val="single" w:color="auto" w:sz="12" w:space="0"/>
              <w:right w:val="single" w:color="auto" w:sz="6" w:space="0"/>
            </w:tcBorders>
            <w:noWrap/>
          </w:tcPr>
          <w:p>
            <w:pPr>
              <w:widowControl/>
              <w:spacing w:line="360" w:lineRule="auto"/>
              <w:rPr>
                <w:rFonts w:ascii="宋体" w:hAnsi="宋体"/>
                <w:color w:val="FF0000"/>
                <w:szCs w:val="18"/>
              </w:rPr>
            </w:pPr>
          </w:p>
        </w:tc>
        <w:tc>
          <w:tcPr>
            <w:tcW w:w="8172" w:type="dxa"/>
            <w:gridSpan w:val="13"/>
            <w:tcBorders>
              <w:top w:val="single" w:color="auto" w:sz="6" w:space="0"/>
              <w:left w:val="single" w:color="auto" w:sz="12" w:space="0"/>
              <w:bottom w:val="single" w:color="auto" w:sz="12" w:space="0"/>
            </w:tcBorders>
            <w:vAlign w:val="center"/>
          </w:tcPr>
          <w:p>
            <w:pPr>
              <w:widowControl/>
              <w:spacing w:line="240" w:lineRule="exact"/>
              <w:rPr>
                <w:rFonts w:ascii="宋体" w:hAnsi="宋体"/>
                <w:szCs w:val="18"/>
              </w:rPr>
            </w:pPr>
            <w:r>
              <w:rPr>
                <w:rFonts w:hint="eastAsia" w:ascii="宋体" w:hAnsi="宋体"/>
                <w:szCs w:val="18"/>
              </w:rPr>
              <w:t>总课时：2686 实践课时：1519  理论课时：1167  实践教学占总学时比例：56.6%</w:t>
            </w:r>
          </w:p>
        </w:tc>
      </w:tr>
    </w:tbl>
    <w:p>
      <w:pPr>
        <w:widowControl/>
        <w:spacing w:line="360" w:lineRule="auto"/>
        <w:rPr>
          <w:rFonts w:ascii="黑体" w:hAnsi="黑体" w:eastAsia="黑体" w:cs="黑体"/>
          <w:bCs/>
          <w:szCs w:val="18"/>
        </w:rPr>
      </w:pPr>
      <w:r>
        <w:rPr>
          <w:rFonts w:hint="eastAsia" w:ascii="黑体" w:hAnsi="黑体" w:eastAsia="黑体" w:cs="黑体"/>
          <w:bCs/>
          <w:szCs w:val="18"/>
        </w:rPr>
        <w:t>注：1.课程类型分为A、B、C三种类型，A类课程为纯理论课程，B类课程为既有理论又有实践的课程，C类课程为纯实践课程。</w:t>
      </w:r>
    </w:p>
    <w:p>
      <w:pPr>
        <w:widowControl/>
        <w:spacing w:line="360" w:lineRule="auto"/>
        <w:ind w:firstLine="420" w:firstLineChars="200"/>
        <w:rPr>
          <w:rFonts w:ascii="黑体" w:hAnsi="黑体" w:eastAsia="黑体" w:cs="黑体"/>
          <w:bCs/>
          <w:szCs w:val="18"/>
        </w:rPr>
      </w:pPr>
      <w:r>
        <w:rPr>
          <w:rFonts w:hint="eastAsia" w:ascii="黑体" w:hAnsi="黑体" w:eastAsia="黑体" w:cs="黑体"/>
          <w:bCs/>
          <w:szCs w:val="18"/>
        </w:rPr>
        <w:t>2.实践教学要占到总课时</w:t>
      </w:r>
      <w:r>
        <w:rPr>
          <w:rFonts w:ascii="黑体" w:hAnsi="黑体" w:eastAsia="黑体" w:cs="黑体"/>
          <w:bCs/>
          <w:szCs w:val="18"/>
        </w:rPr>
        <w:t>5</w:t>
      </w:r>
      <w:r>
        <w:rPr>
          <w:rFonts w:hint="eastAsia" w:ascii="黑体" w:hAnsi="黑体" w:eastAsia="黑体" w:cs="黑体"/>
          <w:bCs/>
          <w:szCs w:val="18"/>
        </w:rPr>
        <w:t>0%以上。</w:t>
      </w:r>
    </w:p>
    <w:p>
      <w:pPr>
        <w:widowControl/>
        <w:spacing w:line="360" w:lineRule="auto"/>
        <w:rPr>
          <w:rFonts w:ascii="宋体" w:hAnsi="宋体"/>
          <w:b/>
          <w:szCs w:val="18"/>
        </w:rPr>
        <w:sectPr>
          <w:footerReference r:id="rId4" w:type="default"/>
          <w:pgSz w:w="11906" w:h="16838"/>
          <w:pgMar w:top="1440" w:right="1800" w:bottom="1440" w:left="1800" w:header="851" w:footer="992" w:gutter="0"/>
          <w:pgNumType w:start="1"/>
          <w:cols w:space="425" w:num="1"/>
          <w:docGrid w:type="lines" w:linePitch="312" w:charSpace="0"/>
        </w:sectPr>
      </w:pPr>
    </w:p>
    <w:p>
      <w:pPr>
        <w:spacing w:line="360" w:lineRule="auto"/>
        <w:ind w:firstLine="600" w:firstLineChars="200"/>
        <w:rPr>
          <w:rFonts w:ascii="黑体" w:hAnsi="黑体" w:eastAsia="黑体" w:cs="黑体"/>
          <w:bCs/>
          <w:sz w:val="30"/>
          <w:szCs w:val="30"/>
        </w:rPr>
      </w:pPr>
      <w:r>
        <w:rPr>
          <w:rFonts w:hint="eastAsia" w:ascii="黑体" w:hAnsi="黑体" w:eastAsia="黑体" w:cs="黑体"/>
          <w:bCs/>
          <w:sz w:val="30"/>
          <w:szCs w:val="30"/>
        </w:rPr>
        <w:t>（四）进程安排</w:t>
      </w:r>
    </w:p>
    <w:p>
      <w:pPr>
        <w:spacing w:line="360" w:lineRule="auto"/>
        <w:rPr>
          <w:rFonts w:ascii="黑体" w:eastAsia="黑体"/>
          <w:sz w:val="28"/>
          <w:szCs w:val="28"/>
        </w:rPr>
      </w:pPr>
    </w:p>
    <w:tbl>
      <w:tblPr>
        <w:tblStyle w:val="18"/>
        <w:tblW w:w="142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9"/>
        <w:gridCol w:w="547"/>
        <w:gridCol w:w="1219"/>
        <w:gridCol w:w="1227"/>
        <w:gridCol w:w="538"/>
        <w:gridCol w:w="913"/>
        <w:gridCol w:w="678"/>
        <w:gridCol w:w="402"/>
        <w:gridCol w:w="550"/>
        <w:gridCol w:w="700"/>
        <w:gridCol w:w="576"/>
        <w:gridCol w:w="584"/>
        <w:gridCol w:w="800"/>
        <w:gridCol w:w="533"/>
        <w:gridCol w:w="567"/>
        <w:gridCol w:w="600"/>
        <w:gridCol w:w="583"/>
        <w:gridCol w:w="533"/>
        <w:gridCol w:w="650"/>
        <w:gridCol w:w="784"/>
        <w:gridCol w:w="7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blHeader/>
          <w:jc w:val="center"/>
        </w:trPr>
        <w:tc>
          <w:tcPr>
            <w:tcW w:w="14295" w:type="dxa"/>
            <w:gridSpan w:val="21"/>
            <w:tcBorders>
              <w:top w:val="single" w:color="auto" w:sz="4" w:space="0"/>
              <w:left w:val="single" w:color="auto" w:sz="4" w:space="0"/>
              <w:bottom w:val="single" w:color="auto" w:sz="4" w:space="0"/>
              <w:right w:val="single" w:color="auto" w:sz="4" w:space="0"/>
            </w:tcBorders>
            <w:shd w:val="clear" w:color="auto" w:fill="E0E0E0"/>
            <w:noWrap/>
            <w:vAlign w:val="center"/>
          </w:tcPr>
          <w:p>
            <w:pPr>
              <w:spacing w:line="360" w:lineRule="exact"/>
              <w:jc w:val="center"/>
              <w:rPr>
                <w:rFonts w:ascii="黑体" w:hAnsi="黑体" w:eastAsia="黑体"/>
                <w:sz w:val="24"/>
              </w:rPr>
            </w:pPr>
            <w:r>
              <w:rPr>
                <w:rFonts w:hint="eastAsia" w:ascii="黑体" w:hAnsi="黑体" w:eastAsia="黑体"/>
                <w:sz w:val="24"/>
              </w:rPr>
              <w:t>教学进程安排表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blHeader/>
          <w:jc w:val="center"/>
        </w:trPr>
        <w:tc>
          <w:tcPr>
            <w:tcW w:w="3542" w:type="dxa"/>
            <w:gridSpan w:val="4"/>
            <w:tcBorders>
              <w:top w:val="single" w:color="auto" w:sz="4" w:space="0"/>
              <w:left w:val="single" w:color="auto" w:sz="4" w:space="0"/>
              <w:bottom w:val="single" w:color="auto" w:sz="4" w:space="0"/>
              <w:right w:val="single" w:color="auto" w:sz="4" w:space="0"/>
            </w:tcBorders>
            <w:shd w:val="clear" w:color="auto" w:fill="E0E0E0"/>
            <w:noWrap/>
          </w:tcPr>
          <w:p>
            <w:pPr>
              <w:widowControl/>
              <w:spacing w:line="360" w:lineRule="exact"/>
              <w:rPr>
                <w:rFonts w:ascii="黑体" w:hAnsi="黑体" w:eastAsia="黑体"/>
                <w:szCs w:val="21"/>
              </w:rPr>
            </w:pPr>
            <w:r>
              <w:rPr>
                <w:rFonts w:hint="eastAsia" w:ascii="黑体" w:hAnsi="黑体" w:eastAsia="黑体"/>
                <w:szCs w:val="21"/>
              </w:rPr>
              <w:t>专业：应用化工技术</w:t>
            </w:r>
          </w:p>
        </w:tc>
        <w:tc>
          <w:tcPr>
            <w:tcW w:w="538" w:type="dxa"/>
            <w:tcBorders>
              <w:top w:val="single" w:color="auto" w:sz="4" w:space="0"/>
              <w:left w:val="single" w:color="auto" w:sz="4" w:space="0"/>
              <w:bottom w:val="single" w:color="auto" w:sz="4" w:space="0"/>
              <w:right w:val="single" w:color="auto" w:sz="4" w:space="0"/>
            </w:tcBorders>
            <w:shd w:val="clear" w:color="auto" w:fill="E0E0E0"/>
            <w:noWrap/>
          </w:tcPr>
          <w:p>
            <w:pPr>
              <w:widowControl/>
              <w:spacing w:line="360" w:lineRule="exact"/>
              <w:rPr>
                <w:rFonts w:ascii="黑体" w:hAnsi="黑体" w:eastAsia="黑体"/>
                <w:szCs w:val="21"/>
              </w:rPr>
            </w:pPr>
          </w:p>
        </w:tc>
        <w:tc>
          <w:tcPr>
            <w:tcW w:w="3243" w:type="dxa"/>
            <w:gridSpan w:val="5"/>
            <w:tcBorders>
              <w:top w:val="single" w:color="auto" w:sz="4" w:space="0"/>
              <w:left w:val="single" w:color="auto" w:sz="4" w:space="0"/>
              <w:bottom w:val="single" w:color="auto" w:sz="4" w:space="0"/>
              <w:right w:val="single" w:color="auto" w:sz="4" w:space="0"/>
            </w:tcBorders>
            <w:shd w:val="clear" w:color="auto" w:fill="E0E0E0"/>
            <w:noWrap/>
          </w:tcPr>
          <w:p>
            <w:pPr>
              <w:widowControl/>
              <w:spacing w:line="360" w:lineRule="exact"/>
              <w:rPr>
                <w:rFonts w:ascii="黑体" w:hAnsi="黑体" w:eastAsia="黑体"/>
                <w:szCs w:val="21"/>
              </w:rPr>
            </w:pPr>
            <w:r>
              <w:rPr>
                <w:rFonts w:hint="eastAsia" w:ascii="黑体" w:hAnsi="黑体" w:eastAsia="黑体"/>
                <w:szCs w:val="21"/>
              </w:rPr>
              <w:t>起点：高中</w:t>
            </w:r>
          </w:p>
        </w:tc>
        <w:tc>
          <w:tcPr>
            <w:tcW w:w="1960" w:type="dxa"/>
            <w:gridSpan w:val="3"/>
            <w:tcBorders>
              <w:top w:val="single" w:color="auto" w:sz="4" w:space="0"/>
              <w:left w:val="single" w:color="auto" w:sz="4" w:space="0"/>
              <w:bottom w:val="single" w:color="auto" w:sz="4" w:space="0"/>
              <w:right w:val="single" w:color="auto" w:sz="4" w:space="0"/>
            </w:tcBorders>
            <w:shd w:val="clear" w:color="auto" w:fill="E0E0E0"/>
            <w:noWrap/>
          </w:tcPr>
          <w:p>
            <w:pPr>
              <w:widowControl/>
              <w:spacing w:line="360" w:lineRule="exact"/>
              <w:rPr>
                <w:rFonts w:ascii="黑体" w:hAnsi="黑体" w:eastAsia="黑体"/>
                <w:szCs w:val="21"/>
              </w:rPr>
            </w:pPr>
            <w:r>
              <w:rPr>
                <w:rFonts w:hint="eastAsia" w:ascii="黑体" w:hAnsi="黑体" w:eastAsia="黑体"/>
                <w:szCs w:val="21"/>
              </w:rPr>
              <w:t>学制：三年</w:t>
            </w:r>
          </w:p>
        </w:tc>
        <w:tc>
          <w:tcPr>
            <w:tcW w:w="3466" w:type="dxa"/>
            <w:gridSpan w:val="6"/>
            <w:tcBorders>
              <w:top w:val="single" w:color="auto" w:sz="4" w:space="0"/>
              <w:left w:val="single" w:color="auto" w:sz="4" w:space="0"/>
              <w:bottom w:val="single" w:color="auto" w:sz="4" w:space="0"/>
              <w:right w:val="single" w:color="auto" w:sz="4" w:space="0"/>
            </w:tcBorders>
            <w:shd w:val="clear" w:color="auto" w:fill="E0E0E0"/>
            <w:noWrap/>
          </w:tcPr>
          <w:p>
            <w:pPr>
              <w:widowControl/>
              <w:spacing w:line="360" w:lineRule="exact"/>
              <w:rPr>
                <w:rFonts w:ascii="黑体" w:hAnsi="黑体" w:eastAsia="黑体"/>
                <w:szCs w:val="21"/>
              </w:rPr>
            </w:pPr>
            <w:r>
              <w:rPr>
                <w:rFonts w:hint="eastAsia" w:ascii="黑体" w:hAnsi="黑体" w:eastAsia="黑体"/>
                <w:szCs w:val="21"/>
              </w:rPr>
              <w:t>层次：专科</w:t>
            </w:r>
          </w:p>
        </w:tc>
        <w:tc>
          <w:tcPr>
            <w:tcW w:w="1546" w:type="dxa"/>
            <w:gridSpan w:val="2"/>
            <w:tcBorders>
              <w:top w:val="single" w:color="auto" w:sz="4" w:space="0"/>
              <w:left w:val="single" w:color="auto" w:sz="4" w:space="0"/>
              <w:bottom w:val="single" w:color="auto" w:sz="4" w:space="0"/>
              <w:right w:val="single" w:color="auto" w:sz="4" w:space="0"/>
            </w:tcBorders>
            <w:shd w:val="clear" w:color="auto" w:fill="E0E0E0"/>
            <w:noWrap/>
          </w:tcPr>
          <w:p>
            <w:pPr>
              <w:widowControl/>
              <w:spacing w:line="360" w:lineRule="exact"/>
              <w:rPr>
                <w:rFonts w:ascii="黑体" w:hAnsi="黑体" w:eastAsia="黑体"/>
                <w:szCs w:val="21"/>
              </w:rPr>
            </w:pPr>
            <w:r>
              <w:rPr>
                <w:rFonts w:hint="eastAsia" w:ascii="黑体" w:hAnsi="黑体" w:eastAsia="黑体"/>
                <w:szCs w:val="21"/>
              </w:rPr>
              <w:t>类别：</w:t>
            </w:r>
            <w:r>
              <w:rPr>
                <w:rFonts w:hint="eastAsia" w:ascii="宋体" w:hAnsi="宋体"/>
                <w:b/>
                <w:bCs/>
                <w:color w:val="000000" w:themeColor="text1"/>
                <w:szCs w:val="21"/>
              </w:rPr>
              <w:t>职业技术类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tblHeader/>
          <w:jc w:val="center"/>
        </w:trPr>
        <w:tc>
          <w:tcPr>
            <w:tcW w:w="549" w:type="dxa"/>
            <w:vMerge w:val="restart"/>
            <w:tcBorders>
              <w:top w:val="single" w:color="auto" w:sz="4" w:space="0"/>
              <w:left w:val="single" w:color="auto" w:sz="4" w:space="0"/>
              <w:bottom w:val="single" w:color="auto" w:sz="4" w:space="0"/>
              <w:right w:val="single" w:color="auto" w:sz="4" w:space="0"/>
            </w:tcBorders>
            <w:shd w:val="clear" w:color="auto" w:fill="E0E0E0"/>
            <w:noWrap/>
            <w:textDirection w:val="tbRlV"/>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课程类别</w:t>
            </w:r>
          </w:p>
        </w:tc>
        <w:tc>
          <w:tcPr>
            <w:tcW w:w="547" w:type="dxa"/>
            <w:vMerge w:val="restart"/>
            <w:tcBorders>
              <w:top w:val="single" w:color="auto" w:sz="4" w:space="0"/>
              <w:left w:val="single" w:color="auto" w:sz="4" w:space="0"/>
              <w:bottom w:val="single" w:color="auto" w:sz="4" w:space="0"/>
              <w:right w:val="single" w:color="auto" w:sz="4" w:space="0"/>
            </w:tcBorders>
            <w:shd w:val="clear" w:color="auto" w:fill="E0E0E0"/>
            <w:noWrap/>
            <w:textDirection w:val="tbRlV"/>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序号</w:t>
            </w:r>
          </w:p>
        </w:tc>
        <w:tc>
          <w:tcPr>
            <w:tcW w:w="1219" w:type="dxa"/>
            <w:vMerge w:val="restart"/>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课程编号</w:t>
            </w:r>
          </w:p>
        </w:tc>
        <w:tc>
          <w:tcPr>
            <w:tcW w:w="2678" w:type="dxa"/>
            <w:gridSpan w:val="3"/>
            <w:vMerge w:val="restart"/>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课程名称</w:t>
            </w:r>
          </w:p>
        </w:tc>
        <w:tc>
          <w:tcPr>
            <w:tcW w:w="678" w:type="dxa"/>
            <w:vMerge w:val="restart"/>
            <w:tcBorders>
              <w:top w:val="single" w:color="auto" w:sz="4" w:space="0"/>
              <w:left w:val="single" w:color="auto" w:sz="4" w:space="0"/>
              <w:bottom w:val="single" w:color="auto" w:sz="4" w:space="0"/>
              <w:right w:val="single" w:color="auto" w:sz="4" w:space="0"/>
            </w:tcBorders>
            <w:shd w:val="clear" w:color="auto" w:fill="E0E0E0"/>
            <w:noWrap/>
            <w:textDirection w:val="tbRlV"/>
            <w:vAlign w:val="center"/>
          </w:tcPr>
          <w:p>
            <w:pPr>
              <w:widowControl/>
              <w:spacing w:line="240" w:lineRule="exact"/>
              <w:ind w:left="113" w:right="113"/>
              <w:jc w:val="center"/>
              <w:rPr>
                <w:rFonts w:ascii="黑体" w:hAnsi="黑体" w:eastAsia="黑体" w:cs="宋体"/>
                <w:kern w:val="0"/>
                <w:szCs w:val="21"/>
              </w:rPr>
            </w:pPr>
            <w:r>
              <w:rPr>
                <w:rFonts w:hint="eastAsia" w:ascii="黑体" w:hAnsi="黑体" w:eastAsia="黑体" w:cs="宋体"/>
                <w:kern w:val="0"/>
                <w:szCs w:val="21"/>
              </w:rPr>
              <w:t>课程性质</w:t>
            </w:r>
          </w:p>
        </w:tc>
        <w:tc>
          <w:tcPr>
            <w:tcW w:w="402" w:type="dxa"/>
            <w:vMerge w:val="restart"/>
            <w:tcBorders>
              <w:top w:val="single" w:color="auto" w:sz="4" w:space="0"/>
              <w:left w:val="single" w:color="auto" w:sz="4" w:space="0"/>
              <w:bottom w:val="single" w:color="auto" w:sz="4" w:space="0"/>
              <w:right w:val="single" w:color="auto" w:sz="4" w:space="0"/>
            </w:tcBorders>
            <w:shd w:val="clear" w:color="auto" w:fill="E0E0E0"/>
            <w:noWrap/>
            <w:textDirection w:val="tbRlV"/>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课程类型</w:t>
            </w:r>
          </w:p>
        </w:tc>
        <w:tc>
          <w:tcPr>
            <w:tcW w:w="550" w:type="dxa"/>
            <w:vMerge w:val="restart"/>
            <w:tcBorders>
              <w:top w:val="single" w:color="auto" w:sz="4" w:space="0"/>
              <w:left w:val="single" w:color="auto" w:sz="4" w:space="0"/>
              <w:bottom w:val="single" w:color="auto" w:sz="4" w:space="0"/>
              <w:right w:val="single" w:color="auto" w:sz="4" w:space="0"/>
            </w:tcBorders>
            <w:shd w:val="clear" w:color="auto" w:fill="E0E0E0"/>
            <w:noWrap/>
            <w:textDirection w:val="tbRlV"/>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学分</w:t>
            </w:r>
          </w:p>
        </w:tc>
        <w:tc>
          <w:tcPr>
            <w:tcW w:w="700" w:type="dxa"/>
            <w:vMerge w:val="restart"/>
            <w:tcBorders>
              <w:top w:val="single" w:color="auto" w:sz="4" w:space="0"/>
              <w:left w:val="single" w:color="auto" w:sz="4" w:space="0"/>
              <w:bottom w:val="single" w:color="auto" w:sz="4" w:space="0"/>
              <w:right w:val="single" w:color="auto" w:sz="4" w:space="0"/>
            </w:tcBorders>
            <w:shd w:val="clear" w:color="auto" w:fill="E0E0E0"/>
            <w:noWrap/>
            <w:textDirection w:val="tbRlV"/>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总课时</w:t>
            </w:r>
          </w:p>
        </w:tc>
        <w:tc>
          <w:tcPr>
            <w:tcW w:w="1160" w:type="dxa"/>
            <w:gridSpan w:val="2"/>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课时</w:t>
            </w:r>
          </w:p>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分配</w:t>
            </w:r>
          </w:p>
        </w:tc>
        <w:tc>
          <w:tcPr>
            <w:tcW w:w="800" w:type="dxa"/>
            <w:vMerge w:val="restart"/>
            <w:tcBorders>
              <w:top w:val="single" w:color="auto" w:sz="4" w:space="0"/>
              <w:left w:val="single" w:color="auto" w:sz="4" w:space="0"/>
              <w:bottom w:val="single" w:color="auto" w:sz="4" w:space="0"/>
              <w:right w:val="single" w:color="auto" w:sz="4" w:space="0"/>
            </w:tcBorders>
            <w:shd w:val="clear" w:color="auto" w:fill="E0E0E0"/>
            <w:noWrap/>
            <w:vAlign w:val="center"/>
          </w:tcPr>
          <w:p>
            <w:pPr>
              <w:spacing w:line="240" w:lineRule="exact"/>
              <w:jc w:val="center"/>
              <w:rPr>
                <w:rFonts w:ascii="黑体" w:hAnsi="黑体" w:eastAsia="黑体" w:cs="宋体"/>
                <w:kern w:val="0"/>
                <w:szCs w:val="21"/>
              </w:rPr>
            </w:pPr>
            <w:r>
              <w:rPr>
                <w:rFonts w:hint="eastAsia" w:ascii="黑体" w:hAnsi="黑体" w:eastAsia="黑体" w:cs="宋体"/>
                <w:kern w:val="0"/>
                <w:szCs w:val="21"/>
              </w:rPr>
              <w:t>授课</w:t>
            </w:r>
          </w:p>
          <w:p>
            <w:pPr>
              <w:spacing w:line="240" w:lineRule="exact"/>
              <w:jc w:val="center"/>
              <w:rPr>
                <w:rFonts w:ascii="黑体" w:hAnsi="黑体" w:eastAsia="黑体" w:cs="宋体"/>
                <w:kern w:val="0"/>
                <w:szCs w:val="21"/>
              </w:rPr>
            </w:pPr>
            <w:r>
              <w:rPr>
                <w:rFonts w:hint="eastAsia" w:ascii="黑体" w:hAnsi="黑体" w:eastAsia="黑体" w:cs="宋体"/>
                <w:kern w:val="0"/>
                <w:szCs w:val="21"/>
              </w:rPr>
              <w:t>方式</w:t>
            </w:r>
          </w:p>
        </w:tc>
        <w:tc>
          <w:tcPr>
            <w:tcW w:w="3466" w:type="dxa"/>
            <w:gridSpan w:val="6"/>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开课学期和周课时数</w:t>
            </w:r>
          </w:p>
        </w:tc>
        <w:tc>
          <w:tcPr>
            <w:tcW w:w="784" w:type="dxa"/>
            <w:vMerge w:val="restart"/>
            <w:tcBorders>
              <w:top w:val="single" w:color="auto" w:sz="4" w:space="0"/>
              <w:left w:val="single" w:color="auto" w:sz="4" w:space="0"/>
              <w:bottom w:val="single" w:color="auto" w:sz="4" w:space="0"/>
              <w:right w:val="single" w:color="auto" w:sz="4" w:space="0"/>
            </w:tcBorders>
            <w:shd w:val="clear" w:color="auto" w:fill="E0E0E0"/>
            <w:noWrap/>
            <w:vAlign w:val="center"/>
          </w:tcPr>
          <w:p>
            <w:pPr>
              <w:spacing w:line="240" w:lineRule="exact"/>
              <w:jc w:val="center"/>
              <w:rPr>
                <w:rFonts w:ascii="黑体" w:hAnsi="黑体" w:eastAsia="黑体" w:cs="宋体"/>
                <w:kern w:val="0"/>
                <w:szCs w:val="21"/>
              </w:rPr>
            </w:pPr>
            <w:r>
              <w:rPr>
                <w:rFonts w:hint="eastAsia" w:ascii="黑体" w:hAnsi="黑体" w:eastAsia="黑体" w:cs="宋体"/>
                <w:kern w:val="0"/>
                <w:szCs w:val="21"/>
              </w:rPr>
              <w:t>考核</w:t>
            </w:r>
          </w:p>
          <w:p>
            <w:pPr>
              <w:spacing w:line="240" w:lineRule="exact"/>
              <w:jc w:val="center"/>
              <w:rPr>
                <w:rFonts w:ascii="黑体" w:hAnsi="黑体" w:eastAsia="黑体" w:cs="宋体"/>
                <w:b/>
                <w:kern w:val="0"/>
                <w:sz w:val="20"/>
                <w:szCs w:val="20"/>
              </w:rPr>
            </w:pPr>
            <w:r>
              <w:rPr>
                <w:rFonts w:hint="eastAsia" w:ascii="黑体" w:hAnsi="黑体" w:eastAsia="黑体" w:cs="宋体"/>
                <w:kern w:val="0"/>
                <w:szCs w:val="21"/>
              </w:rPr>
              <w:t>方式</w:t>
            </w:r>
          </w:p>
        </w:tc>
        <w:tc>
          <w:tcPr>
            <w:tcW w:w="762" w:type="dxa"/>
            <w:vMerge w:val="restart"/>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240" w:lineRule="exact"/>
              <w:jc w:val="center"/>
              <w:rPr>
                <w:rFonts w:ascii="宋体" w:hAnsi="宋体" w:cs="宋体"/>
                <w:b/>
                <w:kern w:val="0"/>
                <w:sz w:val="20"/>
                <w:szCs w:val="20"/>
              </w:rPr>
            </w:pPr>
            <w:r>
              <w:rPr>
                <w:rFonts w:hint="eastAsia" w:ascii="黑体" w:hAnsi="黑体" w:eastAsia="黑体" w:cs="宋体"/>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blHeader/>
          <w:jc w:val="center"/>
        </w:trPr>
        <w:tc>
          <w:tcPr>
            <w:tcW w:w="549"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kern w:val="0"/>
                <w:szCs w:val="21"/>
              </w:rPr>
            </w:pPr>
          </w:p>
        </w:tc>
        <w:tc>
          <w:tcPr>
            <w:tcW w:w="547"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kern w:val="0"/>
                <w:szCs w:val="21"/>
              </w:rPr>
            </w:pPr>
          </w:p>
        </w:tc>
        <w:tc>
          <w:tcPr>
            <w:tcW w:w="1219"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kern w:val="0"/>
                <w:szCs w:val="21"/>
              </w:rPr>
            </w:pPr>
          </w:p>
        </w:tc>
        <w:tc>
          <w:tcPr>
            <w:tcW w:w="2678" w:type="dxa"/>
            <w:gridSpan w:val="3"/>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kern w:val="0"/>
                <w:szCs w:val="21"/>
              </w:rPr>
            </w:pPr>
          </w:p>
        </w:tc>
        <w:tc>
          <w:tcPr>
            <w:tcW w:w="678"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kern w:val="0"/>
                <w:szCs w:val="21"/>
              </w:rPr>
            </w:pPr>
          </w:p>
        </w:tc>
        <w:tc>
          <w:tcPr>
            <w:tcW w:w="402"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kern w:val="0"/>
                <w:szCs w:val="21"/>
              </w:rPr>
            </w:pPr>
          </w:p>
        </w:tc>
        <w:tc>
          <w:tcPr>
            <w:tcW w:w="55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kern w:val="0"/>
                <w:szCs w:val="21"/>
              </w:rPr>
            </w:pPr>
          </w:p>
        </w:tc>
        <w:tc>
          <w:tcPr>
            <w:tcW w:w="70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kern w:val="0"/>
                <w:szCs w:val="21"/>
              </w:rPr>
            </w:pPr>
          </w:p>
        </w:tc>
        <w:tc>
          <w:tcPr>
            <w:tcW w:w="576" w:type="dxa"/>
            <w:vMerge w:val="restart"/>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240" w:lineRule="exact"/>
              <w:jc w:val="center"/>
              <w:rPr>
                <w:rFonts w:ascii="黑体" w:hAnsi="黑体" w:eastAsia="黑体" w:cs="宋体"/>
                <w:kern w:val="0"/>
                <w:szCs w:val="21"/>
              </w:rPr>
            </w:pPr>
            <w:r>
              <w:rPr>
                <w:rFonts w:hint="eastAsia" w:ascii="宋体" w:hAnsi="宋体"/>
                <w:color w:val="000000"/>
                <w:szCs w:val="21"/>
              </w:rPr>
              <w:t>讲授</w:t>
            </w:r>
          </w:p>
        </w:tc>
        <w:tc>
          <w:tcPr>
            <w:tcW w:w="584" w:type="dxa"/>
            <w:vMerge w:val="restart"/>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240" w:lineRule="exact"/>
              <w:jc w:val="center"/>
              <w:rPr>
                <w:rFonts w:ascii="黑体" w:hAnsi="黑体" w:eastAsia="黑体" w:cs="宋体"/>
                <w:kern w:val="0"/>
                <w:szCs w:val="21"/>
              </w:rPr>
            </w:pPr>
            <w:r>
              <w:rPr>
                <w:rFonts w:hint="eastAsia" w:ascii="黑体" w:hAnsi="黑体" w:eastAsia="黑体" w:cs="宋体"/>
                <w:kern w:val="0"/>
                <w:szCs w:val="21"/>
              </w:rPr>
              <w:t>实践</w:t>
            </w:r>
          </w:p>
        </w:tc>
        <w:tc>
          <w:tcPr>
            <w:tcW w:w="80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kern w:val="0"/>
                <w:szCs w:val="21"/>
              </w:rPr>
            </w:pPr>
          </w:p>
        </w:tc>
        <w:tc>
          <w:tcPr>
            <w:tcW w:w="1100" w:type="dxa"/>
            <w:gridSpan w:val="2"/>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360" w:lineRule="exact"/>
              <w:jc w:val="center"/>
              <w:rPr>
                <w:rFonts w:ascii="黑体" w:hAnsi="黑体" w:eastAsia="黑体" w:cs="宋体"/>
                <w:kern w:val="0"/>
                <w:sz w:val="18"/>
                <w:szCs w:val="18"/>
              </w:rPr>
            </w:pPr>
            <w:r>
              <w:rPr>
                <w:rFonts w:hint="eastAsia" w:ascii="黑体" w:hAnsi="黑体" w:eastAsia="黑体" w:cs="宋体"/>
                <w:kern w:val="0"/>
                <w:sz w:val="18"/>
                <w:szCs w:val="18"/>
              </w:rPr>
              <w:t>第一学年</w:t>
            </w:r>
          </w:p>
        </w:tc>
        <w:tc>
          <w:tcPr>
            <w:tcW w:w="1183" w:type="dxa"/>
            <w:gridSpan w:val="2"/>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360" w:lineRule="exact"/>
              <w:jc w:val="center"/>
              <w:rPr>
                <w:rFonts w:ascii="黑体" w:hAnsi="黑体" w:eastAsia="黑体" w:cs="宋体"/>
                <w:kern w:val="0"/>
                <w:sz w:val="18"/>
                <w:szCs w:val="18"/>
              </w:rPr>
            </w:pPr>
            <w:r>
              <w:rPr>
                <w:rFonts w:hint="eastAsia" w:ascii="黑体" w:hAnsi="黑体" w:eastAsia="黑体" w:cs="宋体"/>
                <w:kern w:val="0"/>
                <w:sz w:val="18"/>
                <w:szCs w:val="18"/>
              </w:rPr>
              <w:t>第二学年</w:t>
            </w:r>
          </w:p>
        </w:tc>
        <w:tc>
          <w:tcPr>
            <w:tcW w:w="1183" w:type="dxa"/>
            <w:gridSpan w:val="2"/>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360" w:lineRule="exact"/>
              <w:jc w:val="center"/>
              <w:rPr>
                <w:rFonts w:ascii="黑体" w:hAnsi="黑体" w:eastAsia="黑体" w:cs="宋体"/>
                <w:kern w:val="0"/>
                <w:sz w:val="18"/>
                <w:szCs w:val="18"/>
              </w:rPr>
            </w:pPr>
            <w:r>
              <w:rPr>
                <w:rFonts w:hint="eastAsia" w:ascii="黑体" w:hAnsi="黑体" w:eastAsia="黑体" w:cs="宋体"/>
                <w:kern w:val="0"/>
                <w:sz w:val="18"/>
                <w:szCs w:val="18"/>
              </w:rPr>
              <w:t>第三学年</w:t>
            </w:r>
          </w:p>
        </w:tc>
        <w:tc>
          <w:tcPr>
            <w:tcW w:w="784"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黑体" w:eastAsia="黑体" w:cs="宋体"/>
                <w:b/>
                <w:kern w:val="0"/>
                <w:sz w:val="20"/>
                <w:szCs w:val="20"/>
              </w:rPr>
            </w:pPr>
          </w:p>
        </w:tc>
        <w:tc>
          <w:tcPr>
            <w:tcW w:w="762"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 w:hRule="atLeast"/>
          <w:tblHeader/>
          <w:jc w:val="center"/>
        </w:trPr>
        <w:tc>
          <w:tcPr>
            <w:tcW w:w="549"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kern w:val="0"/>
                <w:szCs w:val="21"/>
              </w:rPr>
            </w:pPr>
          </w:p>
        </w:tc>
        <w:tc>
          <w:tcPr>
            <w:tcW w:w="547"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kern w:val="0"/>
                <w:szCs w:val="21"/>
              </w:rPr>
            </w:pPr>
          </w:p>
        </w:tc>
        <w:tc>
          <w:tcPr>
            <w:tcW w:w="1219"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kern w:val="0"/>
                <w:szCs w:val="21"/>
              </w:rPr>
            </w:pPr>
          </w:p>
        </w:tc>
        <w:tc>
          <w:tcPr>
            <w:tcW w:w="2678" w:type="dxa"/>
            <w:gridSpan w:val="3"/>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kern w:val="0"/>
                <w:szCs w:val="21"/>
              </w:rPr>
            </w:pPr>
          </w:p>
        </w:tc>
        <w:tc>
          <w:tcPr>
            <w:tcW w:w="678"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kern w:val="0"/>
                <w:szCs w:val="21"/>
              </w:rPr>
            </w:pPr>
          </w:p>
        </w:tc>
        <w:tc>
          <w:tcPr>
            <w:tcW w:w="402"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kern w:val="0"/>
                <w:szCs w:val="21"/>
              </w:rPr>
            </w:pPr>
          </w:p>
        </w:tc>
        <w:tc>
          <w:tcPr>
            <w:tcW w:w="55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kern w:val="0"/>
                <w:szCs w:val="21"/>
              </w:rPr>
            </w:pPr>
          </w:p>
        </w:tc>
        <w:tc>
          <w:tcPr>
            <w:tcW w:w="70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kern w:val="0"/>
                <w:szCs w:val="21"/>
              </w:rPr>
            </w:pPr>
          </w:p>
        </w:tc>
        <w:tc>
          <w:tcPr>
            <w:tcW w:w="576"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kern w:val="0"/>
                <w:szCs w:val="21"/>
              </w:rPr>
            </w:pPr>
          </w:p>
        </w:tc>
        <w:tc>
          <w:tcPr>
            <w:tcW w:w="58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kern w:val="0"/>
                <w:szCs w:val="21"/>
              </w:rPr>
            </w:pPr>
          </w:p>
        </w:tc>
        <w:tc>
          <w:tcPr>
            <w:tcW w:w="80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黑体" w:hAnsi="黑体" w:eastAsia="黑体" w:cs="宋体"/>
                <w:kern w:val="0"/>
                <w:szCs w:val="21"/>
              </w:rPr>
            </w:pPr>
          </w:p>
        </w:tc>
        <w:tc>
          <w:tcPr>
            <w:tcW w:w="533" w:type="dxa"/>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1</w:t>
            </w:r>
          </w:p>
        </w:tc>
        <w:tc>
          <w:tcPr>
            <w:tcW w:w="567" w:type="dxa"/>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2</w:t>
            </w:r>
          </w:p>
        </w:tc>
        <w:tc>
          <w:tcPr>
            <w:tcW w:w="600" w:type="dxa"/>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3</w:t>
            </w:r>
          </w:p>
        </w:tc>
        <w:tc>
          <w:tcPr>
            <w:tcW w:w="583" w:type="dxa"/>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4</w:t>
            </w:r>
          </w:p>
        </w:tc>
        <w:tc>
          <w:tcPr>
            <w:tcW w:w="533" w:type="dxa"/>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5</w:t>
            </w:r>
          </w:p>
        </w:tc>
        <w:tc>
          <w:tcPr>
            <w:tcW w:w="650" w:type="dxa"/>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360" w:lineRule="exact"/>
              <w:jc w:val="center"/>
              <w:rPr>
                <w:rFonts w:ascii="黑体" w:hAnsi="黑体" w:eastAsia="黑体" w:cs="宋体"/>
                <w:kern w:val="0"/>
                <w:sz w:val="20"/>
                <w:szCs w:val="20"/>
              </w:rPr>
            </w:pPr>
            <w:r>
              <w:rPr>
                <w:rFonts w:hint="eastAsia" w:ascii="黑体" w:hAnsi="黑体" w:eastAsia="黑体" w:cs="宋体"/>
                <w:kern w:val="0"/>
                <w:sz w:val="20"/>
                <w:szCs w:val="20"/>
              </w:rPr>
              <w:t>6</w:t>
            </w:r>
          </w:p>
        </w:tc>
        <w:tc>
          <w:tcPr>
            <w:tcW w:w="784"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黑体" w:eastAsia="黑体" w:cs="宋体"/>
                <w:b/>
                <w:kern w:val="0"/>
                <w:sz w:val="20"/>
                <w:szCs w:val="20"/>
              </w:rPr>
            </w:pPr>
          </w:p>
        </w:tc>
        <w:tc>
          <w:tcPr>
            <w:tcW w:w="762"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549" w:type="dxa"/>
            <w:vMerge w:val="restart"/>
            <w:tcBorders>
              <w:top w:val="single" w:color="auto" w:sz="4" w:space="0"/>
              <w:left w:val="single" w:color="auto" w:sz="4" w:space="0"/>
              <w:bottom w:val="single" w:color="auto" w:sz="4" w:space="0"/>
              <w:right w:val="single" w:color="auto" w:sz="4" w:space="0"/>
            </w:tcBorders>
            <w:shd w:val="clear" w:color="auto" w:fill="auto"/>
            <w:noWrap/>
            <w:textDirection w:val="tbRlV"/>
            <w:vAlign w:val="center"/>
          </w:tcPr>
          <w:p>
            <w:pPr>
              <w:spacing w:line="360" w:lineRule="exact"/>
              <w:jc w:val="center"/>
              <w:rPr>
                <w:rFonts w:ascii="宋体" w:hAnsi="宋体" w:eastAsia="宋体" w:cs="宋体"/>
                <w:b/>
                <w:kern w:val="0"/>
                <w:szCs w:val="21"/>
              </w:rPr>
            </w:pPr>
            <w:r>
              <w:rPr>
                <w:rFonts w:hint="eastAsia" w:ascii="宋体" w:hAnsi="宋体" w:cs="宋体"/>
                <w:b/>
                <w:kern w:val="0"/>
                <w:szCs w:val="21"/>
              </w:rPr>
              <w:t>公共基础课程</w:t>
            </w:r>
          </w:p>
        </w:tc>
        <w:tc>
          <w:tcPr>
            <w:tcW w:w="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w:t>
            </w:r>
          </w:p>
        </w:tc>
        <w:tc>
          <w:tcPr>
            <w:tcW w:w="121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宋体" w:hAnsi="宋体"/>
                <w:color w:val="000000"/>
                <w:szCs w:val="21"/>
              </w:rPr>
            </w:pPr>
            <w:r>
              <w:rPr>
                <w:rFonts w:hint="eastAsia" w:ascii="宋体" w:hAnsi="宋体"/>
                <w:szCs w:val="21"/>
              </w:rPr>
              <w:t>0105025</w:t>
            </w:r>
          </w:p>
        </w:tc>
        <w:tc>
          <w:tcPr>
            <w:tcW w:w="267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rPr>
                <w:rFonts w:ascii="宋体" w:hAnsi="宋体"/>
                <w:szCs w:val="21"/>
              </w:rPr>
            </w:pPr>
            <w:r>
              <w:rPr>
                <w:rFonts w:hint="eastAsia" w:ascii="宋体" w:hAnsi="宋体" w:cs="宋体"/>
                <w:kern w:val="0"/>
                <w:szCs w:val="18"/>
              </w:rPr>
              <w:t>高职语文与中华传统文化（1）</w:t>
            </w:r>
          </w:p>
        </w:tc>
        <w:tc>
          <w:tcPr>
            <w:tcW w:w="67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rPr>
                <w:rFonts w:ascii="宋体" w:hAnsi="宋体"/>
                <w:szCs w:val="21"/>
              </w:rPr>
            </w:pPr>
            <w:r>
              <w:rPr>
                <w:rFonts w:hint="eastAsia" w:ascii="宋体" w:hAnsi="宋体"/>
                <w:szCs w:val="21"/>
              </w:rPr>
              <w:t>必修</w:t>
            </w:r>
          </w:p>
        </w:tc>
        <w:tc>
          <w:tcPr>
            <w:tcW w:w="402"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240" w:lineRule="exact"/>
              <w:jc w:val="center"/>
              <w:rPr>
                <w:rFonts w:ascii="宋体" w:hAnsi="宋体"/>
                <w:szCs w:val="21"/>
              </w:rPr>
            </w:pPr>
            <w:r>
              <w:rPr>
                <w:rFonts w:hint="eastAsia" w:ascii="宋体" w:hAnsi="宋体"/>
                <w:szCs w:val="18"/>
              </w:rPr>
              <w:t>B</w:t>
            </w:r>
          </w:p>
        </w:tc>
        <w:tc>
          <w:tcPr>
            <w:tcW w:w="550"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240" w:lineRule="exact"/>
              <w:jc w:val="center"/>
              <w:rPr>
                <w:rFonts w:ascii="宋体" w:hAnsi="宋体"/>
                <w:szCs w:val="21"/>
              </w:rPr>
            </w:pPr>
            <w:r>
              <w:rPr>
                <w:rFonts w:hint="eastAsia" w:ascii="宋体" w:hAnsi="宋体"/>
                <w:szCs w:val="21"/>
              </w:rPr>
              <w:t>2</w:t>
            </w:r>
          </w:p>
        </w:tc>
        <w:tc>
          <w:tcPr>
            <w:tcW w:w="70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exact"/>
              <w:jc w:val="center"/>
              <w:rPr>
                <w:rFonts w:ascii="宋体" w:hAnsi="宋体"/>
                <w:szCs w:val="21"/>
              </w:rPr>
            </w:pPr>
            <w:r>
              <w:rPr>
                <w:rFonts w:hint="eastAsia" w:ascii="宋体" w:hAnsi="宋体"/>
                <w:szCs w:val="21"/>
              </w:rPr>
              <w:t>32</w:t>
            </w:r>
          </w:p>
        </w:tc>
        <w:tc>
          <w:tcPr>
            <w:tcW w:w="576" w:type="dxa"/>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240" w:lineRule="exact"/>
              <w:jc w:val="center"/>
              <w:rPr>
                <w:rFonts w:ascii="宋体" w:hAnsi="宋体"/>
                <w:szCs w:val="21"/>
              </w:rPr>
            </w:pPr>
            <w:r>
              <w:rPr>
                <w:rFonts w:hint="eastAsia" w:ascii="宋体" w:hAnsi="宋体"/>
                <w:szCs w:val="21"/>
              </w:rPr>
              <w:t>22</w:t>
            </w:r>
          </w:p>
        </w:tc>
        <w:tc>
          <w:tcPr>
            <w:tcW w:w="584" w:type="dxa"/>
            <w:tcBorders>
              <w:top w:val="single" w:color="auto" w:sz="4" w:space="0"/>
              <w:left w:val="single" w:color="auto" w:sz="4" w:space="0"/>
              <w:bottom w:val="single" w:color="auto" w:sz="4" w:space="0"/>
              <w:right w:val="single" w:color="auto" w:sz="4" w:space="0"/>
            </w:tcBorders>
            <w:shd w:val="clear" w:color="auto" w:fill="E0E0E0"/>
            <w:noWrap/>
            <w:vAlign w:val="center"/>
          </w:tcPr>
          <w:p>
            <w:pPr>
              <w:widowControl/>
              <w:spacing w:line="240" w:lineRule="exact"/>
              <w:jc w:val="center"/>
              <w:rPr>
                <w:rFonts w:ascii="宋体" w:hAnsi="宋体"/>
                <w:szCs w:val="21"/>
              </w:rPr>
            </w:pPr>
            <w:r>
              <w:rPr>
                <w:rFonts w:hint="eastAsia" w:ascii="宋体" w:hAnsi="宋体"/>
                <w:szCs w:val="21"/>
              </w:rPr>
              <w:t>10</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2</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Cs w:val="21"/>
              </w:rPr>
            </w:pPr>
            <w:r>
              <w:rPr>
                <w:rFonts w:hint="eastAsia" w:ascii="宋体" w:hAnsi="宋体"/>
                <w:szCs w:val="21"/>
              </w:rPr>
              <w:t>考试</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2</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szCs w:val="21"/>
              </w:rPr>
            </w:pPr>
            <w:r>
              <w:rPr>
                <w:rFonts w:hint="eastAsia" w:ascii="宋体" w:hAnsi="宋体"/>
                <w:szCs w:val="21"/>
              </w:rPr>
              <w:t>0105026</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szCs w:val="21"/>
              </w:rPr>
            </w:pPr>
            <w:r>
              <w:rPr>
                <w:rFonts w:hint="eastAsia" w:ascii="宋体" w:hAnsi="宋体" w:cs="宋体"/>
                <w:kern w:val="0"/>
                <w:szCs w:val="18"/>
              </w:rPr>
              <w:t>高职语文与中华传统文化</w:t>
            </w:r>
            <w:r>
              <w:rPr>
                <w:rFonts w:hint="eastAsia" w:ascii="宋体" w:hAnsi="宋体"/>
                <w:szCs w:val="21"/>
              </w:rPr>
              <w:t>（2）</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szCs w:val="21"/>
              </w:rPr>
            </w:pPr>
            <w:r>
              <w:rPr>
                <w:rFonts w:hint="eastAsia" w:ascii="宋体" w:hAnsi="宋体"/>
                <w:szCs w:val="21"/>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szCs w:val="21"/>
              </w:rPr>
            </w:pPr>
            <w:r>
              <w:rPr>
                <w:rFonts w:hint="eastAsia" w:ascii="宋体" w:hAnsi="宋体"/>
                <w:szCs w:val="18"/>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szCs w:val="21"/>
              </w:rPr>
            </w:pPr>
            <w:r>
              <w:rPr>
                <w:rFonts w:hint="eastAsia" w:ascii="宋体" w:hAnsi="宋体"/>
                <w:szCs w:val="21"/>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26</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10</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2</w:t>
            </w: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Cs w:val="21"/>
              </w:rPr>
            </w:pPr>
            <w:r>
              <w:rPr>
                <w:rFonts w:hint="eastAsia" w:ascii="宋体" w:hAnsi="宋体"/>
                <w:szCs w:val="21"/>
              </w:rPr>
              <w:t>考试</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3</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szCs w:val="21"/>
              </w:rPr>
            </w:pPr>
            <w:r>
              <w:rPr>
                <w:rFonts w:hint="eastAsia" w:ascii="宋体" w:hAnsi="宋体"/>
                <w:szCs w:val="21"/>
              </w:rPr>
              <w:t>0201038</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szCs w:val="21"/>
              </w:rPr>
            </w:pPr>
            <w:r>
              <w:rPr>
                <w:rFonts w:hint="eastAsia" w:ascii="宋体" w:hAnsi="宋体"/>
                <w:szCs w:val="21"/>
              </w:rPr>
              <w:t>高职数学（1）</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szCs w:val="21"/>
              </w:rPr>
            </w:pPr>
            <w:r>
              <w:rPr>
                <w:rFonts w:hint="eastAsia" w:ascii="宋体" w:hAnsi="宋体"/>
                <w:szCs w:val="21"/>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szCs w:val="21"/>
              </w:rPr>
            </w:pPr>
            <w:r>
              <w:rPr>
                <w:rFonts w:hint="eastAsia" w:ascii="宋体" w:hAnsi="宋体"/>
                <w:szCs w:val="18"/>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szCs w:val="21"/>
              </w:rPr>
            </w:pPr>
            <w:r>
              <w:rPr>
                <w:rFonts w:hint="eastAsia" w:ascii="宋体" w:hAnsi="宋体"/>
                <w:szCs w:val="21"/>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64</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42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22</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4</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Cs w:val="21"/>
              </w:rPr>
            </w:pPr>
            <w:r>
              <w:rPr>
                <w:rFonts w:hint="eastAsia" w:ascii="宋体" w:hAnsi="宋体"/>
                <w:szCs w:val="21"/>
              </w:rPr>
              <w:t>考试</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20"/>
                <w:szCs w:val="20"/>
              </w:rPr>
            </w:pPr>
            <w:r>
              <w:rPr>
                <w:rFonts w:hint="eastAsia" w:ascii="宋体" w:hAnsi="宋体"/>
                <w:szCs w:val="18"/>
              </w:rPr>
              <w:t>理工类专业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4</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szCs w:val="21"/>
              </w:rPr>
            </w:pPr>
            <w:r>
              <w:rPr>
                <w:rFonts w:hint="eastAsia" w:ascii="宋体" w:hAnsi="宋体"/>
                <w:szCs w:val="21"/>
              </w:rPr>
              <w:t>0201039</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szCs w:val="21"/>
              </w:rPr>
            </w:pPr>
            <w:r>
              <w:rPr>
                <w:rFonts w:hint="eastAsia" w:ascii="宋体" w:hAnsi="宋体"/>
                <w:szCs w:val="21"/>
              </w:rPr>
              <w:t>高职数学（2）</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szCs w:val="21"/>
              </w:rPr>
            </w:pPr>
            <w:r>
              <w:rPr>
                <w:rFonts w:hint="eastAsia" w:ascii="宋体" w:hAnsi="宋体"/>
                <w:szCs w:val="21"/>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szCs w:val="21"/>
              </w:rPr>
            </w:pPr>
            <w:r>
              <w:rPr>
                <w:rFonts w:hint="eastAsia" w:ascii="宋体" w:hAnsi="宋体"/>
                <w:szCs w:val="18"/>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szCs w:val="21"/>
              </w:rPr>
            </w:pPr>
            <w:r>
              <w:rPr>
                <w:rFonts w:hint="eastAsia" w:ascii="宋体" w:hAnsi="宋体"/>
                <w:szCs w:val="21"/>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eastAsia="宋体"/>
                <w:szCs w:val="21"/>
              </w:rPr>
            </w:pPr>
            <w:r>
              <w:rPr>
                <w:rFonts w:hint="eastAsia" w:ascii="宋体" w:hAnsi="宋体"/>
                <w:szCs w:val="21"/>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eastAsia="宋体"/>
                <w:szCs w:val="21"/>
              </w:rPr>
            </w:pPr>
            <w:r>
              <w:rPr>
                <w:rFonts w:hint="eastAsia" w:ascii="宋体" w:hAnsi="宋体"/>
                <w:szCs w:val="21"/>
              </w:rPr>
              <w:t>25</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eastAsia="宋体"/>
                <w:szCs w:val="21"/>
              </w:rPr>
            </w:pPr>
            <w:r>
              <w:rPr>
                <w:rFonts w:hint="eastAsia" w:ascii="宋体" w:hAnsi="宋体"/>
                <w:szCs w:val="21"/>
              </w:rPr>
              <w:t>11</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eastAsia="宋体"/>
                <w:szCs w:val="21"/>
              </w:rPr>
            </w:pPr>
            <w:r>
              <w:rPr>
                <w:rFonts w:hint="eastAsia" w:ascii="宋体" w:hAnsi="宋体"/>
                <w:szCs w:val="21"/>
              </w:rPr>
              <w:t>2</w:t>
            </w: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Cs w:val="21"/>
              </w:rPr>
            </w:pPr>
            <w:r>
              <w:rPr>
                <w:rFonts w:hint="eastAsia" w:ascii="宋体" w:hAnsi="宋体"/>
                <w:szCs w:val="21"/>
              </w:rPr>
              <w:t>考试</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18"/>
              </w:rPr>
            </w:pPr>
            <w:r>
              <w:rPr>
                <w:rFonts w:hint="eastAsia" w:ascii="宋体" w:hAnsi="宋体"/>
                <w:szCs w:val="18"/>
              </w:rPr>
              <w:t>理工类专业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5</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szCs w:val="21"/>
              </w:rPr>
            </w:pPr>
            <w:r>
              <w:rPr>
                <w:rFonts w:hint="eastAsia" w:ascii="宋体" w:hAnsi="宋体"/>
                <w:color w:val="000000"/>
                <w:szCs w:val="21"/>
              </w:rPr>
              <w:t>0304001</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szCs w:val="21"/>
              </w:rPr>
            </w:pPr>
            <w:r>
              <w:rPr>
                <w:rFonts w:hint="eastAsia" w:ascii="宋体" w:hAnsi="宋体"/>
                <w:szCs w:val="21"/>
              </w:rPr>
              <w:t>高职英语（1）</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szCs w:val="21"/>
              </w:rPr>
            </w:pPr>
            <w:r>
              <w:rPr>
                <w:rFonts w:hint="eastAsia" w:ascii="宋体" w:hAnsi="宋体"/>
                <w:szCs w:val="21"/>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szCs w:val="21"/>
              </w:rPr>
            </w:pPr>
            <w:r>
              <w:rPr>
                <w:rFonts w:hint="eastAsia" w:ascii="宋体" w:hAnsi="宋体"/>
                <w:szCs w:val="18"/>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szCs w:val="21"/>
              </w:rPr>
            </w:pPr>
            <w:r>
              <w:rPr>
                <w:rFonts w:hint="eastAsia" w:ascii="宋体" w:hAnsi="宋体"/>
                <w:szCs w:val="21"/>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64</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42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22</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4</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Cs w:val="21"/>
              </w:rPr>
            </w:pPr>
            <w:r>
              <w:rPr>
                <w:rFonts w:hint="eastAsia" w:ascii="宋体" w:hAnsi="宋体"/>
                <w:szCs w:val="21"/>
              </w:rPr>
              <w:t>考试</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6</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szCs w:val="21"/>
              </w:rPr>
            </w:pPr>
            <w:r>
              <w:rPr>
                <w:rFonts w:hint="eastAsia" w:ascii="宋体" w:hAnsi="宋体"/>
                <w:color w:val="000000"/>
                <w:szCs w:val="21"/>
              </w:rPr>
              <w:t>0304002</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szCs w:val="21"/>
              </w:rPr>
            </w:pPr>
            <w:r>
              <w:rPr>
                <w:rFonts w:hint="eastAsia" w:ascii="宋体" w:hAnsi="宋体"/>
                <w:szCs w:val="21"/>
              </w:rPr>
              <w:t>高职英语（2）</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szCs w:val="21"/>
              </w:rPr>
            </w:pPr>
            <w:r>
              <w:rPr>
                <w:rFonts w:hint="eastAsia" w:ascii="宋体" w:hAnsi="宋体"/>
                <w:szCs w:val="21"/>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szCs w:val="21"/>
              </w:rPr>
            </w:pPr>
            <w:r>
              <w:rPr>
                <w:rFonts w:hint="eastAsia" w:ascii="宋体" w:hAnsi="宋体"/>
                <w:szCs w:val="18"/>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eastAsia="宋体"/>
                <w:szCs w:val="21"/>
              </w:rPr>
            </w:pPr>
            <w:r>
              <w:rPr>
                <w:rFonts w:hint="eastAsia" w:ascii="宋体" w:hAnsi="宋体"/>
                <w:szCs w:val="21"/>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eastAsia="宋体"/>
                <w:szCs w:val="21"/>
              </w:rPr>
            </w:pPr>
            <w:r>
              <w:rPr>
                <w:rFonts w:hint="eastAsia" w:ascii="宋体" w:hAnsi="宋体"/>
                <w:szCs w:val="21"/>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eastAsia="宋体"/>
                <w:szCs w:val="21"/>
              </w:rPr>
            </w:pPr>
            <w:r>
              <w:rPr>
                <w:rFonts w:hint="eastAsia" w:ascii="宋体" w:hAnsi="宋体"/>
                <w:szCs w:val="21"/>
              </w:rPr>
              <w:t>25</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eastAsia="宋体"/>
                <w:szCs w:val="21"/>
              </w:rPr>
            </w:pPr>
            <w:r>
              <w:rPr>
                <w:rFonts w:hint="eastAsia" w:ascii="宋体" w:hAnsi="宋体"/>
                <w:szCs w:val="21"/>
              </w:rPr>
              <w:t>11</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eastAsia="宋体"/>
                <w:szCs w:val="21"/>
              </w:rPr>
            </w:pPr>
            <w:r>
              <w:rPr>
                <w:rFonts w:hint="eastAsia" w:ascii="宋体" w:hAnsi="宋体"/>
                <w:szCs w:val="21"/>
              </w:rPr>
              <w:t>2</w:t>
            </w: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Cs w:val="21"/>
              </w:rPr>
            </w:pPr>
            <w:r>
              <w:rPr>
                <w:rFonts w:hint="eastAsia" w:ascii="宋体" w:hAnsi="宋体"/>
                <w:szCs w:val="21"/>
              </w:rPr>
              <w:t>考试</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eastAsia="宋体" w:cs="宋体"/>
                <w:kern w:val="0"/>
                <w:sz w:val="20"/>
                <w:szCs w:val="20"/>
              </w:rPr>
            </w:pPr>
            <w:r>
              <w:rPr>
                <w:rFonts w:hint="eastAsia" w:ascii="宋体" w:hAnsi="宋体" w:cs="宋体"/>
                <w:kern w:val="0"/>
                <w:sz w:val="20"/>
                <w:szCs w:val="20"/>
              </w:rPr>
              <w:t>辅以专业英语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7</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szCs w:val="21"/>
              </w:rPr>
            </w:pPr>
            <w:r>
              <w:rPr>
                <w:rFonts w:hint="eastAsia" w:ascii="宋体" w:hAnsi="宋体"/>
                <w:color w:val="000000"/>
                <w:szCs w:val="21"/>
              </w:rPr>
              <w:t>0401001</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szCs w:val="21"/>
              </w:rPr>
            </w:pPr>
            <w:r>
              <w:rPr>
                <w:rFonts w:hint="eastAsia" w:ascii="宋体" w:hAnsi="宋体"/>
                <w:szCs w:val="21"/>
              </w:rPr>
              <w:t>计算机应用</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szCs w:val="21"/>
              </w:rPr>
            </w:pPr>
            <w:r>
              <w:rPr>
                <w:rFonts w:hint="eastAsia" w:ascii="宋体" w:hAnsi="宋体"/>
                <w:szCs w:val="21"/>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szCs w:val="21"/>
              </w:rPr>
            </w:pPr>
            <w:r>
              <w:rPr>
                <w:rFonts w:hint="eastAsia" w:ascii="宋体" w:hAnsi="宋体"/>
                <w:szCs w:val="18"/>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szCs w:val="21"/>
              </w:rPr>
            </w:pPr>
            <w:r>
              <w:rPr>
                <w:rFonts w:hint="eastAsia" w:ascii="宋体" w:hAnsi="宋体"/>
                <w:szCs w:val="21"/>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36</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36</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eastAsia="宋体"/>
                <w:szCs w:val="21"/>
              </w:rPr>
            </w:pPr>
            <w:r>
              <w:rPr>
                <w:rFonts w:hint="eastAsia" w:ascii="宋体" w:hAnsi="宋体"/>
                <w:szCs w:val="21"/>
              </w:rPr>
              <w:t>4</w:t>
            </w:r>
          </w:p>
        </w:tc>
        <w:tc>
          <w:tcPr>
            <w:tcW w:w="600" w:type="dxa"/>
            <w:tcBorders>
              <w:top w:val="single" w:color="auto" w:sz="4" w:space="0"/>
              <w:left w:val="single" w:color="auto" w:sz="4" w:space="0"/>
              <w:right w:val="single" w:color="auto" w:sz="4" w:space="0"/>
            </w:tcBorders>
            <w:noWrap/>
            <w:vAlign w:val="center"/>
          </w:tcPr>
          <w:p>
            <w:pPr>
              <w:widowControl/>
              <w:spacing w:line="240" w:lineRule="exact"/>
              <w:jc w:val="center"/>
              <w:rPr>
                <w:rFonts w:ascii="宋体" w:hAnsi="宋体"/>
                <w:szCs w:val="21"/>
              </w:rPr>
            </w:pPr>
          </w:p>
        </w:tc>
        <w:tc>
          <w:tcPr>
            <w:tcW w:w="583" w:type="dxa"/>
            <w:tcBorders>
              <w:top w:val="single" w:color="auto" w:sz="4" w:space="0"/>
              <w:left w:val="single" w:color="auto" w:sz="4" w:space="0"/>
              <w:right w:val="single" w:color="auto" w:sz="4" w:space="0"/>
            </w:tcBorders>
            <w:noWrap/>
            <w:vAlign w:val="center"/>
          </w:tcPr>
          <w:p>
            <w:pPr>
              <w:widowControl/>
              <w:spacing w:line="240" w:lineRule="exact"/>
              <w:jc w:val="center"/>
              <w:rPr>
                <w:rFonts w:ascii="宋体" w:hAnsi="宋体"/>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8</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szCs w:val="21"/>
              </w:rPr>
            </w:pPr>
            <w:r>
              <w:rPr>
                <w:rFonts w:hint="eastAsia" w:ascii="宋体" w:hAnsi="宋体"/>
                <w:color w:val="000000"/>
                <w:szCs w:val="21"/>
              </w:rPr>
              <w:t>0803001</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szCs w:val="21"/>
              </w:rPr>
            </w:pPr>
            <w:r>
              <w:rPr>
                <w:rFonts w:hint="eastAsia" w:ascii="宋体" w:hAnsi="宋体"/>
                <w:szCs w:val="21"/>
              </w:rPr>
              <w:t>体育（1）</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szCs w:val="21"/>
              </w:rPr>
            </w:pPr>
            <w:r>
              <w:rPr>
                <w:rFonts w:hint="eastAsia" w:ascii="宋体" w:hAnsi="宋体"/>
                <w:szCs w:val="18"/>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szCs w:val="21"/>
              </w:rPr>
            </w:pPr>
            <w:r>
              <w:rPr>
                <w:rFonts w:hint="eastAsia" w:ascii="宋体" w:hAnsi="宋体"/>
                <w:szCs w:val="21"/>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32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30</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2</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600" w:type="dxa"/>
            <w:tcBorders>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583" w:type="dxa"/>
            <w:tcBorders>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kern w:val="0"/>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kern w:val="0"/>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7"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kern w:val="0"/>
                <w:szCs w:val="21"/>
              </w:rPr>
            </w:pPr>
          </w:p>
        </w:tc>
        <w:tc>
          <w:tcPr>
            <w:tcW w:w="547" w:type="dxa"/>
            <w:tcBorders>
              <w:top w:val="single" w:color="auto" w:sz="4" w:space="0"/>
              <w:left w:val="single" w:color="auto" w:sz="4" w:space="0"/>
              <w:right w:val="single" w:color="auto" w:sz="4" w:space="0"/>
            </w:tcBorders>
            <w:noWrap/>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9</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szCs w:val="21"/>
              </w:rPr>
            </w:pPr>
            <w:r>
              <w:rPr>
                <w:rFonts w:hint="eastAsia" w:ascii="宋体" w:hAnsi="宋体"/>
                <w:color w:val="000000"/>
                <w:szCs w:val="21"/>
              </w:rPr>
              <w:t>0803002</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szCs w:val="21"/>
              </w:rPr>
            </w:pPr>
            <w:r>
              <w:rPr>
                <w:rFonts w:hint="eastAsia" w:ascii="宋体" w:hAnsi="宋体"/>
                <w:szCs w:val="21"/>
              </w:rPr>
              <w:t>体育（2）</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szCs w:val="21"/>
              </w:rPr>
            </w:pPr>
            <w:r>
              <w:rPr>
                <w:rFonts w:hint="eastAsia" w:ascii="宋体" w:hAnsi="宋体"/>
                <w:szCs w:val="18"/>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szCs w:val="21"/>
              </w:rPr>
            </w:pPr>
            <w:r>
              <w:rPr>
                <w:rFonts w:hint="eastAsia" w:ascii="宋体" w:hAnsi="宋体"/>
                <w:szCs w:val="21"/>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6</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30</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2</w:t>
            </w: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kern w:val="0"/>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kern w:val="0"/>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kern w:val="0"/>
                <w:szCs w:val="21"/>
              </w:rPr>
            </w:pPr>
          </w:p>
        </w:tc>
        <w:tc>
          <w:tcPr>
            <w:tcW w:w="547" w:type="dxa"/>
            <w:tcBorders>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10</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szCs w:val="21"/>
              </w:rPr>
            </w:pPr>
            <w:r>
              <w:rPr>
                <w:rFonts w:hint="eastAsia" w:ascii="宋体" w:hAnsi="宋体"/>
                <w:color w:val="000000"/>
                <w:szCs w:val="21"/>
              </w:rPr>
              <w:t>0803003</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szCs w:val="21"/>
              </w:rPr>
            </w:pPr>
            <w:r>
              <w:rPr>
                <w:rFonts w:hint="eastAsia" w:ascii="宋体" w:hAnsi="宋体"/>
                <w:szCs w:val="21"/>
              </w:rPr>
              <w:t>体育（3）</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szCs w:val="18"/>
              </w:rPr>
            </w:pPr>
            <w:r>
              <w:rPr>
                <w:rFonts w:hint="eastAsia" w:ascii="宋体" w:hAnsi="宋体"/>
                <w:szCs w:val="18"/>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szCs w:val="21"/>
              </w:rPr>
            </w:pPr>
            <w:r>
              <w:rPr>
                <w:rFonts w:hint="eastAsia" w:ascii="宋体" w:hAnsi="宋体"/>
                <w:szCs w:val="21"/>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32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30</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2</w:t>
            </w: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kern w:val="0"/>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kern w:val="0"/>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11</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szCs w:val="21"/>
              </w:rPr>
            </w:pPr>
            <w:r>
              <w:rPr>
                <w:rFonts w:hint="eastAsia" w:ascii="宋体" w:hAnsi="宋体"/>
                <w:szCs w:val="21"/>
              </w:rPr>
              <w:t>0803004</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szCs w:val="21"/>
              </w:rPr>
            </w:pPr>
            <w:r>
              <w:rPr>
                <w:rFonts w:hint="eastAsia" w:ascii="宋体" w:hAnsi="宋体"/>
                <w:szCs w:val="21"/>
              </w:rPr>
              <w:t>体育（4）</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szCs w:val="21"/>
              </w:rPr>
            </w:pPr>
            <w:r>
              <w:rPr>
                <w:rFonts w:hint="eastAsia" w:ascii="宋体" w:hAnsi="宋体"/>
                <w:szCs w:val="18"/>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szCs w:val="21"/>
              </w:rPr>
            </w:pPr>
            <w:r>
              <w:rPr>
                <w:rFonts w:hint="eastAsia" w:ascii="宋体" w:hAnsi="宋体"/>
                <w:szCs w:val="21"/>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6</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30</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2</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kern w:val="0"/>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kern w:val="0"/>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12</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szCs w:val="21"/>
              </w:rPr>
            </w:pPr>
            <w:r>
              <w:rPr>
                <w:rFonts w:hint="eastAsia" w:ascii="宋体" w:hAnsi="宋体"/>
                <w:szCs w:val="21"/>
              </w:rPr>
              <w:t>0801035</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s="宋体"/>
                <w:kern w:val="0"/>
                <w:szCs w:val="18"/>
              </w:rPr>
            </w:pPr>
            <w:r>
              <w:rPr>
                <w:rFonts w:hint="eastAsia" w:ascii="宋体" w:hAnsi="宋体" w:cs="宋体"/>
                <w:kern w:val="0"/>
                <w:szCs w:val="18"/>
              </w:rPr>
              <w:t>思想道德修养与法律基础（1）</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szCs w:val="21"/>
              </w:rPr>
            </w:pPr>
            <w:r>
              <w:rPr>
                <w:rFonts w:hint="eastAsia" w:ascii="宋体" w:hAnsi="宋体"/>
                <w:szCs w:val="21"/>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szCs w:val="21"/>
              </w:rPr>
            </w:pPr>
            <w:r>
              <w:rPr>
                <w:rFonts w:hint="eastAsia" w:ascii="宋体" w:hAnsi="宋体"/>
                <w:szCs w:val="18"/>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szCs w:val="21"/>
              </w:rPr>
            </w:pPr>
            <w:r>
              <w:rPr>
                <w:rFonts w:hint="eastAsia" w:ascii="宋体" w:hAnsi="宋体"/>
                <w:szCs w:val="21"/>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32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23</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9</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2</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13</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szCs w:val="21"/>
              </w:rPr>
            </w:pPr>
            <w:r>
              <w:rPr>
                <w:rFonts w:hint="eastAsia" w:ascii="宋体" w:hAnsi="宋体"/>
                <w:szCs w:val="21"/>
              </w:rPr>
              <w:t>0801038</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left"/>
              <w:rPr>
                <w:rFonts w:ascii="宋体" w:hAnsi="宋体" w:cs="宋体"/>
                <w:kern w:val="0"/>
                <w:szCs w:val="18"/>
              </w:rPr>
            </w:pPr>
            <w:r>
              <w:rPr>
                <w:rFonts w:hint="eastAsia" w:ascii="宋体" w:hAnsi="宋体" w:cs="宋体"/>
                <w:kern w:val="0"/>
                <w:szCs w:val="18"/>
              </w:rPr>
              <w:t>思想道德修养与法律基础（2）</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szCs w:val="21"/>
              </w:rPr>
            </w:pPr>
            <w:r>
              <w:rPr>
                <w:rFonts w:hint="eastAsia" w:ascii="宋体" w:hAnsi="宋体"/>
                <w:szCs w:val="18"/>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szCs w:val="21"/>
              </w:rPr>
            </w:pPr>
            <w:r>
              <w:rPr>
                <w:rFonts w:hint="eastAsia" w:ascii="宋体" w:hAnsi="宋体"/>
                <w:szCs w:val="21"/>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27</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9</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2</w:t>
            </w: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14</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szCs w:val="21"/>
              </w:rPr>
            </w:pPr>
            <w:r>
              <w:rPr>
                <w:rFonts w:hint="eastAsia" w:ascii="宋体" w:hAnsi="宋体"/>
                <w:szCs w:val="21"/>
              </w:rPr>
              <w:t>0801048</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left"/>
              <w:rPr>
                <w:rFonts w:ascii="宋体" w:hAnsi="宋体"/>
                <w:szCs w:val="21"/>
              </w:rPr>
            </w:pPr>
            <w:r>
              <w:rPr>
                <w:rFonts w:hint="eastAsia" w:ascii="宋体" w:hAnsi="宋体" w:cs="宋体"/>
                <w:kern w:val="0"/>
                <w:szCs w:val="18"/>
              </w:rPr>
              <w:t>毛泽东思想和中国特色社会主义理论体系概论（1）</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szCs w:val="21"/>
              </w:rPr>
            </w:pPr>
            <w:r>
              <w:rPr>
                <w:rFonts w:hint="eastAsia" w:ascii="宋体" w:hAnsi="宋体"/>
                <w:szCs w:val="18"/>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exact"/>
              <w:jc w:val="center"/>
              <w:rPr>
                <w:rFonts w:ascii="宋体" w:hAnsi="宋体"/>
                <w:szCs w:val="21"/>
              </w:rPr>
            </w:pPr>
            <w:r>
              <w:rPr>
                <w:rFonts w:hint="eastAsia" w:ascii="宋体" w:hAnsi="宋体"/>
                <w:szCs w:val="21"/>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32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23</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9</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2</w:t>
            </w: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3"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15</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szCs w:val="21"/>
              </w:rPr>
            </w:pPr>
            <w:r>
              <w:rPr>
                <w:rFonts w:hint="eastAsia" w:ascii="宋体" w:hAnsi="宋体"/>
                <w:szCs w:val="21"/>
              </w:rPr>
              <w:t>0801049</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left"/>
              <w:rPr>
                <w:rFonts w:ascii="宋体" w:hAnsi="宋体"/>
                <w:szCs w:val="21"/>
              </w:rPr>
            </w:pPr>
            <w:r>
              <w:rPr>
                <w:rFonts w:hint="eastAsia" w:ascii="宋体" w:hAnsi="宋体" w:cs="宋体"/>
                <w:kern w:val="0"/>
                <w:szCs w:val="18"/>
              </w:rPr>
              <w:t>毛泽东思想和中国特色社会主义理论体系概论（2）</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szCs w:val="21"/>
              </w:rPr>
            </w:pPr>
            <w:r>
              <w:rPr>
                <w:rFonts w:hint="eastAsia" w:ascii="宋体" w:hAnsi="宋体"/>
                <w:szCs w:val="21"/>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360" w:lineRule="exact"/>
              <w:jc w:val="center"/>
              <w:rPr>
                <w:rFonts w:ascii="宋体" w:hAnsi="宋体"/>
                <w:szCs w:val="21"/>
              </w:rPr>
            </w:pPr>
            <w:r>
              <w:rPr>
                <w:rFonts w:hint="eastAsia" w:ascii="宋体" w:hAnsi="宋体"/>
                <w:szCs w:val="18"/>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360" w:lineRule="exact"/>
              <w:jc w:val="center"/>
              <w:rPr>
                <w:rFonts w:ascii="宋体" w:hAnsi="宋体"/>
                <w:szCs w:val="21"/>
              </w:rPr>
            </w:pPr>
            <w:r>
              <w:rPr>
                <w:rFonts w:hint="eastAsia" w:ascii="宋体" w:hAnsi="宋体"/>
                <w:szCs w:val="21"/>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szCs w:val="21"/>
              </w:rPr>
            </w:pPr>
            <w:r>
              <w:rPr>
                <w:rFonts w:hint="eastAsia" w:ascii="宋体" w:hAnsi="宋体"/>
                <w:szCs w:val="21"/>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szCs w:val="21"/>
              </w:rPr>
            </w:pPr>
            <w:r>
              <w:rPr>
                <w:rFonts w:hint="eastAsia" w:ascii="宋体" w:hAnsi="宋体"/>
                <w:szCs w:val="21"/>
              </w:rPr>
              <w:t>26</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szCs w:val="21"/>
              </w:rPr>
            </w:pPr>
            <w:r>
              <w:rPr>
                <w:rFonts w:hint="eastAsia" w:ascii="宋体" w:hAnsi="宋体"/>
                <w:szCs w:val="21"/>
              </w:rPr>
              <w:t>10</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szCs w:val="21"/>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szCs w:val="21"/>
              </w:rPr>
            </w:pPr>
            <w:r>
              <w:rPr>
                <w:rFonts w:hint="eastAsia" w:ascii="宋体" w:hAnsi="宋体"/>
                <w:szCs w:val="21"/>
              </w:rPr>
              <w:t>2</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s="宋体"/>
                <w:kern w:val="0"/>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s="宋体"/>
                <w:kern w:val="0"/>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szCs w:val="21"/>
              </w:rPr>
            </w:pPr>
            <w:r>
              <w:rPr>
                <w:rFonts w:hint="eastAsia" w:ascii="宋体" w:hAnsi="宋体"/>
                <w:szCs w:val="21"/>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16</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szCs w:val="21"/>
              </w:rPr>
            </w:pPr>
            <w:r>
              <w:rPr>
                <w:rFonts w:hint="eastAsia" w:ascii="宋体" w:hAnsi="宋体"/>
                <w:color w:val="000000"/>
                <w:szCs w:val="21"/>
              </w:rPr>
              <w:t>0499016</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szCs w:val="21"/>
              </w:rPr>
            </w:pPr>
            <w:r>
              <w:rPr>
                <w:rFonts w:hint="eastAsia" w:ascii="宋体" w:hAnsi="宋体" w:cs="宋体"/>
                <w:kern w:val="0"/>
                <w:szCs w:val="18"/>
              </w:rPr>
              <w:t>形势与政策</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szCs w:val="18"/>
              </w:rPr>
            </w:pPr>
            <w:r>
              <w:rPr>
                <w:rFonts w:hint="eastAsia" w:ascii="宋体" w:hAnsi="宋体"/>
                <w:szCs w:val="18"/>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szCs w:val="21"/>
              </w:rPr>
            </w:pPr>
            <w:r>
              <w:rPr>
                <w:rFonts w:ascii="宋体" w:hAnsi="宋体"/>
                <w:szCs w:val="21"/>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ascii="宋体" w:hAnsi="宋体"/>
                <w:szCs w:val="21"/>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ascii="宋体" w:hAnsi="宋体"/>
                <w:szCs w:val="21"/>
              </w:rPr>
              <w:t>16</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20</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asciiTheme="minorEastAsia" w:hAnsiTheme="minorEastAsia"/>
                <w:szCs w:val="21"/>
              </w:rPr>
              <w:t>△</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asciiTheme="minorEastAsia" w:hAnsiTheme="minorEastAsia"/>
                <w:szCs w:val="21"/>
              </w:rPr>
              <w:t>△</w:t>
            </w: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asciiTheme="minorEastAsia" w:hAnsiTheme="minorEastAsia"/>
                <w:szCs w:val="21"/>
              </w:rPr>
              <w:t>△</w:t>
            </w: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asciiTheme="minorEastAsia" w:hAnsiTheme="minorEastAsia"/>
                <w:szCs w:val="21"/>
              </w:rPr>
              <w:t>△</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kern w:val="0"/>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kern w:val="0"/>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20"/>
                <w:szCs w:val="20"/>
              </w:rPr>
            </w:pPr>
            <w:r>
              <w:rPr>
                <w:rFonts w:hint="eastAsia" w:ascii="宋体" w:hAnsi="宋体"/>
                <w:szCs w:val="18"/>
              </w:rPr>
              <w:t>讲座形式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17</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szCs w:val="21"/>
              </w:rPr>
            </w:pPr>
            <w:r>
              <w:rPr>
                <w:rFonts w:hint="eastAsia" w:ascii="宋体" w:hAnsi="宋体"/>
                <w:color w:val="000000"/>
                <w:szCs w:val="21"/>
              </w:rPr>
              <w:t>0804007</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szCs w:val="21"/>
              </w:rPr>
            </w:pPr>
            <w:r>
              <w:rPr>
                <w:rFonts w:hint="eastAsia" w:ascii="宋体" w:hAnsi="宋体" w:cs="宋体"/>
                <w:kern w:val="0"/>
                <w:szCs w:val="18"/>
              </w:rPr>
              <w:t>安全教育</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szCs w:val="21"/>
              </w:rPr>
            </w:pPr>
            <w:r>
              <w:rPr>
                <w:rFonts w:hint="eastAsia" w:ascii="宋体" w:hAnsi="宋体"/>
                <w:szCs w:val="21"/>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szCs w:val="21"/>
              </w:rPr>
            </w:pPr>
            <w:r>
              <w:rPr>
                <w:rFonts w:hint="eastAsia" w:ascii="宋体" w:hAnsi="宋体"/>
                <w:szCs w:val="18"/>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szCs w:val="21"/>
              </w:rPr>
            </w:pPr>
            <w:r>
              <w:rPr>
                <w:rFonts w:hint="eastAsia" w:ascii="宋体" w:hAnsi="宋体"/>
                <w:szCs w:val="21"/>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ascii="宋体" w:hAnsi="宋体"/>
                <w:szCs w:val="21"/>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ascii="宋体" w:hAnsi="宋体"/>
                <w:szCs w:val="21"/>
              </w:rPr>
              <w:t>24</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12</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asciiTheme="minorEastAsia" w:hAnsiTheme="minorEastAsia"/>
                <w:szCs w:val="21"/>
              </w:rPr>
              <w:t>△</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asciiTheme="minorEastAsia" w:hAnsiTheme="minorEastAsia"/>
                <w:szCs w:val="21"/>
              </w:rPr>
              <w:t>△</w:t>
            </w: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asciiTheme="minorEastAsia" w:hAnsiTheme="minorEastAsia"/>
                <w:szCs w:val="21"/>
              </w:rPr>
              <w:t>△</w:t>
            </w: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asciiTheme="minorEastAsia" w:hAnsiTheme="minorEastAsia"/>
                <w:szCs w:val="21"/>
              </w:rPr>
              <w:t>△</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kern w:val="0"/>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kern w:val="0"/>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kern w:val="0"/>
                <w:sz w:val="20"/>
                <w:szCs w:val="20"/>
              </w:rPr>
            </w:pPr>
            <w:r>
              <w:rPr>
                <w:rFonts w:hint="eastAsia" w:ascii="宋体" w:hAnsi="宋体"/>
                <w:szCs w:val="18"/>
              </w:rPr>
              <w:t>讲座与班会形式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18</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0804009</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s="宋体"/>
                <w:color w:val="000000" w:themeColor="text1"/>
                <w:kern w:val="0"/>
                <w:szCs w:val="18"/>
              </w:rPr>
            </w:pPr>
            <w:r>
              <w:rPr>
                <w:rFonts w:hint="eastAsia" w:ascii="宋体" w:hAnsi="宋体" w:cs="宋体"/>
                <w:color w:val="000000" w:themeColor="text1"/>
                <w:kern w:val="0"/>
                <w:szCs w:val="18"/>
              </w:rPr>
              <w:t>劳动教育</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000000" w:themeColor="text1"/>
                <w:szCs w:val="21"/>
              </w:rPr>
            </w:pPr>
            <w:r>
              <w:rPr>
                <w:rFonts w:hint="eastAsia" w:ascii="宋体" w:hAnsi="宋体"/>
                <w:color w:val="000000" w:themeColor="text1"/>
                <w:szCs w:val="21"/>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000000" w:themeColor="text1"/>
                <w:szCs w:val="18"/>
              </w:rPr>
            </w:pPr>
            <w:r>
              <w:rPr>
                <w:rFonts w:hint="eastAsia" w:ascii="宋体" w:hAnsi="宋体"/>
                <w:color w:val="000000" w:themeColor="text1"/>
                <w:szCs w:val="18"/>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000000" w:themeColor="text1"/>
                <w:szCs w:val="21"/>
              </w:rPr>
            </w:pPr>
            <w:r>
              <w:rPr>
                <w:rFonts w:hint="eastAsia" w:ascii="宋体" w:hAnsi="宋体"/>
                <w:color w:val="000000" w:themeColor="text1"/>
                <w:szCs w:val="21"/>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12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24</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000000" w:themeColor="text1"/>
                <w:szCs w:val="21"/>
              </w:rPr>
            </w:pPr>
            <w:r>
              <w:rPr>
                <w:rFonts w:hint="eastAsia" w:ascii="宋体" w:hAnsi="宋体"/>
                <w:color w:val="000000" w:themeColor="text1"/>
                <w:szCs w:val="21"/>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asciiTheme="minorEastAsia" w:hAnsiTheme="minorEastAsia"/>
                <w:szCs w:val="21"/>
              </w:rPr>
              <w:t>△</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asciiTheme="minorEastAsia" w:hAnsiTheme="minorEastAsia"/>
                <w:szCs w:val="21"/>
              </w:rPr>
              <w:t>△</w:t>
            </w: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asciiTheme="minorEastAsia" w:hAnsiTheme="minorEastAsia"/>
                <w:szCs w:val="21"/>
              </w:rPr>
              <w:t>△</w:t>
            </w: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asciiTheme="minorEastAsia" w:hAnsiTheme="minorEastAsia"/>
                <w:szCs w:val="21"/>
              </w:rPr>
              <w:t>△</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000000" w:themeColor="text1"/>
                <w:kern w:val="0"/>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000000" w:themeColor="text1"/>
                <w:kern w:val="0"/>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考察</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000000" w:themeColor="text1"/>
                <w:szCs w:val="18"/>
              </w:rPr>
            </w:pPr>
            <w:r>
              <w:rPr>
                <w:rFonts w:hint="eastAsia" w:ascii="宋体" w:hAnsi="宋体"/>
                <w:color w:val="000000" w:themeColor="text1"/>
                <w:szCs w:val="18"/>
              </w:rPr>
              <w:t>讲座、主题、班会形式 实践24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19</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szCs w:val="21"/>
              </w:rPr>
            </w:pPr>
            <w:r>
              <w:rPr>
                <w:rFonts w:hint="eastAsia" w:ascii="宋体" w:hAnsi="宋体"/>
                <w:color w:val="000000"/>
                <w:szCs w:val="21"/>
              </w:rPr>
              <w:t>0802015</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eastAsia="宋体"/>
                <w:szCs w:val="21"/>
              </w:rPr>
            </w:pPr>
            <w:r>
              <w:rPr>
                <w:rFonts w:hint="eastAsia" w:ascii="宋体" w:hAnsi="宋体" w:cs="宋体"/>
                <w:kern w:val="0"/>
                <w:szCs w:val="18"/>
              </w:rPr>
              <w:t>心理健康教育</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szCs w:val="21"/>
              </w:rPr>
            </w:pPr>
            <w:r>
              <w:rPr>
                <w:rFonts w:hint="eastAsia" w:ascii="宋体" w:hAnsi="宋体"/>
                <w:szCs w:val="18"/>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eastAsia="宋体"/>
                <w:szCs w:val="21"/>
              </w:rPr>
            </w:pPr>
            <w:r>
              <w:rPr>
                <w:rFonts w:hint="eastAsia" w:ascii="宋体" w:hAnsi="宋体"/>
                <w:szCs w:val="21"/>
              </w:rPr>
              <w:t>1</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szCs w:val="21"/>
              </w:rPr>
            </w:pPr>
            <w:r>
              <w:rPr>
                <w:rFonts w:hint="eastAsia" w:ascii="宋体" w:hAnsi="宋体"/>
                <w:szCs w:val="21"/>
              </w:rPr>
              <w:t>16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szCs w:val="21"/>
              </w:rPr>
            </w:pPr>
            <w:r>
              <w:rPr>
                <w:rFonts w:hint="eastAsia" w:ascii="宋体" w:hAnsi="宋体"/>
                <w:szCs w:val="21"/>
              </w:rPr>
              <w:t>10</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szCs w:val="21"/>
              </w:rPr>
            </w:pPr>
            <w:r>
              <w:rPr>
                <w:rFonts w:hint="eastAsia" w:ascii="宋体" w:hAnsi="宋体"/>
                <w:szCs w:val="21"/>
              </w:rPr>
              <w:t>6</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szCs w:val="21"/>
              </w:rPr>
            </w:pPr>
            <w:r>
              <w:rPr>
                <w:rFonts w:hint="eastAsia" w:ascii="宋体" w:hAnsi="宋体"/>
                <w:szCs w:val="21"/>
              </w:rPr>
              <w:t>2</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kern w:val="0"/>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kern w:val="0"/>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eastAsia="宋体"/>
                <w:szCs w:val="18"/>
              </w:rPr>
            </w:pPr>
            <w:r>
              <w:rPr>
                <w:rFonts w:hint="eastAsia" w:ascii="宋体" w:hAnsi="宋体"/>
                <w:szCs w:val="18"/>
              </w:rPr>
              <w:t>开设8周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20</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szCs w:val="21"/>
              </w:rPr>
            </w:pPr>
            <w:r>
              <w:rPr>
                <w:rFonts w:hint="eastAsia" w:ascii="宋体" w:hAnsi="宋体"/>
                <w:color w:val="000000"/>
                <w:szCs w:val="21"/>
              </w:rPr>
              <w:t>0706001</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szCs w:val="21"/>
              </w:rPr>
            </w:pPr>
            <w:r>
              <w:rPr>
                <w:rFonts w:hint="eastAsia" w:ascii="宋体" w:hAnsi="宋体" w:cs="宋体"/>
                <w:kern w:val="0"/>
                <w:szCs w:val="18"/>
              </w:rPr>
              <w:t>公共艺术</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szCs w:val="21"/>
              </w:rPr>
            </w:pPr>
            <w:r>
              <w:rPr>
                <w:rFonts w:hint="eastAsia" w:ascii="宋体" w:hAnsi="宋体"/>
                <w:szCs w:val="18"/>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eastAsia="宋体"/>
                <w:szCs w:val="21"/>
              </w:rPr>
            </w:pPr>
            <w:r>
              <w:rPr>
                <w:rFonts w:hint="eastAsia" w:ascii="宋体" w:hAnsi="宋体"/>
                <w:szCs w:val="21"/>
              </w:rPr>
              <w:t>1</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szCs w:val="21"/>
              </w:rPr>
            </w:pPr>
            <w:r>
              <w:rPr>
                <w:rFonts w:hint="eastAsia" w:ascii="宋体" w:hAnsi="宋体"/>
                <w:szCs w:val="21"/>
              </w:rPr>
              <w:t>16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szCs w:val="21"/>
              </w:rPr>
            </w:pPr>
            <w:r>
              <w:rPr>
                <w:rFonts w:hint="eastAsia" w:ascii="宋体" w:hAnsi="宋体"/>
                <w:szCs w:val="21"/>
              </w:rPr>
              <w:t>10</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6</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szCs w:val="21"/>
              </w:rPr>
            </w:pPr>
            <w:r>
              <w:rPr>
                <w:rFonts w:hint="eastAsia" w:ascii="宋体" w:hAnsi="宋体"/>
                <w:szCs w:val="21"/>
              </w:rPr>
              <w:t>2</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kern w:val="0"/>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kern w:val="0"/>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kern w:val="0"/>
                <w:sz w:val="20"/>
                <w:szCs w:val="20"/>
              </w:rPr>
            </w:pPr>
            <w:r>
              <w:rPr>
                <w:rFonts w:hint="eastAsia" w:ascii="宋体" w:hAnsi="宋体"/>
                <w:szCs w:val="18"/>
              </w:rPr>
              <w:t>开设8周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21</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szCs w:val="21"/>
              </w:rPr>
            </w:pPr>
            <w:r>
              <w:rPr>
                <w:rFonts w:hint="eastAsia" w:ascii="宋体" w:hAnsi="宋体"/>
                <w:color w:val="000000"/>
                <w:szCs w:val="21"/>
              </w:rPr>
              <w:t>0801050</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szCs w:val="21"/>
              </w:rPr>
            </w:pPr>
            <w:r>
              <w:rPr>
                <w:rFonts w:hint="eastAsia" w:ascii="宋体" w:hAnsi="宋体" w:cs="宋体"/>
                <w:kern w:val="0"/>
                <w:szCs w:val="18"/>
              </w:rPr>
              <w:t>职业规划与就业指导</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szCs w:val="21"/>
              </w:rPr>
            </w:pPr>
            <w:r>
              <w:rPr>
                <w:rFonts w:hint="eastAsia" w:ascii="宋体" w:hAnsi="宋体"/>
                <w:szCs w:val="18"/>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eastAsia="宋体"/>
                <w:szCs w:val="21"/>
              </w:rPr>
            </w:pPr>
            <w:r>
              <w:rPr>
                <w:rFonts w:hint="eastAsia" w:ascii="宋体" w:hAnsi="宋体"/>
                <w:szCs w:val="21"/>
              </w:rPr>
              <w:t>1</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szCs w:val="21"/>
              </w:rPr>
            </w:pPr>
            <w:r>
              <w:rPr>
                <w:rFonts w:hint="eastAsia" w:ascii="宋体" w:hAnsi="宋体"/>
                <w:szCs w:val="21"/>
              </w:rPr>
              <w:t>18</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szCs w:val="21"/>
              </w:rPr>
            </w:pPr>
            <w:r>
              <w:rPr>
                <w:rFonts w:hint="eastAsia" w:ascii="宋体" w:hAnsi="宋体"/>
                <w:szCs w:val="21"/>
              </w:rPr>
              <w:t>10</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szCs w:val="21"/>
              </w:rPr>
            </w:pPr>
            <w:r>
              <w:rPr>
                <w:rFonts w:hint="eastAsia" w:ascii="宋体" w:hAnsi="宋体"/>
                <w:szCs w:val="21"/>
              </w:rPr>
              <w:t>8</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szCs w:val="21"/>
              </w:rPr>
            </w:pPr>
            <w:r>
              <w:rPr>
                <w:rFonts w:hint="eastAsia" w:ascii="宋体" w:hAnsi="宋体"/>
                <w:szCs w:val="21"/>
              </w:rPr>
              <w:t>2</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kern w:val="0"/>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kern w:val="0"/>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kern w:val="0"/>
                <w:sz w:val="20"/>
                <w:szCs w:val="20"/>
              </w:rPr>
            </w:pPr>
            <w:r>
              <w:rPr>
                <w:rFonts w:hint="eastAsia" w:ascii="宋体" w:hAnsi="宋体"/>
                <w:szCs w:val="18"/>
              </w:rPr>
              <w:t>开设9周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22</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szCs w:val="21"/>
              </w:rPr>
            </w:pPr>
            <w:r>
              <w:rPr>
                <w:rFonts w:hint="eastAsia" w:ascii="宋体" w:hAnsi="宋体"/>
                <w:color w:val="000000"/>
                <w:szCs w:val="21"/>
              </w:rPr>
              <w:t>0801051</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szCs w:val="21"/>
              </w:rPr>
            </w:pPr>
            <w:r>
              <w:rPr>
                <w:rFonts w:hint="eastAsia" w:ascii="宋体" w:hAnsi="宋体" w:cs="宋体"/>
                <w:kern w:val="0"/>
                <w:szCs w:val="18"/>
              </w:rPr>
              <w:t>创新创业教育</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szCs w:val="21"/>
              </w:rPr>
            </w:pPr>
            <w:r>
              <w:rPr>
                <w:rFonts w:hint="eastAsia" w:ascii="宋体" w:hAnsi="宋体"/>
                <w:szCs w:val="18"/>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eastAsia="宋体"/>
                <w:szCs w:val="21"/>
              </w:rPr>
            </w:pPr>
            <w:r>
              <w:rPr>
                <w:rFonts w:hint="eastAsia" w:ascii="宋体" w:hAnsi="宋体"/>
                <w:szCs w:val="21"/>
              </w:rPr>
              <w:t>1</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szCs w:val="21"/>
              </w:rPr>
            </w:pPr>
            <w:r>
              <w:rPr>
                <w:rFonts w:hint="eastAsia" w:ascii="宋体" w:hAnsi="宋体"/>
                <w:szCs w:val="21"/>
              </w:rPr>
              <w:t>18</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szCs w:val="21"/>
              </w:rPr>
            </w:pPr>
            <w:r>
              <w:rPr>
                <w:rFonts w:hint="eastAsia" w:ascii="宋体" w:hAnsi="宋体"/>
                <w:szCs w:val="21"/>
              </w:rPr>
              <w:t>10</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szCs w:val="21"/>
              </w:rPr>
            </w:pPr>
            <w:r>
              <w:rPr>
                <w:rFonts w:hint="eastAsia" w:ascii="宋体" w:hAnsi="宋体"/>
                <w:szCs w:val="21"/>
              </w:rPr>
              <w:t>8</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szCs w:val="21"/>
              </w:rPr>
            </w:pPr>
            <w:r>
              <w:rPr>
                <w:rFonts w:hint="eastAsia" w:ascii="宋体" w:hAnsi="宋体"/>
                <w:szCs w:val="21"/>
              </w:rPr>
              <w:t>2</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kern w:val="0"/>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kern w:val="0"/>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kern w:val="0"/>
                <w:sz w:val="20"/>
                <w:szCs w:val="20"/>
              </w:rPr>
            </w:pPr>
            <w:r>
              <w:rPr>
                <w:rFonts w:hint="eastAsia" w:ascii="宋体" w:hAnsi="宋体"/>
                <w:szCs w:val="18"/>
              </w:rPr>
              <w:t>开设9周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kern w:val="0"/>
                <w:szCs w:val="21"/>
              </w:rPr>
            </w:pPr>
          </w:p>
        </w:tc>
        <w:tc>
          <w:tcPr>
            <w:tcW w:w="5122" w:type="dxa"/>
            <w:gridSpan w:val="6"/>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s="宋体"/>
                <w:color w:val="000000" w:themeColor="text1"/>
                <w:kern w:val="0"/>
                <w:szCs w:val="18"/>
              </w:rPr>
              <w:t>小计</w:t>
            </w:r>
          </w:p>
        </w:tc>
        <w:tc>
          <w:tcPr>
            <w:tcW w:w="402" w:type="dxa"/>
            <w:tcBorders>
              <w:top w:val="single" w:color="auto" w:sz="4" w:space="0"/>
              <w:left w:val="single" w:color="auto" w:sz="4" w:space="0"/>
              <w:bottom w:val="single" w:color="auto" w:sz="4" w:space="0"/>
              <w:right w:val="single" w:color="auto" w:sz="4" w:space="0"/>
            </w:tcBorders>
            <w:noWrap/>
          </w:tcPr>
          <w:p>
            <w:pPr>
              <w:widowControl/>
              <w:spacing w:line="240" w:lineRule="atLeast"/>
              <w:jc w:val="center"/>
              <w:rPr>
                <w:rFonts w:ascii="宋体" w:hAnsi="宋体"/>
                <w:color w:val="000000" w:themeColor="text1"/>
                <w:szCs w:val="21"/>
              </w:rPr>
            </w:pP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46</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color w:val="000000" w:themeColor="text1"/>
                <w:szCs w:val="21"/>
              </w:rPr>
            </w:pPr>
            <w:r>
              <w:rPr>
                <w:rFonts w:hint="eastAsia" w:ascii="宋体" w:hAnsi="宋体"/>
                <w:color w:val="000000" w:themeColor="text1"/>
                <w:szCs w:val="21"/>
              </w:rPr>
              <w:t>788</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color w:val="000000" w:themeColor="text1"/>
                <w:szCs w:val="21"/>
              </w:rPr>
            </w:pPr>
            <w:r>
              <w:rPr>
                <w:rFonts w:hint="eastAsia" w:ascii="宋体" w:hAnsi="宋体"/>
                <w:color w:val="000000" w:themeColor="text1"/>
                <w:szCs w:val="21"/>
              </w:rPr>
              <w:t>425</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color w:val="000000" w:themeColor="text1"/>
                <w:szCs w:val="21"/>
              </w:rPr>
            </w:pPr>
            <w:r>
              <w:rPr>
                <w:rFonts w:hint="eastAsia" w:ascii="宋体" w:hAnsi="宋体"/>
                <w:color w:val="000000" w:themeColor="text1"/>
                <w:szCs w:val="21"/>
              </w:rPr>
              <w:t>363</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000000" w:themeColor="text1"/>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eastAsia="宋体"/>
                <w:color w:val="000000" w:themeColor="text1"/>
                <w:szCs w:val="21"/>
              </w:rPr>
            </w:pPr>
            <w:r>
              <w:rPr>
                <w:rFonts w:hint="eastAsia" w:ascii="宋体" w:hAnsi="宋体"/>
                <w:color w:val="000000" w:themeColor="text1"/>
                <w:szCs w:val="21"/>
              </w:rPr>
              <w:t>16</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18"/>
              </w:rPr>
              <w:t>14</w:t>
            </w: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eastAsia="宋体"/>
                <w:color w:val="000000" w:themeColor="text1"/>
                <w:szCs w:val="21"/>
              </w:rPr>
            </w:pPr>
            <w:r>
              <w:rPr>
                <w:rFonts w:hint="eastAsia" w:ascii="宋体" w:hAnsi="宋体"/>
                <w:color w:val="000000" w:themeColor="text1"/>
                <w:szCs w:val="18"/>
              </w:rPr>
              <w:t>4</w:t>
            </w: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eastAsia="宋体"/>
                <w:color w:val="000000" w:themeColor="text1"/>
                <w:szCs w:val="21"/>
              </w:rPr>
            </w:pPr>
            <w:r>
              <w:rPr>
                <w:rFonts w:hint="eastAsia" w:ascii="宋体" w:hAnsi="宋体"/>
                <w:color w:val="000000" w:themeColor="text1"/>
                <w:szCs w:val="18"/>
              </w:rPr>
              <w:t>6</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FF0000"/>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b/>
                <w:color w:val="FF0000"/>
                <w:kern w:val="0"/>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b/>
                <w:color w:val="FF0000"/>
                <w:kern w:val="0"/>
                <w:szCs w:val="21"/>
              </w:rPr>
            </w:pP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b/>
                <w:color w:val="FF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9" w:hRule="atLeast"/>
          <w:jc w:val="center"/>
        </w:trPr>
        <w:tc>
          <w:tcPr>
            <w:tcW w:w="549" w:type="dxa"/>
            <w:vMerge w:val="restart"/>
            <w:tcBorders>
              <w:top w:val="single" w:color="auto" w:sz="4" w:space="0"/>
              <w:left w:val="single" w:color="auto" w:sz="4" w:space="0"/>
              <w:bottom w:val="single" w:color="auto" w:sz="4" w:space="0"/>
              <w:right w:val="single" w:color="auto" w:sz="4" w:space="0"/>
            </w:tcBorders>
            <w:noWrap/>
            <w:textDirection w:val="tbRlV"/>
            <w:vAlign w:val="center"/>
          </w:tcPr>
          <w:p>
            <w:pPr>
              <w:spacing w:line="360" w:lineRule="exact"/>
              <w:jc w:val="center"/>
              <w:rPr>
                <w:rFonts w:ascii="宋体" w:hAnsi="宋体" w:cs="宋体"/>
                <w:b/>
                <w:kern w:val="0"/>
                <w:szCs w:val="21"/>
              </w:rPr>
            </w:pPr>
            <w:r>
              <w:rPr>
                <w:rFonts w:hint="eastAsia" w:ascii="宋体" w:hAnsi="宋体" w:cs="宋体"/>
                <w:b/>
                <w:kern w:val="0"/>
                <w:szCs w:val="21"/>
              </w:rPr>
              <w:t>专业（</w:t>
            </w:r>
            <w:r>
              <w:rPr>
                <w:rFonts w:hint="eastAsia" w:ascii="宋体" w:hAnsi="宋体" w:cs="宋体"/>
                <w:b/>
                <w:kern w:val="0"/>
                <w:szCs w:val="18"/>
              </w:rPr>
              <w:t>技能）课程</w:t>
            </w: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1</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000000"/>
                <w:szCs w:val="21"/>
              </w:rPr>
            </w:pPr>
            <w:r>
              <w:rPr>
                <w:rFonts w:hint="eastAsia" w:ascii="宋体" w:hAnsi="宋体"/>
                <w:color w:val="000000"/>
                <w:szCs w:val="21"/>
              </w:rPr>
              <w:t>1002016</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rPr>
                <w:rFonts w:ascii="宋体" w:hAnsi="宋体"/>
                <w:szCs w:val="21"/>
              </w:rPr>
            </w:pPr>
            <w:r>
              <w:rPr>
                <w:kern w:val="0"/>
                <w:szCs w:val="21"/>
              </w:rPr>
              <w:t>无机化学</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szCs w:val="21"/>
              </w:rPr>
            </w:pPr>
            <w:r>
              <w:rPr>
                <w:kern w:val="0"/>
                <w:szCs w:val="21"/>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szCs w:val="21"/>
              </w:rPr>
            </w:pPr>
            <w:r>
              <w:rPr>
                <w:rFonts w:hint="eastAsia" w:ascii="宋体" w:hAnsi="宋体"/>
                <w:szCs w:val="18"/>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szCs w:val="21"/>
              </w:rPr>
            </w:pPr>
            <w:r>
              <w:rPr>
                <w:rFonts w:ascii="宋体" w:hAnsi="宋体"/>
                <w:szCs w:val="21"/>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szCs w:val="21"/>
              </w:rPr>
            </w:pPr>
            <w:r>
              <w:rPr>
                <w:rFonts w:hint="eastAsia" w:ascii="宋体" w:hAnsi="宋体"/>
                <w:szCs w:val="21"/>
              </w:rPr>
              <w:t>64</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szCs w:val="21"/>
              </w:rPr>
            </w:pPr>
            <w:r>
              <w:rPr>
                <w:rFonts w:hint="eastAsia" w:ascii="宋体" w:hAnsi="宋体"/>
                <w:szCs w:val="18"/>
              </w:rPr>
              <w:t>16</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szCs w:val="21"/>
              </w:rPr>
            </w:pPr>
            <w:r>
              <w:rPr>
                <w:rFonts w:ascii="宋体" w:hAnsi="宋体"/>
                <w:szCs w:val="21"/>
              </w:rPr>
              <w:t>48</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eastAsia="宋体"/>
                <w:szCs w:val="21"/>
              </w:rPr>
            </w:pPr>
            <w:r>
              <w:rPr>
                <w:rFonts w:hint="eastAsia" w:ascii="宋体" w:hAnsi="宋体"/>
                <w:szCs w:val="21"/>
              </w:rPr>
              <w:t>4</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szCs w:val="21"/>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szCs w:val="21"/>
              </w:rPr>
            </w:pPr>
            <w:r>
              <w:rPr>
                <w:rFonts w:hint="eastAsia" w:ascii="宋体" w:hAnsi="宋体"/>
                <w:szCs w:val="21"/>
              </w:rPr>
              <w:t>笔试+实践考核</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楷体_GB2312" w:hAnsi="宋体" w:eastAsia="楷体_GB2312"/>
                <w:color w:val="000000"/>
                <w:sz w:val="18"/>
                <w:szCs w:val="18"/>
              </w:rPr>
            </w:pPr>
            <w:r>
              <w:rPr>
                <w:rFonts w:hint="eastAsia" w:ascii="楷体_GB2312" w:hAnsi="宋体" w:eastAsia="楷体_GB2312"/>
                <w:color w:val="000000"/>
                <w:sz w:val="18"/>
                <w:szCs w:val="18"/>
              </w:rPr>
              <w:t>2</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000000"/>
                <w:szCs w:val="21"/>
              </w:rPr>
            </w:pPr>
            <w:r>
              <w:rPr>
                <w:rFonts w:hint="eastAsia" w:ascii="宋体" w:hAnsi="宋体"/>
                <w:color w:val="000000"/>
                <w:szCs w:val="21"/>
              </w:rPr>
              <w:t>1002013</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szCs w:val="21"/>
              </w:rPr>
            </w:pPr>
            <w:r>
              <w:rPr>
                <w:kern w:val="0"/>
                <w:szCs w:val="21"/>
              </w:rPr>
              <w:t>有机化学</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szCs w:val="21"/>
              </w:rPr>
            </w:pPr>
            <w:r>
              <w:rPr>
                <w:kern w:val="0"/>
                <w:szCs w:val="21"/>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szCs w:val="21"/>
              </w:rPr>
            </w:pPr>
            <w:r>
              <w:rPr>
                <w:rFonts w:hint="eastAsia" w:ascii="宋体" w:hAnsi="宋体"/>
                <w:szCs w:val="18"/>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szCs w:val="21"/>
              </w:rPr>
            </w:pPr>
            <w:r>
              <w:rPr>
                <w:rFonts w:ascii="宋体" w:hAnsi="宋体"/>
                <w:szCs w:val="21"/>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szCs w:val="21"/>
              </w:rPr>
            </w:pPr>
            <w:r>
              <w:rPr>
                <w:rFonts w:hint="eastAsia" w:ascii="宋体" w:hAnsi="宋体"/>
                <w:szCs w:val="21"/>
              </w:rPr>
              <w:t>64</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eastAsia="宋体"/>
                <w:szCs w:val="21"/>
              </w:rPr>
            </w:pPr>
            <w:r>
              <w:rPr>
                <w:rFonts w:hint="eastAsia" w:ascii="宋体" w:hAnsi="宋体"/>
                <w:szCs w:val="18"/>
              </w:rPr>
              <w:t>16</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szCs w:val="21"/>
              </w:rPr>
            </w:pPr>
            <w:r>
              <w:rPr>
                <w:rFonts w:ascii="宋体" w:hAnsi="宋体"/>
                <w:szCs w:val="21"/>
              </w:rPr>
              <w:t>48</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eastAsia="宋体"/>
                <w:szCs w:val="21"/>
              </w:rPr>
            </w:pPr>
            <w:r>
              <w:rPr>
                <w:rFonts w:hint="eastAsia" w:ascii="宋体" w:hAnsi="宋体"/>
                <w:szCs w:val="21"/>
              </w:rPr>
              <w:t>4</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szCs w:val="21"/>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szCs w:val="21"/>
              </w:rPr>
            </w:pPr>
            <w:r>
              <w:rPr>
                <w:rFonts w:hint="eastAsia" w:ascii="宋体" w:hAnsi="宋体"/>
                <w:szCs w:val="21"/>
              </w:rPr>
              <w:t>笔试+实践考核</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3</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000000"/>
                <w:szCs w:val="21"/>
              </w:rPr>
            </w:pPr>
            <w:r>
              <w:rPr>
                <w:rFonts w:hint="eastAsia" w:ascii="宋体" w:hAnsi="宋体"/>
                <w:color w:val="000000"/>
                <w:szCs w:val="21"/>
              </w:rPr>
              <w:t>1002022</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szCs w:val="21"/>
              </w:rPr>
            </w:pPr>
            <w:r>
              <w:rPr>
                <w:kern w:val="0"/>
                <w:szCs w:val="21"/>
              </w:rPr>
              <w:t>分析化学</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szCs w:val="21"/>
              </w:rPr>
            </w:pPr>
            <w:r>
              <w:rPr>
                <w:kern w:val="0"/>
                <w:szCs w:val="21"/>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szCs w:val="21"/>
              </w:rPr>
            </w:pPr>
            <w:r>
              <w:rPr>
                <w:rFonts w:hint="eastAsia" w:ascii="宋体" w:hAnsi="宋体"/>
                <w:szCs w:val="18"/>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szCs w:val="21"/>
              </w:rPr>
            </w:pPr>
            <w:r>
              <w:rPr>
                <w:rFonts w:ascii="宋体" w:hAnsi="宋体"/>
                <w:szCs w:val="21"/>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szCs w:val="21"/>
              </w:rPr>
            </w:pPr>
            <w:r>
              <w:rPr>
                <w:rFonts w:hint="eastAsia" w:ascii="宋体" w:hAnsi="宋体"/>
                <w:szCs w:val="21"/>
              </w:rPr>
              <w:t>32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szCs w:val="21"/>
              </w:rPr>
            </w:pPr>
            <w:r>
              <w:rPr>
                <w:rFonts w:hint="eastAsia" w:ascii="宋体" w:hAnsi="宋体"/>
                <w:szCs w:val="18"/>
              </w:rPr>
              <w:t>8</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szCs w:val="21"/>
              </w:rPr>
            </w:pPr>
            <w:r>
              <w:rPr>
                <w:rFonts w:ascii="宋体" w:hAnsi="宋体"/>
                <w:szCs w:val="21"/>
              </w:rPr>
              <w:t>24</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eastAsia="宋体"/>
                <w:szCs w:val="21"/>
              </w:rPr>
            </w:pPr>
            <w:r>
              <w:rPr>
                <w:rFonts w:hint="eastAsia" w:ascii="宋体" w:hAnsi="宋体"/>
                <w:szCs w:val="21"/>
              </w:rPr>
              <w:t>2</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szCs w:val="21"/>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szCs w:val="21"/>
              </w:rPr>
            </w:pPr>
            <w:r>
              <w:rPr>
                <w:rFonts w:hint="eastAsia" w:ascii="宋体" w:hAnsi="宋体"/>
                <w:szCs w:val="21"/>
              </w:rPr>
              <w:t>笔试+实践考核</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4</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000000"/>
                <w:szCs w:val="21"/>
              </w:rPr>
            </w:pPr>
            <w:r>
              <w:rPr>
                <w:rFonts w:hint="eastAsia" w:ascii="宋体" w:hAnsi="宋体"/>
                <w:color w:val="000000"/>
                <w:szCs w:val="21"/>
              </w:rPr>
              <w:t>1003053</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szCs w:val="21"/>
              </w:rPr>
            </w:pPr>
            <w:r>
              <w:rPr>
                <w:rFonts w:hint="eastAsia" w:ascii="宋体" w:hAnsi="宋体" w:cs="宋体"/>
                <w:kern w:val="0"/>
                <w:szCs w:val="18"/>
              </w:rPr>
              <w:t>化工安全技术</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szCs w:val="21"/>
              </w:rPr>
            </w:pPr>
            <w:r>
              <w:rPr>
                <w:rFonts w:hint="eastAsia" w:ascii="宋体" w:hAnsi="宋体" w:cs="宋体"/>
                <w:kern w:val="0"/>
                <w:szCs w:val="18"/>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szCs w:val="21"/>
              </w:rPr>
            </w:pPr>
            <w:r>
              <w:rPr>
                <w:rFonts w:hint="eastAsia" w:ascii="宋体" w:hAnsi="宋体"/>
                <w:szCs w:val="18"/>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szCs w:val="21"/>
              </w:rPr>
            </w:pPr>
            <w:r>
              <w:rPr>
                <w:rFonts w:hint="eastAsia" w:ascii="宋体" w:hAnsi="宋体"/>
                <w:szCs w:val="21"/>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szCs w:val="21"/>
              </w:rPr>
            </w:pPr>
            <w:r>
              <w:rPr>
                <w:rFonts w:hint="eastAsia" w:ascii="宋体" w:hAnsi="宋体"/>
                <w:szCs w:val="21"/>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szCs w:val="21"/>
              </w:rPr>
            </w:pPr>
            <w:r>
              <w:rPr>
                <w:rFonts w:hint="eastAsia" w:ascii="宋体" w:hAnsi="宋体"/>
                <w:szCs w:val="21"/>
              </w:rPr>
              <w:t>30</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4</w:t>
            </w:r>
            <w:r>
              <w:rPr>
                <w:rFonts w:ascii="宋体" w:hAnsi="宋体"/>
                <w:szCs w:val="21"/>
              </w:rPr>
              <w:t>2</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szCs w:val="21"/>
              </w:rPr>
            </w:pPr>
            <w:r>
              <w:rPr>
                <w:rFonts w:hint="eastAsia" w:ascii="宋体" w:hAnsi="宋体"/>
                <w:szCs w:val="21"/>
              </w:rPr>
              <w:t>4</w:t>
            </w: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笔试+实践考核</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5</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000000"/>
                <w:szCs w:val="21"/>
              </w:rPr>
            </w:pPr>
            <w:r>
              <w:rPr>
                <w:rFonts w:hint="eastAsia" w:ascii="宋体" w:hAnsi="宋体"/>
                <w:color w:val="000000"/>
                <w:szCs w:val="21"/>
              </w:rPr>
              <w:t>1003062</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szCs w:val="21"/>
              </w:rPr>
            </w:pPr>
            <w:r>
              <w:rPr>
                <w:rFonts w:hint="eastAsia" w:ascii="宋体" w:hAnsi="宋体"/>
                <w:szCs w:val="21"/>
              </w:rPr>
              <w:t>化工单元操作（一）</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cs="宋体"/>
                <w:kern w:val="0"/>
                <w:szCs w:val="18"/>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szCs w:val="21"/>
              </w:rPr>
            </w:pPr>
            <w:r>
              <w:rPr>
                <w:rFonts w:hint="eastAsia" w:ascii="宋体" w:hAnsi="宋体"/>
                <w:szCs w:val="18"/>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szCs w:val="21"/>
              </w:rPr>
            </w:pPr>
            <w:r>
              <w:rPr>
                <w:rFonts w:hint="eastAsia" w:ascii="宋体" w:hAnsi="宋体"/>
                <w:szCs w:val="21"/>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szCs w:val="21"/>
              </w:rPr>
            </w:pPr>
            <w:r>
              <w:rPr>
                <w:rFonts w:hint="eastAsia" w:ascii="宋体" w:hAnsi="宋体"/>
                <w:szCs w:val="21"/>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szCs w:val="21"/>
              </w:rPr>
            </w:pPr>
            <w:r>
              <w:rPr>
                <w:rFonts w:hint="eastAsia" w:ascii="宋体" w:hAnsi="宋体"/>
                <w:szCs w:val="21"/>
              </w:rPr>
              <w:t>28</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44</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szCs w:val="21"/>
              </w:rPr>
            </w:pPr>
            <w:r>
              <w:rPr>
                <w:rFonts w:hint="eastAsia" w:ascii="宋体" w:hAnsi="宋体"/>
                <w:szCs w:val="21"/>
              </w:rPr>
              <w:t>4</w:t>
            </w: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szCs w:val="21"/>
              </w:rPr>
            </w:pPr>
            <w:r>
              <w:rPr>
                <w:rFonts w:hint="eastAsia" w:ascii="宋体" w:hAnsi="宋体"/>
                <w:szCs w:val="21"/>
              </w:rPr>
              <w:t>笔试+实践考核</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6</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000000"/>
                <w:szCs w:val="21"/>
              </w:rPr>
            </w:pPr>
            <w:r>
              <w:rPr>
                <w:rFonts w:hint="eastAsia" w:ascii="宋体" w:hAnsi="宋体"/>
                <w:color w:val="000000"/>
                <w:szCs w:val="21"/>
              </w:rPr>
              <w:t>1003063</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szCs w:val="21"/>
              </w:rPr>
            </w:pPr>
            <w:r>
              <w:rPr>
                <w:rFonts w:hint="eastAsia" w:ascii="宋体" w:hAnsi="宋体"/>
                <w:szCs w:val="21"/>
              </w:rPr>
              <w:t>化工单元操作（二）</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cs="宋体"/>
                <w:kern w:val="0"/>
                <w:szCs w:val="18"/>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szCs w:val="21"/>
              </w:rPr>
            </w:pPr>
            <w:r>
              <w:rPr>
                <w:rFonts w:hint="eastAsia" w:ascii="宋体" w:hAnsi="宋体"/>
                <w:szCs w:val="18"/>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szCs w:val="21"/>
              </w:rPr>
            </w:pPr>
            <w:r>
              <w:rPr>
                <w:rFonts w:hint="eastAsia" w:ascii="宋体" w:hAnsi="宋体"/>
                <w:szCs w:val="21"/>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64</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24</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40</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4</w:t>
            </w: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szCs w:val="21"/>
              </w:rPr>
            </w:pPr>
            <w:r>
              <w:rPr>
                <w:rFonts w:hint="eastAsia" w:ascii="宋体" w:hAnsi="宋体"/>
                <w:szCs w:val="21"/>
              </w:rPr>
              <w:t>笔试+实践考核</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7</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000000"/>
                <w:szCs w:val="21"/>
              </w:rPr>
            </w:pPr>
            <w:r>
              <w:rPr>
                <w:rFonts w:hint="eastAsia" w:ascii="宋体" w:hAnsi="宋体"/>
                <w:color w:val="000000"/>
                <w:szCs w:val="21"/>
              </w:rPr>
              <w:t>0203027</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szCs w:val="21"/>
              </w:rPr>
            </w:pPr>
            <w:r>
              <w:rPr>
                <w:bCs/>
                <w:kern w:val="0"/>
                <w:szCs w:val="21"/>
              </w:rPr>
              <w:t>化工仪表</w:t>
            </w:r>
            <w:r>
              <w:rPr>
                <w:rFonts w:hint="eastAsia"/>
              </w:rPr>
              <w:t>及自动化</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cs="宋体"/>
                <w:kern w:val="0"/>
                <w:szCs w:val="18"/>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szCs w:val="21"/>
              </w:rPr>
            </w:pPr>
            <w:r>
              <w:rPr>
                <w:rFonts w:hint="eastAsia" w:ascii="宋体" w:hAnsi="宋体"/>
                <w:szCs w:val="18"/>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szCs w:val="21"/>
              </w:rPr>
            </w:pPr>
            <w:r>
              <w:rPr>
                <w:rFonts w:ascii="宋体" w:hAnsi="宋体"/>
                <w:szCs w:val="21"/>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szCs w:val="21"/>
              </w:rPr>
            </w:pPr>
            <w:r>
              <w:rPr>
                <w:rFonts w:hint="eastAsia" w:ascii="宋体" w:hAnsi="宋体"/>
                <w:szCs w:val="21"/>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szCs w:val="21"/>
              </w:rPr>
            </w:pPr>
            <w:r>
              <w:rPr>
                <w:rFonts w:hint="eastAsia" w:ascii="宋体" w:hAnsi="宋体"/>
                <w:szCs w:val="21"/>
              </w:rPr>
              <w:t>30</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ascii="宋体" w:hAnsi="宋体"/>
                <w:szCs w:val="21"/>
              </w:rPr>
              <w:t>42</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r>
              <w:rPr>
                <w:rFonts w:hint="eastAsia" w:ascii="宋体" w:hAnsi="宋体"/>
                <w:szCs w:val="21"/>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szCs w:val="21"/>
              </w:rPr>
            </w:pPr>
            <w:r>
              <w:rPr>
                <w:rFonts w:hint="eastAsia" w:ascii="宋体" w:hAnsi="宋体"/>
                <w:szCs w:val="21"/>
              </w:rPr>
              <w:t>4</w:t>
            </w: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笔试+实践考核</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8</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000000"/>
                <w:szCs w:val="21"/>
              </w:rPr>
            </w:pPr>
            <w:r>
              <w:rPr>
                <w:rFonts w:hint="eastAsia" w:ascii="宋体" w:hAnsi="宋体"/>
                <w:color w:val="000000"/>
                <w:szCs w:val="21"/>
              </w:rPr>
              <w:t>1003045</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szCs w:val="21"/>
              </w:rPr>
            </w:pPr>
            <w:r>
              <w:rPr>
                <w:szCs w:val="21"/>
              </w:rPr>
              <w:t>化工设备基础</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szCs w:val="21"/>
              </w:rPr>
            </w:pPr>
            <w:r>
              <w:rPr>
                <w:kern w:val="0"/>
                <w:szCs w:val="21"/>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szCs w:val="21"/>
              </w:rPr>
            </w:pPr>
            <w:r>
              <w:rPr>
                <w:rFonts w:hint="eastAsia" w:ascii="宋体" w:hAnsi="宋体"/>
                <w:szCs w:val="18"/>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szCs w:val="21"/>
              </w:rPr>
            </w:pPr>
            <w:r>
              <w:rPr>
                <w:rFonts w:ascii="宋体" w:hAnsi="宋体"/>
                <w:szCs w:val="21"/>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szCs w:val="21"/>
              </w:rPr>
            </w:pPr>
            <w:r>
              <w:rPr>
                <w:rFonts w:hint="eastAsia" w:ascii="宋体" w:hAnsi="宋体"/>
                <w:szCs w:val="18"/>
              </w:rPr>
              <w:t>64</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szCs w:val="21"/>
              </w:rPr>
            </w:pPr>
            <w:r>
              <w:rPr>
                <w:rFonts w:ascii="宋体" w:hAnsi="宋体"/>
                <w:szCs w:val="21"/>
              </w:rPr>
              <w:t>22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szCs w:val="21"/>
              </w:rPr>
            </w:pPr>
            <w:r>
              <w:rPr>
                <w:rFonts w:hint="eastAsia" w:ascii="宋体" w:hAnsi="宋体"/>
                <w:szCs w:val="18"/>
              </w:rPr>
              <w:t>42</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szCs w:val="21"/>
              </w:rPr>
            </w:pPr>
            <w:r>
              <w:rPr>
                <w:rFonts w:hint="eastAsia" w:ascii="宋体" w:hAnsi="宋体"/>
                <w:szCs w:val="21"/>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szCs w:val="21"/>
              </w:rPr>
            </w:pPr>
            <w:r>
              <w:rPr>
                <w:rFonts w:hint="eastAsia" w:ascii="宋体" w:hAnsi="宋体"/>
                <w:szCs w:val="18"/>
              </w:rPr>
              <w:t>4</w:t>
            </w: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笔试+实践考核</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9</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szCs w:val="21"/>
              </w:rPr>
            </w:pPr>
            <w:r>
              <w:rPr>
                <w:rFonts w:hint="eastAsia" w:ascii="宋体" w:hAnsi="宋体"/>
                <w:szCs w:val="21"/>
              </w:rPr>
              <w:t>1002019</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szCs w:val="21"/>
              </w:rPr>
            </w:pPr>
            <w:r>
              <w:rPr>
                <w:rFonts w:hint="eastAsia" w:ascii="宋体" w:hAnsi="宋体" w:cs="宋体"/>
                <w:kern w:val="0"/>
                <w:szCs w:val="18"/>
              </w:rPr>
              <w:t>物理化学（一）</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szCs w:val="21"/>
              </w:rPr>
            </w:pPr>
            <w:r>
              <w:rPr>
                <w:kern w:val="0"/>
                <w:szCs w:val="21"/>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szCs w:val="18"/>
              </w:rPr>
            </w:pPr>
            <w:r>
              <w:rPr>
                <w:rFonts w:hint="eastAsia" w:ascii="宋体" w:hAnsi="宋体"/>
                <w:szCs w:val="18"/>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szCs w:val="21"/>
              </w:rPr>
            </w:pPr>
            <w:r>
              <w:rPr>
                <w:rFonts w:hint="eastAsia" w:ascii="宋体" w:hAnsi="宋体"/>
                <w:szCs w:val="21"/>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szCs w:val="21"/>
              </w:rPr>
            </w:pPr>
            <w:r>
              <w:rPr>
                <w:rFonts w:hint="eastAsia" w:ascii="宋体" w:hAnsi="宋体"/>
                <w:szCs w:val="18"/>
              </w:rPr>
              <w:t>64</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szCs w:val="21"/>
              </w:rPr>
            </w:pPr>
            <w:r>
              <w:rPr>
                <w:rFonts w:hint="eastAsia" w:ascii="宋体" w:hAnsi="宋体"/>
                <w:szCs w:val="21"/>
              </w:rPr>
              <w:t>22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szCs w:val="21"/>
              </w:rPr>
            </w:pPr>
            <w:r>
              <w:rPr>
                <w:rFonts w:hint="eastAsia" w:ascii="宋体" w:hAnsi="宋体"/>
                <w:szCs w:val="18"/>
              </w:rPr>
              <w:t>42</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szCs w:val="21"/>
              </w:rPr>
            </w:pPr>
            <w:r>
              <w:rPr>
                <w:rFonts w:hint="eastAsia" w:ascii="宋体" w:hAnsi="宋体"/>
                <w:szCs w:val="21"/>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szCs w:val="21"/>
              </w:rPr>
            </w:pPr>
            <w:r>
              <w:rPr>
                <w:rFonts w:hint="eastAsia" w:ascii="宋体" w:hAnsi="宋体"/>
                <w:szCs w:val="18"/>
              </w:rPr>
              <w:t>4</w:t>
            </w: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笔试+实践考核</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10</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szCs w:val="21"/>
              </w:rPr>
            </w:pPr>
            <w:r>
              <w:rPr>
                <w:rFonts w:hint="eastAsia" w:ascii="宋体" w:hAnsi="宋体"/>
                <w:szCs w:val="21"/>
              </w:rPr>
              <w:t>1002020</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s="宋体"/>
                <w:kern w:val="0"/>
                <w:szCs w:val="18"/>
              </w:rPr>
            </w:pPr>
            <w:r>
              <w:rPr>
                <w:rFonts w:hint="eastAsia" w:ascii="宋体" w:hAnsi="宋体" w:cs="宋体"/>
                <w:kern w:val="0"/>
                <w:szCs w:val="18"/>
              </w:rPr>
              <w:t>物理化学（二）</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szCs w:val="21"/>
              </w:rPr>
            </w:pPr>
            <w:r>
              <w:rPr>
                <w:kern w:val="0"/>
                <w:szCs w:val="21"/>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szCs w:val="18"/>
              </w:rPr>
            </w:pPr>
            <w:r>
              <w:rPr>
                <w:rFonts w:hint="eastAsia" w:ascii="宋体" w:hAnsi="宋体"/>
                <w:szCs w:val="18"/>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szCs w:val="21"/>
              </w:rPr>
            </w:pPr>
            <w:r>
              <w:rPr>
                <w:rFonts w:hint="eastAsia" w:ascii="宋体" w:hAnsi="宋体"/>
                <w:szCs w:val="21"/>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szCs w:val="18"/>
              </w:rPr>
            </w:pPr>
            <w:r>
              <w:rPr>
                <w:rFonts w:hint="eastAsia" w:ascii="宋体" w:hAnsi="宋体"/>
                <w:szCs w:val="18"/>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szCs w:val="21"/>
              </w:rPr>
            </w:pPr>
            <w:r>
              <w:rPr>
                <w:rFonts w:hint="eastAsia" w:ascii="宋体" w:hAnsi="宋体"/>
                <w:szCs w:val="21"/>
              </w:rPr>
              <w:t>12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szCs w:val="18"/>
              </w:rPr>
            </w:pPr>
            <w:r>
              <w:rPr>
                <w:rFonts w:hint="eastAsia" w:ascii="宋体" w:hAnsi="宋体"/>
                <w:szCs w:val="18"/>
              </w:rPr>
              <w:t>24</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szCs w:val="21"/>
              </w:rPr>
            </w:pPr>
            <w:r>
              <w:rPr>
                <w:rFonts w:hint="eastAsia" w:ascii="宋体" w:hAnsi="宋体"/>
                <w:szCs w:val="21"/>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szCs w:val="18"/>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szCs w:val="18"/>
              </w:rPr>
            </w:pPr>
            <w:r>
              <w:rPr>
                <w:rFonts w:hint="eastAsia" w:ascii="宋体" w:hAnsi="宋体"/>
                <w:szCs w:val="18"/>
              </w:rPr>
              <w:t>2</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21"/>
              </w:rPr>
              <w:t>笔试+实践考核</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11</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000000"/>
                <w:szCs w:val="21"/>
              </w:rPr>
            </w:pPr>
            <w:r>
              <w:rPr>
                <w:rFonts w:hint="eastAsia" w:ascii="宋体" w:hAnsi="宋体"/>
                <w:color w:val="000000"/>
                <w:szCs w:val="21"/>
              </w:rPr>
              <w:t>1003069</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000000" w:themeColor="text1"/>
                <w:szCs w:val="21"/>
              </w:rPr>
            </w:pPr>
            <w:r>
              <w:rPr>
                <w:rFonts w:hint="eastAsia"/>
                <w:color w:val="000000" w:themeColor="text1"/>
              </w:rPr>
              <w:t xml:space="preserve">化工制图与CAD </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olor w:val="000000" w:themeColor="text1"/>
                <w:szCs w:val="21"/>
              </w:rPr>
            </w:pPr>
            <w:r>
              <w:rPr>
                <w:color w:val="000000" w:themeColor="text1"/>
                <w:kern w:val="0"/>
                <w:szCs w:val="21"/>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18"/>
              </w:rPr>
            </w:pPr>
            <w:r>
              <w:rPr>
                <w:rFonts w:hint="eastAsia" w:ascii="宋体" w:hAnsi="宋体"/>
                <w:color w:val="000000" w:themeColor="text1"/>
                <w:szCs w:val="18"/>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000000" w:themeColor="text1"/>
                <w:szCs w:val="21"/>
              </w:rPr>
            </w:pPr>
            <w:r>
              <w:rPr>
                <w:rFonts w:ascii="宋体" w:hAnsi="宋体"/>
                <w:color w:val="000000" w:themeColor="text1"/>
                <w:szCs w:val="21"/>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18"/>
              </w:rPr>
              <w:t>64</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ascii="宋体" w:hAnsi="宋体"/>
                <w:color w:val="000000" w:themeColor="text1"/>
                <w:szCs w:val="21"/>
              </w:rPr>
              <w:t>22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18"/>
              </w:rPr>
              <w:t>42</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000000" w:themeColor="text1"/>
                <w:szCs w:val="21"/>
              </w:rPr>
            </w:pPr>
            <w:r>
              <w:rPr>
                <w:rFonts w:hint="eastAsia" w:ascii="宋体" w:hAnsi="宋体"/>
                <w:color w:val="000000" w:themeColor="text1"/>
                <w:szCs w:val="21"/>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18"/>
              </w:rPr>
              <w:t>4</w:t>
            </w: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000000" w:themeColor="text1"/>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笔试+实践考核</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12</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000000"/>
                <w:szCs w:val="21"/>
              </w:rPr>
            </w:pPr>
            <w:r>
              <w:rPr>
                <w:rFonts w:hint="eastAsia" w:ascii="宋体" w:hAnsi="宋体"/>
                <w:color w:val="000000"/>
                <w:szCs w:val="21"/>
              </w:rPr>
              <w:t>1003070</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000000" w:themeColor="text1"/>
                <w:szCs w:val="21"/>
              </w:rPr>
            </w:pPr>
            <w:r>
              <w:rPr>
                <w:rFonts w:hint="eastAsia"/>
                <w:color w:val="000000" w:themeColor="text1"/>
              </w:rPr>
              <w:t>环境监测与分析</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color w:val="000000" w:themeColor="text1"/>
                <w:kern w:val="0"/>
                <w:szCs w:val="21"/>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18"/>
              </w:rPr>
            </w:pPr>
            <w:r>
              <w:rPr>
                <w:rFonts w:hint="eastAsia" w:ascii="宋体" w:hAnsi="宋体"/>
                <w:color w:val="000000" w:themeColor="text1"/>
                <w:szCs w:val="18"/>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000000" w:themeColor="text1"/>
                <w:szCs w:val="21"/>
              </w:rPr>
            </w:pPr>
            <w:r>
              <w:rPr>
                <w:rFonts w:ascii="宋体" w:hAnsi="宋体"/>
                <w:color w:val="000000" w:themeColor="text1"/>
                <w:szCs w:val="21"/>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18"/>
              </w:rPr>
              <w:t>64</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ascii="宋体" w:hAnsi="宋体"/>
                <w:color w:val="000000" w:themeColor="text1"/>
                <w:szCs w:val="21"/>
              </w:rPr>
              <w:t>22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18"/>
              </w:rPr>
              <w:t>42</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000000" w:themeColor="text1"/>
                <w:szCs w:val="21"/>
              </w:rPr>
            </w:pPr>
            <w:r>
              <w:rPr>
                <w:rFonts w:hint="eastAsia" w:ascii="宋体" w:hAnsi="宋体"/>
                <w:color w:val="000000" w:themeColor="text1"/>
                <w:szCs w:val="21"/>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18"/>
              </w:rPr>
              <w:t>4</w:t>
            </w: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000000" w:themeColor="text1"/>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笔试+实践考核</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13</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color w:val="000000"/>
                <w:szCs w:val="21"/>
              </w:rPr>
            </w:pPr>
            <w:r>
              <w:rPr>
                <w:rFonts w:hint="eastAsia" w:ascii="宋体" w:hAnsi="宋体"/>
                <w:color w:val="000000"/>
                <w:szCs w:val="21"/>
              </w:rPr>
              <w:t>1003058</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color w:val="000000" w:themeColor="text1"/>
                <w:szCs w:val="21"/>
              </w:rPr>
            </w:pPr>
            <w:r>
              <w:rPr>
                <w:rFonts w:hAnsi="宋体"/>
                <w:color w:val="000000" w:themeColor="text1"/>
                <w:szCs w:val="21"/>
              </w:rPr>
              <w:t>化工环境保护概论</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color w:val="000000" w:themeColor="text1"/>
                <w:kern w:val="0"/>
                <w:szCs w:val="21"/>
              </w:rPr>
            </w:pPr>
            <w:r>
              <w:rPr>
                <w:color w:val="000000" w:themeColor="text1"/>
                <w:kern w:val="0"/>
                <w:szCs w:val="21"/>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18"/>
              </w:rPr>
            </w:pPr>
            <w:r>
              <w:rPr>
                <w:rFonts w:hint="eastAsia" w:ascii="宋体" w:hAnsi="宋体"/>
                <w:color w:val="000000" w:themeColor="text1"/>
                <w:szCs w:val="18"/>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000000" w:themeColor="text1"/>
                <w:szCs w:val="18"/>
              </w:rPr>
            </w:pPr>
            <w:r>
              <w:rPr>
                <w:rFonts w:ascii="宋体" w:hAnsi="宋体"/>
                <w:color w:val="000000" w:themeColor="text1"/>
                <w:szCs w:val="21"/>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18"/>
              </w:rPr>
            </w:pPr>
            <w:r>
              <w:rPr>
                <w:rFonts w:hint="eastAsia" w:ascii="宋体" w:hAnsi="宋体"/>
                <w:color w:val="000000" w:themeColor="text1"/>
                <w:szCs w:val="18"/>
              </w:rPr>
              <w:t>32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ascii="宋体" w:hAnsi="宋体"/>
                <w:color w:val="000000" w:themeColor="text1"/>
                <w:szCs w:val="21"/>
              </w:rPr>
              <w:t>10</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18"/>
              </w:rPr>
              <w:t>22</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000000" w:themeColor="text1"/>
                <w:szCs w:val="21"/>
              </w:rPr>
            </w:pPr>
            <w:r>
              <w:rPr>
                <w:rFonts w:hint="eastAsia" w:ascii="宋体" w:hAnsi="宋体"/>
                <w:color w:val="000000" w:themeColor="text1"/>
                <w:szCs w:val="21"/>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18"/>
              </w:rPr>
              <w:t>2</w:t>
            </w: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000000" w:themeColor="text1"/>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kern w:val="0"/>
                <w:szCs w:val="21"/>
              </w:rPr>
            </w:pPr>
          </w:p>
        </w:tc>
        <w:tc>
          <w:tcPr>
            <w:tcW w:w="547" w:type="dxa"/>
            <w:tcBorders>
              <w:top w:val="single" w:color="auto" w:sz="4" w:space="0"/>
              <w:left w:val="single" w:color="auto" w:sz="4" w:space="0"/>
              <w:right w:val="single" w:color="auto" w:sz="4" w:space="0"/>
            </w:tcBorders>
            <w:noWrap/>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14</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000000"/>
                <w:szCs w:val="21"/>
              </w:rPr>
            </w:pPr>
            <w:r>
              <w:rPr>
                <w:rFonts w:hint="eastAsia" w:ascii="宋体" w:hAnsi="宋体"/>
                <w:color w:val="000000"/>
                <w:szCs w:val="21"/>
              </w:rPr>
              <w:t>1003055</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000000" w:themeColor="text1"/>
                <w:szCs w:val="21"/>
              </w:rPr>
            </w:pPr>
            <w:r>
              <w:rPr>
                <w:color w:val="000000" w:themeColor="text1"/>
                <w:szCs w:val="21"/>
              </w:rPr>
              <w:t>无机化工生产技术</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olor w:val="000000" w:themeColor="text1"/>
                <w:szCs w:val="21"/>
              </w:rPr>
            </w:pPr>
            <w:r>
              <w:rPr>
                <w:color w:val="000000" w:themeColor="text1"/>
                <w:kern w:val="0"/>
                <w:szCs w:val="21"/>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18"/>
              </w:rPr>
            </w:pPr>
            <w:r>
              <w:rPr>
                <w:rFonts w:hint="eastAsia" w:ascii="宋体" w:hAnsi="宋体"/>
                <w:color w:val="000000" w:themeColor="text1"/>
                <w:szCs w:val="18"/>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000000" w:themeColor="text1"/>
                <w:szCs w:val="21"/>
              </w:rPr>
            </w:pPr>
            <w:r>
              <w:rPr>
                <w:rFonts w:ascii="宋体" w:hAnsi="宋体"/>
                <w:color w:val="000000" w:themeColor="text1"/>
                <w:szCs w:val="21"/>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18"/>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ascii="宋体" w:hAnsi="宋体"/>
                <w:color w:val="000000" w:themeColor="text1"/>
                <w:szCs w:val="21"/>
              </w:rPr>
              <w:t>24</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18"/>
              </w:rPr>
              <w:t>48</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000000" w:themeColor="text1"/>
                <w:szCs w:val="21"/>
              </w:rPr>
            </w:pPr>
            <w:r>
              <w:rPr>
                <w:rFonts w:hint="eastAsia" w:ascii="宋体" w:hAnsi="宋体"/>
                <w:color w:val="000000" w:themeColor="text1"/>
                <w:szCs w:val="21"/>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18"/>
              </w:rPr>
              <w:t>4</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笔试+实践考核</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kern w:val="0"/>
                <w:szCs w:val="21"/>
              </w:rPr>
            </w:pPr>
          </w:p>
        </w:tc>
        <w:tc>
          <w:tcPr>
            <w:tcW w:w="547" w:type="dxa"/>
            <w:tcBorders>
              <w:top w:val="single" w:color="auto" w:sz="4" w:space="0"/>
              <w:left w:val="single" w:color="auto" w:sz="4" w:space="0"/>
              <w:right w:val="single" w:color="auto" w:sz="4" w:space="0"/>
            </w:tcBorders>
            <w:noWrap/>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15</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szCs w:val="21"/>
              </w:rPr>
            </w:pPr>
            <w:r>
              <w:rPr>
                <w:rFonts w:hint="eastAsia"/>
                <w:szCs w:val="21"/>
              </w:rPr>
              <w:t>1003071</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000000" w:themeColor="text1"/>
                <w:szCs w:val="21"/>
              </w:rPr>
            </w:pPr>
            <w:r>
              <w:rPr>
                <w:rFonts w:hint="eastAsia"/>
                <w:color w:val="000000" w:themeColor="text1"/>
              </w:rPr>
              <w:t>煤质分析</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olor w:val="000000" w:themeColor="text1"/>
                <w:szCs w:val="21"/>
              </w:rPr>
            </w:pPr>
            <w:r>
              <w:rPr>
                <w:color w:val="000000" w:themeColor="text1"/>
                <w:kern w:val="0"/>
                <w:szCs w:val="21"/>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18"/>
              </w:rPr>
            </w:pPr>
            <w:r>
              <w:rPr>
                <w:rFonts w:hint="eastAsia" w:ascii="宋体" w:hAnsi="宋体"/>
                <w:color w:val="000000" w:themeColor="text1"/>
                <w:szCs w:val="18"/>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000000" w:themeColor="text1"/>
                <w:szCs w:val="21"/>
              </w:rPr>
            </w:pPr>
            <w:r>
              <w:rPr>
                <w:rFonts w:ascii="宋体" w:hAnsi="宋体"/>
                <w:color w:val="000000" w:themeColor="text1"/>
                <w:szCs w:val="21"/>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18"/>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ascii="宋体" w:hAnsi="宋体"/>
                <w:color w:val="000000" w:themeColor="text1"/>
                <w:szCs w:val="21"/>
              </w:rPr>
              <w:t>24</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18"/>
              </w:rPr>
              <w:t>48</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000000" w:themeColor="text1"/>
                <w:szCs w:val="21"/>
              </w:rPr>
            </w:pPr>
            <w:r>
              <w:rPr>
                <w:rFonts w:hint="eastAsia" w:ascii="宋体" w:hAnsi="宋体"/>
                <w:color w:val="000000" w:themeColor="text1"/>
                <w:szCs w:val="21"/>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18"/>
              </w:rPr>
              <w:t>4</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笔试+实践考核</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kern w:val="0"/>
                <w:szCs w:val="21"/>
              </w:rPr>
            </w:pPr>
          </w:p>
        </w:tc>
        <w:tc>
          <w:tcPr>
            <w:tcW w:w="547" w:type="dxa"/>
            <w:tcBorders>
              <w:top w:val="single" w:color="auto" w:sz="4" w:space="0"/>
              <w:left w:val="single" w:color="auto" w:sz="4" w:space="0"/>
              <w:right w:val="single" w:color="auto" w:sz="4" w:space="0"/>
            </w:tcBorders>
            <w:noWrap/>
            <w:vAlign w:val="center"/>
          </w:tcPr>
          <w:p>
            <w:pPr>
              <w:widowControl/>
              <w:spacing w:line="240" w:lineRule="atLeast"/>
              <w:jc w:val="center"/>
              <w:rPr>
                <w:rFonts w:ascii="楷体_GB2312" w:hAnsi="宋体" w:eastAsia="楷体_GB2312"/>
                <w:color w:val="000000"/>
                <w:sz w:val="18"/>
                <w:szCs w:val="18"/>
              </w:rPr>
            </w:pPr>
            <w:r>
              <w:rPr>
                <w:rFonts w:hint="eastAsia" w:ascii="楷体_GB2312" w:hAnsi="宋体" w:eastAsia="楷体_GB2312"/>
                <w:color w:val="000000"/>
                <w:sz w:val="18"/>
                <w:szCs w:val="18"/>
              </w:rPr>
              <w:t>16</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hint="default" w:eastAsiaTheme="minorEastAsia"/>
                <w:szCs w:val="21"/>
                <w:lang w:val="en-US" w:eastAsia="zh-CN"/>
              </w:rPr>
            </w:pPr>
            <w:r>
              <w:rPr>
                <w:rFonts w:hint="eastAsia"/>
                <w:szCs w:val="21"/>
              </w:rPr>
              <w:t>10030</w:t>
            </w:r>
            <w:r>
              <w:rPr>
                <w:rFonts w:hint="eastAsia"/>
                <w:szCs w:val="21"/>
                <w:lang w:val="en-US" w:eastAsia="zh-CN"/>
              </w:rPr>
              <w:t>75</w:t>
            </w:r>
            <w:bookmarkStart w:id="149" w:name="_GoBack"/>
            <w:bookmarkEnd w:id="149"/>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000000" w:themeColor="text1"/>
                <w:szCs w:val="21"/>
              </w:rPr>
            </w:pPr>
            <w:r>
              <w:rPr>
                <w:rFonts w:hint="eastAsia"/>
                <w:color w:val="000000" w:themeColor="text1"/>
              </w:rPr>
              <w:t>煤气化工艺</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color w:val="000000" w:themeColor="text1"/>
                <w:kern w:val="0"/>
                <w:szCs w:val="21"/>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18"/>
              </w:rPr>
            </w:pPr>
            <w:r>
              <w:rPr>
                <w:rFonts w:hint="eastAsia" w:ascii="宋体" w:hAnsi="宋体"/>
                <w:color w:val="000000" w:themeColor="text1"/>
                <w:szCs w:val="18"/>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000000" w:themeColor="text1"/>
                <w:szCs w:val="21"/>
              </w:rPr>
            </w:pPr>
            <w:r>
              <w:rPr>
                <w:rFonts w:ascii="宋体" w:hAnsi="宋体"/>
                <w:color w:val="000000" w:themeColor="text1"/>
                <w:szCs w:val="21"/>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18"/>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ascii="宋体" w:hAnsi="宋体"/>
                <w:color w:val="000000" w:themeColor="text1"/>
                <w:szCs w:val="21"/>
              </w:rPr>
              <w:t>24</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18"/>
              </w:rPr>
              <w:t>48</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000000" w:themeColor="text1"/>
                <w:szCs w:val="21"/>
              </w:rPr>
            </w:pPr>
            <w:r>
              <w:rPr>
                <w:rFonts w:hint="eastAsia" w:ascii="宋体" w:hAnsi="宋体"/>
                <w:color w:val="000000" w:themeColor="text1"/>
                <w:szCs w:val="21"/>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18"/>
              </w:rPr>
              <w:t>4</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笔试+实践考核</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kern w:val="0"/>
                <w:szCs w:val="21"/>
              </w:rPr>
            </w:pPr>
          </w:p>
        </w:tc>
        <w:tc>
          <w:tcPr>
            <w:tcW w:w="547" w:type="dxa"/>
            <w:tcBorders>
              <w:top w:val="single" w:color="auto" w:sz="4" w:space="0"/>
              <w:left w:val="single" w:color="auto" w:sz="4" w:space="0"/>
              <w:right w:val="single" w:color="auto" w:sz="4" w:space="0"/>
            </w:tcBorders>
            <w:noWrap/>
            <w:vAlign w:val="center"/>
          </w:tcPr>
          <w:p>
            <w:pPr>
              <w:widowControl/>
              <w:spacing w:line="240" w:lineRule="atLeast"/>
              <w:jc w:val="center"/>
              <w:rPr>
                <w:rFonts w:ascii="楷体_GB2312" w:hAnsi="宋体" w:eastAsia="楷体_GB2312"/>
                <w:color w:val="000000" w:themeColor="text1"/>
                <w:sz w:val="18"/>
                <w:szCs w:val="18"/>
              </w:rPr>
            </w:pPr>
            <w:r>
              <w:rPr>
                <w:rFonts w:ascii="楷体_GB2312" w:hAnsi="宋体" w:eastAsia="楷体_GB2312"/>
                <w:color w:val="000000" w:themeColor="text1"/>
                <w:sz w:val="18"/>
                <w:szCs w:val="18"/>
              </w:rPr>
              <w:t>1</w:t>
            </w:r>
            <w:r>
              <w:rPr>
                <w:rFonts w:hint="eastAsia" w:ascii="楷体_GB2312" w:hAnsi="宋体" w:eastAsia="楷体_GB2312"/>
                <w:color w:val="000000" w:themeColor="text1"/>
                <w:sz w:val="18"/>
                <w:szCs w:val="18"/>
              </w:rPr>
              <w:t>7</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color w:val="000000" w:themeColor="text1"/>
                <w:szCs w:val="21"/>
              </w:rPr>
            </w:pPr>
            <w:r>
              <w:rPr>
                <w:rFonts w:hint="eastAsia" w:ascii="宋体" w:hAnsi="宋体"/>
                <w:color w:val="000000" w:themeColor="text1"/>
                <w:szCs w:val="21"/>
              </w:rPr>
              <w:t>1003048</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rPr>
                <w:rFonts w:ascii="宋体" w:hAnsi="宋体"/>
                <w:color w:val="000000" w:themeColor="text1"/>
                <w:szCs w:val="21"/>
              </w:rPr>
            </w:pPr>
            <w:r>
              <w:rPr>
                <w:rFonts w:hint="eastAsia"/>
                <w:color w:val="000000" w:themeColor="text1"/>
              </w:rPr>
              <w:t>化工文献检索与处理</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color w:val="000000" w:themeColor="text1"/>
                <w:kern w:val="0"/>
                <w:szCs w:val="21"/>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18"/>
              </w:rPr>
            </w:pPr>
            <w:r>
              <w:rPr>
                <w:rFonts w:hint="eastAsia" w:ascii="宋体" w:hAnsi="宋体"/>
                <w:color w:val="000000" w:themeColor="text1"/>
                <w:szCs w:val="18"/>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000000" w:themeColor="text1"/>
                <w:szCs w:val="21"/>
              </w:rPr>
            </w:pPr>
            <w:r>
              <w:rPr>
                <w:rFonts w:ascii="宋体" w:hAnsi="宋体"/>
                <w:color w:val="000000" w:themeColor="text1"/>
                <w:szCs w:val="21"/>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18"/>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ascii="宋体" w:hAnsi="宋体"/>
                <w:color w:val="000000" w:themeColor="text1"/>
                <w:szCs w:val="21"/>
              </w:rPr>
              <w:t>12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18"/>
              </w:rPr>
              <w:t>24</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000000" w:themeColor="text1"/>
                <w:szCs w:val="21"/>
              </w:rPr>
            </w:pPr>
            <w:r>
              <w:rPr>
                <w:rFonts w:hint="eastAsia" w:ascii="宋体" w:hAnsi="宋体"/>
                <w:color w:val="000000" w:themeColor="text1"/>
                <w:szCs w:val="21"/>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color w:val="000000" w:themeColor="text1"/>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18"/>
              </w:rPr>
              <w:t>2</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笔试+实践考核</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kern w:val="0"/>
                <w:szCs w:val="21"/>
              </w:rPr>
            </w:pPr>
          </w:p>
        </w:tc>
        <w:tc>
          <w:tcPr>
            <w:tcW w:w="547" w:type="dxa"/>
            <w:tcBorders>
              <w:left w:val="single" w:color="auto" w:sz="4" w:space="0"/>
              <w:right w:val="single" w:color="auto" w:sz="4" w:space="0"/>
            </w:tcBorders>
            <w:noWrap/>
            <w:vAlign w:val="center"/>
          </w:tcPr>
          <w:p>
            <w:pPr>
              <w:widowControl/>
              <w:spacing w:line="240" w:lineRule="atLeast"/>
              <w:jc w:val="center"/>
              <w:rPr>
                <w:rFonts w:ascii="楷体_GB2312" w:hAnsi="宋体" w:eastAsia="楷体_GB2312"/>
                <w:color w:val="000000" w:themeColor="text1"/>
                <w:sz w:val="18"/>
                <w:szCs w:val="18"/>
              </w:rPr>
            </w:pPr>
            <w:r>
              <w:rPr>
                <w:rFonts w:ascii="楷体_GB2312" w:hAnsi="宋体" w:eastAsia="楷体_GB2312"/>
                <w:color w:val="000000" w:themeColor="text1"/>
                <w:sz w:val="18"/>
                <w:szCs w:val="18"/>
              </w:rPr>
              <w:t>1</w:t>
            </w:r>
            <w:r>
              <w:rPr>
                <w:rFonts w:hint="eastAsia" w:ascii="楷体_GB2312" w:hAnsi="宋体" w:eastAsia="楷体_GB2312"/>
                <w:color w:val="000000" w:themeColor="text1"/>
                <w:sz w:val="18"/>
                <w:szCs w:val="18"/>
              </w:rPr>
              <w:t>8</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color w:val="000000" w:themeColor="text1"/>
                <w:szCs w:val="21"/>
              </w:rPr>
            </w:pPr>
            <w:r>
              <w:rPr>
                <w:rFonts w:hint="eastAsia"/>
                <w:color w:val="000000" w:themeColor="text1"/>
                <w:szCs w:val="21"/>
              </w:rPr>
              <w:t>1003072</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rPr>
                <w:rFonts w:ascii="宋体" w:hAnsi="宋体"/>
                <w:color w:val="000000" w:themeColor="text1"/>
                <w:szCs w:val="21"/>
              </w:rPr>
            </w:pPr>
            <w:r>
              <w:rPr>
                <w:rFonts w:hint="eastAsia"/>
                <w:color w:val="000000" w:themeColor="text1"/>
              </w:rPr>
              <w:t>现代煤化工技术</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olor w:val="000000" w:themeColor="text1"/>
                <w:szCs w:val="21"/>
              </w:rPr>
            </w:pPr>
            <w:r>
              <w:rPr>
                <w:color w:val="000000" w:themeColor="text1"/>
                <w:kern w:val="0"/>
                <w:szCs w:val="21"/>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18"/>
              </w:rPr>
            </w:pPr>
            <w:r>
              <w:rPr>
                <w:rFonts w:hint="eastAsia" w:ascii="宋体" w:hAnsi="宋体"/>
                <w:color w:val="000000" w:themeColor="text1"/>
                <w:szCs w:val="18"/>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000000" w:themeColor="text1"/>
                <w:szCs w:val="21"/>
              </w:rPr>
            </w:pPr>
            <w:r>
              <w:rPr>
                <w:rFonts w:ascii="宋体" w:hAnsi="宋体"/>
                <w:color w:val="000000" w:themeColor="text1"/>
                <w:szCs w:val="21"/>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18"/>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ascii="宋体" w:hAnsi="宋体"/>
                <w:color w:val="000000" w:themeColor="text1"/>
                <w:szCs w:val="21"/>
              </w:rPr>
              <w:t>24</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18"/>
              </w:rPr>
              <w:t>48</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000000" w:themeColor="text1"/>
                <w:szCs w:val="21"/>
              </w:rPr>
            </w:pPr>
            <w:r>
              <w:rPr>
                <w:rFonts w:hint="eastAsia" w:ascii="宋体" w:hAnsi="宋体"/>
                <w:color w:val="000000" w:themeColor="text1"/>
                <w:szCs w:val="21"/>
              </w:rPr>
              <w:t>理实一体</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color w:val="000000" w:themeColor="text1"/>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18"/>
              </w:rPr>
              <w:t>4</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笔试+实践考核</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kern w:val="0"/>
                <w:szCs w:val="21"/>
              </w:rPr>
            </w:pPr>
          </w:p>
        </w:tc>
        <w:tc>
          <w:tcPr>
            <w:tcW w:w="547" w:type="dxa"/>
            <w:tcBorders>
              <w:left w:val="single" w:color="auto" w:sz="4" w:space="0"/>
              <w:right w:val="single" w:color="auto" w:sz="4" w:space="0"/>
            </w:tcBorders>
            <w:noWrap/>
            <w:vAlign w:val="center"/>
          </w:tcPr>
          <w:p>
            <w:pPr>
              <w:widowControl/>
              <w:spacing w:line="240" w:lineRule="atLeast"/>
              <w:jc w:val="center"/>
              <w:rPr>
                <w:rFonts w:ascii="楷体_GB2312" w:hAnsi="宋体" w:eastAsia="楷体_GB2312"/>
                <w:color w:val="000000" w:themeColor="text1"/>
                <w:sz w:val="18"/>
                <w:szCs w:val="18"/>
              </w:rPr>
            </w:pPr>
            <w:r>
              <w:rPr>
                <w:rFonts w:ascii="楷体_GB2312" w:hAnsi="宋体" w:eastAsia="楷体_GB2312"/>
                <w:color w:val="000000" w:themeColor="text1"/>
                <w:sz w:val="18"/>
                <w:szCs w:val="18"/>
              </w:rPr>
              <w:t>1</w:t>
            </w:r>
            <w:r>
              <w:rPr>
                <w:rFonts w:hint="eastAsia" w:ascii="楷体_GB2312" w:hAnsi="宋体" w:eastAsia="楷体_GB2312"/>
                <w:color w:val="000000" w:themeColor="text1"/>
                <w:sz w:val="18"/>
                <w:szCs w:val="18"/>
              </w:rPr>
              <w:t>9</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color w:val="000000" w:themeColor="text1"/>
                <w:szCs w:val="21"/>
              </w:rPr>
            </w:pP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color w:val="000000" w:themeColor="text1"/>
                <w:szCs w:val="21"/>
              </w:rPr>
            </w:pP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rPr>
                <w:rFonts w:ascii="宋体" w:hAnsi="宋体"/>
                <w:color w:val="000000" w:themeColor="text1"/>
                <w:szCs w:val="21"/>
              </w:rPr>
            </w:pPr>
          </w:p>
        </w:tc>
        <w:tc>
          <w:tcPr>
            <w:tcW w:w="402"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000000" w:themeColor="text1"/>
                <w:szCs w:val="18"/>
              </w:rPr>
            </w:pPr>
          </w:p>
        </w:tc>
        <w:tc>
          <w:tcPr>
            <w:tcW w:w="550" w:type="dxa"/>
            <w:tcBorders>
              <w:top w:val="single" w:color="auto" w:sz="4" w:space="0"/>
              <w:left w:val="single" w:color="auto" w:sz="4" w:space="0"/>
              <w:bottom w:val="single" w:color="auto" w:sz="4" w:space="0"/>
              <w:right w:val="single" w:color="auto" w:sz="4" w:space="0"/>
            </w:tcBorders>
            <w:noWrap/>
            <w:vAlign w:val="center"/>
          </w:tcPr>
          <w:p>
            <w:pPr>
              <w:spacing w:line="240" w:lineRule="atLeast"/>
              <w:jc w:val="center"/>
              <w:rPr>
                <w:rFonts w:ascii="宋体" w:hAnsi="宋体"/>
                <w:color w:val="000000" w:themeColor="text1"/>
                <w:szCs w:val="21"/>
              </w:rPr>
            </w:pP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000000" w:themeColor="text1"/>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b/>
                <w:kern w:val="0"/>
                <w:szCs w:val="21"/>
              </w:rPr>
            </w:pPr>
          </w:p>
        </w:tc>
        <w:tc>
          <w:tcPr>
            <w:tcW w:w="5524" w:type="dxa"/>
            <w:gridSpan w:val="7"/>
            <w:tcBorders>
              <w:left w:val="single" w:color="auto" w:sz="4" w:space="0"/>
              <w:right w:val="single" w:color="auto" w:sz="4" w:space="0"/>
            </w:tcBorders>
            <w:noWrap/>
            <w:vAlign w:val="center"/>
          </w:tcPr>
          <w:p>
            <w:pPr>
              <w:spacing w:line="240" w:lineRule="atLeast"/>
              <w:jc w:val="center"/>
              <w:rPr>
                <w:rFonts w:ascii="宋体" w:hAnsi="宋体"/>
                <w:color w:val="000000" w:themeColor="text1"/>
                <w:szCs w:val="18"/>
              </w:rPr>
            </w:pPr>
            <w:r>
              <w:rPr>
                <w:rFonts w:hint="eastAsia" w:ascii="宋体" w:hAnsi="宋体" w:cs="宋体"/>
                <w:color w:val="000000" w:themeColor="text1"/>
                <w:kern w:val="0"/>
                <w:szCs w:val="18"/>
              </w:rPr>
              <w:t>小计</w:t>
            </w:r>
          </w:p>
        </w:tc>
        <w:tc>
          <w:tcPr>
            <w:tcW w:w="550" w:type="dxa"/>
            <w:tcBorders>
              <w:top w:val="single" w:color="auto" w:sz="4" w:space="0"/>
              <w:left w:val="single" w:color="auto" w:sz="4" w:space="0"/>
              <w:right w:val="single" w:color="auto" w:sz="4" w:space="0"/>
            </w:tcBorders>
            <w:noWrap/>
            <w:vAlign w:val="center"/>
          </w:tcPr>
          <w:p>
            <w:pPr>
              <w:widowControl/>
              <w:spacing w:line="240" w:lineRule="atLeast"/>
              <w:rPr>
                <w:rFonts w:ascii="宋体" w:hAnsi="宋体"/>
                <w:color w:val="000000" w:themeColor="text1"/>
                <w:szCs w:val="21"/>
              </w:rPr>
            </w:pPr>
            <w:r>
              <w:rPr>
                <w:rFonts w:ascii="宋体" w:hAnsi="宋体"/>
                <w:color w:val="000000" w:themeColor="text1"/>
                <w:szCs w:val="21"/>
              </w:rPr>
              <w:t>64</w:t>
            </w:r>
          </w:p>
        </w:tc>
        <w:tc>
          <w:tcPr>
            <w:tcW w:w="700" w:type="dxa"/>
            <w:tcBorders>
              <w:top w:val="single" w:color="auto" w:sz="4" w:space="0"/>
              <w:left w:val="single" w:color="auto" w:sz="4" w:space="0"/>
              <w:right w:val="single" w:color="auto" w:sz="4" w:space="0"/>
            </w:tcBorders>
            <w:noWrap/>
            <w:vAlign w:val="center"/>
          </w:tcPr>
          <w:p>
            <w:pPr>
              <w:widowControl/>
              <w:spacing w:line="240" w:lineRule="atLeast"/>
              <w:rPr>
                <w:rFonts w:ascii="宋体" w:hAnsi="宋体"/>
                <w:color w:val="000000" w:themeColor="text1"/>
                <w:szCs w:val="21"/>
              </w:rPr>
            </w:pPr>
            <w:r>
              <w:rPr>
                <w:rFonts w:ascii="宋体" w:hAnsi="宋体"/>
                <w:color w:val="000000" w:themeColor="text1"/>
                <w:szCs w:val="21"/>
              </w:rPr>
              <w:t>108</w:t>
            </w:r>
            <w:r>
              <w:rPr>
                <w:rFonts w:hint="eastAsia" w:ascii="宋体" w:hAnsi="宋体"/>
                <w:color w:val="000000" w:themeColor="text1"/>
                <w:szCs w:val="21"/>
              </w:rPr>
              <w:t>8</w:t>
            </w:r>
          </w:p>
        </w:tc>
        <w:tc>
          <w:tcPr>
            <w:tcW w:w="576" w:type="dxa"/>
            <w:tcBorders>
              <w:top w:val="single" w:color="auto" w:sz="4" w:space="0"/>
              <w:left w:val="single" w:color="auto" w:sz="4" w:space="0"/>
              <w:right w:val="single" w:color="auto" w:sz="4" w:space="0"/>
            </w:tcBorders>
            <w:noWrap/>
            <w:vAlign w:val="center"/>
          </w:tcPr>
          <w:p>
            <w:pPr>
              <w:widowControl/>
              <w:spacing w:line="240" w:lineRule="atLeast"/>
              <w:rPr>
                <w:rFonts w:ascii="宋体" w:hAnsi="宋体"/>
                <w:color w:val="000000" w:themeColor="text1"/>
                <w:szCs w:val="21"/>
              </w:rPr>
            </w:pPr>
            <w:r>
              <w:rPr>
                <w:rFonts w:ascii="宋体" w:hAnsi="宋体"/>
                <w:color w:val="000000" w:themeColor="text1"/>
                <w:szCs w:val="21"/>
              </w:rPr>
              <w:t>3</w:t>
            </w:r>
            <w:r>
              <w:rPr>
                <w:rFonts w:hint="eastAsia" w:ascii="宋体" w:hAnsi="宋体"/>
                <w:color w:val="000000" w:themeColor="text1"/>
                <w:szCs w:val="21"/>
              </w:rPr>
              <w:t>70</w:t>
            </w:r>
          </w:p>
        </w:tc>
        <w:tc>
          <w:tcPr>
            <w:tcW w:w="584" w:type="dxa"/>
            <w:tcBorders>
              <w:top w:val="single" w:color="auto" w:sz="4" w:space="0"/>
              <w:left w:val="single" w:color="auto" w:sz="4" w:space="0"/>
              <w:right w:val="single" w:color="auto" w:sz="4" w:space="0"/>
            </w:tcBorders>
            <w:noWrap/>
            <w:vAlign w:val="center"/>
          </w:tcPr>
          <w:p>
            <w:pPr>
              <w:widowControl/>
              <w:spacing w:line="240" w:lineRule="atLeast"/>
              <w:rPr>
                <w:rFonts w:ascii="宋体" w:hAnsi="宋体"/>
                <w:color w:val="000000" w:themeColor="text1"/>
                <w:szCs w:val="21"/>
              </w:rPr>
            </w:pPr>
            <w:r>
              <w:rPr>
                <w:rFonts w:ascii="宋体" w:hAnsi="宋体"/>
                <w:color w:val="000000" w:themeColor="text1"/>
                <w:szCs w:val="21"/>
              </w:rPr>
              <w:t>71</w:t>
            </w:r>
            <w:r>
              <w:rPr>
                <w:rFonts w:hint="eastAsia" w:ascii="宋体" w:hAnsi="宋体"/>
                <w:color w:val="000000" w:themeColor="text1"/>
                <w:szCs w:val="21"/>
              </w:rPr>
              <w:t>8</w:t>
            </w:r>
          </w:p>
        </w:tc>
        <w:tc>
          <w:tcPr>
            <w:tcW w:w="800" w:type="dxa"/>
            <w:tcBorders>
              <w:top w:val="single" w:color="auto" w:sz="4" w:space="0"/>
              <w:left w:val="single" w:color="auto" w:sz="4" w:space="0"/>
              <w:right w:val="single" w:color="auto" w:sz="4" w:space="0"/>
            </w:tcBorders>
            <w:noWrap/>
            <w:vAlign w:val="center"/>
          </w:tcPr>
          <w:p>
            <w:pPr>
              <w:widowControl/>
              <w:spacing w:line="240" w:lineRule="exact"/>
              <w:jc w:val="center"/>
              <w:rPr>
                <w:rFonts w:ascii="宋体" w:hAnsi="宋体"/>
                <w:color w:val="000000" w:themeColor="text1"/>
                <w:szCs w:val="21"/>
              </w:rPr>
            </w:pPr>
          </w:p>
        </w:tc>
        <w:tc>
          <w:tcPr>
            <w:tcW w:w="533" w:type="dxa"/>
            <w:tcBorders>
              <w:top w:val="single" w:color="auto" w:sz="4" w:space="0"/>
              <w:left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21"/>
              </w:rPr>
              <w:t>10</w:t>
            </w:r>
          </w:p>
        </w:tc>
        <w:tc>
          <w:tcPr>
            <w:tcW w:w="567" w:type="dxa"/>
            <w:tcBorders>
              <w:top w:val="single" w:color="auto" w:sz="4" w:space="0"/>
              <w:left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21"/>
              </w:rPr>
              <w:t>12</w:t>
            </w:r>
          </w:p>
        </w:tc>
        <w:tc>
          <w:tcPr>
            <w:tcW w:w="600" w:type="dxa"/>
            <w:tcBorders>
              <w:top w:val="single" w:color="auto" w:sz="4" w:space="0"/>
              <w:left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21"/>
              </w:rPr>
              <w:t>22</w:t>
            </w:r>
          </w:p>
        </w:tc>
        <w:tc>
          <w:tcPr>
            <w:tcW w:w="583" w:type="dxa"/>
            <w:tcBorders>
              <w:top w:val="single" w:color="auto" w:sz="4" w:space="0"/>
              <w:left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21"/>
              </w:rPr>
              <w:t>20</w:t>
            </w:r>
          </w:p>
        </w:tc>
        <w:tc>
          <w:tcPr>
            <w:tcW w:w="533" w:type="dxa"/>
            <w:tcBorders>
              <w:top w:val="single" w:color="auto" w:sz="4" w:space="0"/>
              <w:left w:val="single" w:color="auto" w:sz="4" w:space="0"/>
              <w:right w:val="single" w:color="auto" w:sz="4" w:space="0"/>
            </w:tcBorders>
            <w:noWrap/>
            <w:vAlign w:val="center"/>
          </w:tcPr>
          <w:p>
            <w:pPr>
              <w:widowControl/>
              <w:spacing w:line="240" w:lineRule="atLeast"/>
              <w:rPr>
                <w:rFonts w:ascii="宋体" w:hAnsi="宋体"/>
                <w:color w:val="000000" w:themeColor="text1"/>
                <w:szCs w:val="21"/>
              </w:rPr>
            </w:pPr>
          </w:p>
        </w:tc>
        <w:tc>
          <w:tcPr>
            <w:tcW w:w="650" w:type="dxa"/>
            <w:tcBorders>
              <w:top w:val="single" w:color="auto" w:sz="4" w:space="0"/>
              <w:left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784" w:type="dxa"/>
            <w:tcBorders>
              <w:top w:val="single" w:color="auto" w:sz="4" w:space="0"/>
              <w:left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762" w:type="dxa"/>
            <w:tcBorders>
              <w:top w:val="single" w:color="auto" w:sz="4" w:space="0"/>
              <w:left w:val="single" w:color="auto" w:sz="4" w:space="0"/>
              <w:right w:val="single" w:color="auto" w:sz="4" w:space="0"/>
            </w:tcBorders>
            <w:noWrap/>
            <w:vAlign w:val="center"/>
          </w:tcPr>
          <w:p>
            <w:pPr>
              <w:widowControl/>
              <w:spacing w:line="240" w:lineRule="atLeast"/>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549" w:type="dxa"/>
            <w:vMerge w:val="restart"/>
            <w:tcBorders>
              <w:top w:val="single" w:color="auto" w:sz="4" w:space="0"/>
              <w:left w:val="single" w:color="auto" w:sz="4" w:space="0"/>
              <w:bottom w:val="single" w:color="auto" w:sz="4" w:space="0"/>
              <w:right w:val="single" w:color="auto" w:sz="4" w:space="0"/>
            </w:tcBorders>
            <w:noWrap/>
            <w:vAlign w:val="center"/>
          </w:tcPr>
          <w:p>
            <w:pPr>
              <w:spacing w:line="360" w:lineRule="exact"/>
              <w:jc w:val="center"/>
              <w:rPr>
                <w:rFonts w:ascii="黑体" w:hAnsi="宋体" w:eastAsia="黑体" w:cs="宋体"/>
                <w:kern w:val="0"/>
                <w:szCs w:val="21"/>
              </w:rPr>
            </w:pPr>
            <w:r>
              <w:rPr>
                <w:rFonts w:hint="eastAsia" w:ascii="宋体" w:hAnsi="宋体"/>
                <w:b/>
                <w:szCs w:val="18"/>
              </w:rPr>
              <w:t>专业限选课程</w:t>
            </w: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1</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r>
              <w:rPr>
                <w:rFonts w:hint="eastAsia" w:ascii="宋体" w:hAnsi="宋体"/>
                <w:color w:val="000000" w:themeColor="text1"/>
                <w:szCs w:val="21"/>
              </w:rPr>
              <w:t>ZC01</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olor w:val="000000" w:themeColor="text1"/>
                <w:szCs w:val="21"/>
              </w:rPr>
            </w:pPr>
            <w:r>
              <w:rPr>
                <w:rFonts w:hint="eastAsia" w:ascii="宋体" w:hAnsi="宋体" w:cs="宋体"/>
                <w:color w:val="000000" w:themeColor="text1"/>
                <w:kern w:val="0"/>
                <w:szCs w:val="18"/>
              </w:rPr>
              <w:t>艺术哲学：美是如何诞生的</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rPr>
                <w:rFonts w:ascii="宋体" w:hAnsi="宋体"/>
                <w:color w:val="000000" w:themeColor="text1"/>
                <w:szCs w:val="21"/>
              </w:rPr>
            </w:pPr>
            <w:r>
              <w:rPr>
                <w:rFonts w:hint="eastAsia" w:ascii="宋体"/>
                <w:color w:val="000000" w:themeColor="text1"/>
                <w:szCs w:val="18"/>
              </w:rPr>
              <w:t>选修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18"/>
              </w:rPr>
              <w:t>A</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ascii="宋体" w:hAnsi="宋体"/>
                <w:color w:val="000000" w:themeColor="text1"/>
                <w:szCs w:val="21"/>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ascii="宋体" w:hAnsi="宋体"/>
                <w:color w:val="000000" w:themeColor="text1"/>
                <w:szCs w:val="18"/>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ascii="宋体" w:hAnsi="宋体"/>
                <w:color w:val="000000" w:themeColor="text1"/>
                <w:szCs w:val="18"/>
              </w:rPr>
              <w:t>72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ascii="宋体" w:hAnsi="宋体"/>
                <w:color w:val="000000" w:themeColor="text1"/>
                <w:szCs w:val="21"/>
              </w:rPr>
              <w:t>网络授课</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000000" w:themeColor="text1"/>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000000" w:themeColor="text1"/>
                <w:kern w:val="0"/>
                <w:szCs w:val="21"/>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s="宋体"/>
                <w:color w:val="000000" w:themeColor="text1"/>
                <w:kern w:val="0"/>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color w:val="000000" w:themeColor="text1"/>
                <w:kern w:val="0"/>
                <w:szCs w:val="21"/>
              </w:rPr>
            </w:pPr>
            <w:r>
              <w:rPr>
                <w:rFonts w:hint="eastAsia" w:ascii="宋体" w:hAnsi="宋体"/>
                <w:color w:val="000000" w:themeColor="text1"/>
                <w:szCs w:val="18"/>
              </w:rPr>
              <w:t>4</w:t>
            </w: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000000" w:themeColor="text1"/>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ascii="宋体" w:hAnsi="宋体"/>
                <w:color w:val="000000" w:themeColor="text1"/>
                <w:szCs w:val="21"/>
              </w:rPr>
              <w:t>在线考试</w:t>
            </w:r>
          </w:p>
        </w:tc>
        <w:tc>
          <w:tcPr>
            <w:tcW w:w="762" w:type="dxa"/>
            <w:vMerge w:val="restart"/>
            <w:tcBorders>
              <w:top w:val="single" w:color="auto" w:sz="4" w:space="0"/>
              <w:left w:val="single" w:color="auto" w:sz="4" w:space="0"/>
              <w:right w:val="single" w:color="auto" w:sz="4" w:space="0"/>
            </w:tcBorders>
            <w:noWrap/>
            <w:vAlign w:val="center"/>
          </w:tcPr>
          <w:p>
            <w:pPr>
              <w:widowControl/>
              <w:spacing w:line="240" w:lineRule="atLeast"/>
              <w:jc w:val="center"/>
              <w:rPr>
                <w:rFonts w:ascii="宋体" w:hAnsi="宋体"/>
                <w:szCs w:val="21"/>
              </w:rPr>
            </w:pPr>
            <w:r>
              <w:rPr>
                <w:rFonts w:hint="eastAsia" w:ascii="宋体" w:hAnsi="宋体"/>
                <w:szCs w:val="18"/>
              </w:rPr>
              <w:t>任选5门课程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2</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G22</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olor w:val="000000" w:themeColor="text1"/>
                <w:szCs w:val="21"/>
              </w:rPr>
            </w:pPr>
            <w:r>
              <w:rPr>
                <w:rFonts w:hint="eastAsia" w:ascii="宋体" w:hAnsi="宋体" w:cs="宋体"/>
                <w:color w:val="000000" w:themeColor="text1"/>
                <w:kern w:val="0"/>
                <w:szCs w:val="18"/>
              </w:rPr>
              <w:t>习近平新时代中国特色社会主义思想与当代中国</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rPr>
                <w:rFonts w:ascii="宋体" w:hAnsi="宋体"/>
                <w:color w:val="000000" w:themeColor="text1"/>
                <w:szCs w:val="21"/>
              </w:rPr>
            </w:pPr>
            <w:r>
              <w:rPr>
                <w:rFonts w:hint="eastAsia" w:ascii="宋体"/>
                <w:color w:val="000000" w:themeColor="text1"/>
                <w:szCs w:val="18"/>
              </w:rPr>
              <w:t>选修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18"/>
              </w:rPr>
              <w:t>A</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ascii="宋体" w:hAnsi="宋体"/>
                <w:color w:val="000000" w:themeColor="text1"/>
                <w:szCs w:val="21"/>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ascii="宋体" w:hAnsi="宋体"/>
                <w:color w:val="000000" w:themeColor="text1"/>
                <w:szCs w:val="18"/>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ascii="宋体" w:hAnsi="宋体"/>
                <w:color w:val="000000" w:themeColor="text1"/>
                <w:szCs w:val="18"/>
              </w:rPr>
              <w:t>72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ascii="宋体" w:hAnsi="宋体"/>
                <w:color w:val="000000" w:themeColor="text1"/>
                <w:szCs w:val="21"/>
              </w:rPr>
              <w:t>网络授课</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18"/>
              </w:rPr>
              <w:t>4</w:t>
            </w: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ascii="宋体" w:hAnsi="宋体"/>
                <w:color w:val="000000" w:themeColor="text1"/>
                <w:szCs w:val="21"/>
              </w:rPr>
              <w:t>在线考试</w:t>
            </w:r>
          </w:p>
        </w:tc>
        <w:tc>
          <w:tcPr>
            <w:tcW w:w="762" w:type="dxa"/>
            <w:vMerge w:val="continue"/>
            <w:tcBorders>
              <w:left w:val="single" w:color="auto" w:sz="4" w:space="0"/>
              <w:right w:val="single" w:color="auto" w:sz="4" w:space="0"/>
            </w:tcBorders>
            <w:noWrap/>
            <w:vAlign w:val="center"/>
          </w:tcPr>
          <w:p>
            <w:pPr>
              <w:widowControl/>
              <w:spacing w:line="240" w:lineRule="atLeas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3</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ZD01</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olor w:val="000000" w:themeColor="text1"/>
                <w:szCs w:val="21"/>
              </w:rPr>
            </w:pPr>
            <w:r>
              <w:rPr>
                <w:rFonts w:hint="eastAsia" w:ascii="宋体" w:hAnsi="宋体" w:cs="宋体"/>
                <w:color w:val="000000" w:themeColor="text1"/>
                <w:kern w:val="0"/>
                <w:szCs w:val="18"/>
              </w:rPr>
              <w:t>人工智能与信息社会</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rPr>
                <w:rFonts w:ascii="宋体" w:hAnsi="宋体"/>
                <w:color w:val="000000" w:themeColor="text1"/>
                <w:szCs w:val="21"/>
              </w:rPr>
            </w:pPr>
            <w:r>
              <w:rPr>
                <w:rFonts w:hint="eastAsia" w:ascii="宋体"/>
                <w:color w:val="000000" w:themeColor="text1"/>
                <w:szCs w:val="18"/>
              </w:rPr>
              <w:t>选修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18"/>
              </w:rPr>
              <w:t>A</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ascii="宋体" w:hAnsi="宋体"/>
                <w:color w:val="000000" w:themeColor="text1"/>
                <w:szCs w:val="21"/>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ascii="宋体" w:hAnsi="宋体"/>
                <w:color w:val="000000" w:themeColor="text1"/>
                <w:szCs w:val="18"/>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ascii="宋体" w:hAnsi="宋体"/>
                <w:color w:val="000000" w:themeColor="text1"/>
                <w:szCs w:val="18"/>
              </w:rPr>
              <w:t>72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ascii="宋体" w:hAnsi="宋体"/>
                <w:color w:val="000000" w:themeColor="text1"/>
                <w:szCs w:val="21"/>
              </w:rPr>
              <w:t>网络授课</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18"/>
              </w:rPr>
              <w:t>4</w:t>
            </w: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ascii="宋体" w:hAnsi="宋体"/>
                <w:color w:val="000000" w:themeColor="text1"/>
                <w:szCs w:val="21"/>
              </w:rPr>
              <w:t>在线考试</w:t>
            </w:r>
          </w:p>
        </w:tc>
        <w:tc>
          <w:tcPr>
            <w:tcW w:w="762" w:type="dxa"/>
            <w:vMerge w:val="continue"/>
            <w:tcBorders>
              <w:left w:val="single" w:color="auto" w:sz="4" w:space="0"/>
              <w:right w:val="single" w:color="auto" w:sz="4" w:space="0"/>
            </w:tcBorders>
            <w:noWrap/>
            <w:vAlign w:val="center"/>
          </w:tcPr>
          <w:p>
            <w:pPr>
              <w:widowControl/>
              <w:spacing w:line="240" w:lineRule="atLeas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4</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r>
              <w:rPr>
                <w:rFonts w:hint="eastAsia" w:ascii="宋体" w:hAnsi="宋体"/>
                <w:color w:val="000000" w:themeColor="text1"/>
                <w:szCs w:val="21"/>
              </w:rPr>
              <w:t>ZD54</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000000" w:themeColor="text1"/>
                <w:szCs w:val="21"/>
              </w:rPr>
            </w:pPr>
            <w:r>
              <w:rPr>
                <w:rFonts w:hint="eastAsia" w:ascii="宋体" w:hAnsi="宋体" w:cs="宋体"/>
                <w:color w:val="000000" w:themeColor="text1"/>
                <w:kern w:val="0"/>
                <w:szCs w:val="18"/>
              </w:rPr>
              <w:t>化学与人类</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rPr>
                <w:rFonts w:ascii="宋体" w:hAnsi="宋体"/>
                <w:color w:val="000000" w:themeColor="text1"/>
                <w:szCs w:val="21"/>
              </w:rPr>
            </w:pPr>
            <w:r>
              <w:rPr>
                <w:rFonts w:hint="eastAsia" w:ascii="宋体"/>
                <w:color w:val="000000" w:themeColor="text1"/>
                <w:szCs w:val="18"/>
              </w:rPr>
              <w:t>选修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18"/>
              </w:rPr>
            </w:pPr>
            <w:r>
              <w:rPr>
                <w:rFonts w:hint="eastAsia" w:ascii="宋体" w:hAnsi="宋体"/>
                <w:color w:val="000000" w:themeColor="text1"/>
                <w:szCs w:val="18"/>
              </w:rPr>
              <w:t>A</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ascii="宋体" w:hAnsi="宋体"/>
                <w:color w:val="000000" w:themeColor="text1"/>
                <w:szCs w:val="21"/>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ascii="宋体" w:hAnsi="宋体"/>
                <w:color w:val="000000" w:themeColor="text1"/>
                <w:szCs w:val="18"/>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ascii="宋体" w:hAnsi="宋体"/>
                <w:color w:val="000000" w:themeColor="text1"/>
                <w:szCs w:val="18"/>
              </w:rPr>
              <w:t>72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ascii="宋体" w:hAnsi="宋体"/>
                <w:color w:val="000000" w:themeColor="text1"/>
                <w:szCs w:val="21"/>
              </w:rPr>
              <w:t>网络授课</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18"/>
              </w:rPr>
              <w:t>4</w:t>
            </w: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ascii="宋体" w:hAnsi="宋体"/>
                <w:color w:val="000000" w:themeColor="text1"/>
                <w:szCs w:val="21"/>
              </w:rPr>
              <w:t>在线考试</w:t>
            </w:r>
          </w:p>
        </w:tc>
        <w:tc>
          <w:tcPr>
            <w:tcW w:w="762" w:type="dxa"/>
            <w:vMerge w:val="continue"/>
            <w:tcBorders>
              <w:left w:val="single" w:color="auto" w:sz="4" w:space="0"/>
              <w:right w:val="single" w:color="auto" w:sz="4" w:space="0"/>
            </w:tcBorders>
            <w:noWrap/>
            <w:vAlign w:val="center"/>
          </w:tcPr>
          <w:p>
            <w:pPr>
              <w:widowControl/>
              <w:spacing w:line="240" w:lineRule="atLeast"/>
              <w:jc w:val="center"/>
              <w:rPr>
                <w:rFonts w:ascii="宋体" w:hAnsi="宋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5</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r>
              <w:rPr>
                <w:rFonts w:hint="eastAsia" w:ascii="宋体" w:hAnsi="宋体"/>
                <w:color w:val="000000" w:themeColor="text1"/>
                <w:szCs w:val="21"/>
              </w:rPr>
              <w:t>ZD48</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000000" w:themeColor="text1"/>
                <w:szCs w:val="21"/>
              </w:rPr>
            </w:pPr>
            <w:r>
              <w:rPr>
                <w:rFonts w:hint="eastAsia" w:ascii="宋体" w:hAnsi="宋体" w:cs="宋体"/>
                <w:color w:val="000000" w:themeColor="text1"/>
                <w:kern w:val="0"/>
                <w:szCs w:val="18"/>
              </w:rPr>
              <w:t>家园的治理：环境科学概论</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rPr>
                <w:rFonts w:ascii="宋体" w:hAnsi="宋体"/>
                <w:color w:val="000000" w:themeColor="text1"/>
                <w:szCs w:val="21"/>
              </w:rPr>
            </w:pPr>
            <w:r>
              <w:rPr>
                <w:rFonts w:hint="eastAsia" w:ascii="宋体"/>
                <w:color w:val="000000" w:themeColor="text1"/>
                <w:szCs w:val="18"/>
              </w:rPr>
              <w:t>选修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18"/>
              </w:rPr>
            </w:pPr>
            <w:r>
              <w:rPr>
                <w:rFonts w:hint="eastAsia" w:ascii="宋体" w:hAnsi="宋体"/>
                <w:color w:val="000000" w:themeColor="text1"/>
                <w:szCs w:val="18"/>
              </w:rPr>
              <w:t>A</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ascii="宋体" w:hAnsi="宋体"/>
                <w:color w:val="000000" w:themeColor="text1"/>
                <w:szCs w:val="21"/>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ascii="宋体" w:hAnsi="宋体"/>
                <w:color w:val="000000" w:themeColor="text1"/>
                <w:szCs w:val="18"/>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ascii="宋体" w:hAnsi="宋体"/>
                <w:color w:val="000000" w:themeColor="text1"/>
                <w:szCs w:val="18"/>
              </w:rPr>
              <w:t>72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ascii="宋体" w:hAnsi="宋体"/>
                <w:color w:val="000000" w:themeColor="text1"/>
                <w:szCs w:val="21"/>
              </w:rPr>
              <w:t>网络授课</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18"/>
              </w:rPr>
              <w:t>4</w:t>
            </w: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ascii="宋体" w:hAnsi="宋体"/>
                <w:color w:val="000000" w:themeColor="text1"/>
                <w:szCs w:val="21"/>
              </w:rPr>
              <w:t>在线考试</w:t>
            </w:r>
          </w:p>
        </w:tc>
        <w:tc>
          <w:tcPr>
            <w:tcW w:w="762" w:type="dxa"/>
            <w:vMerge w:val="continue"/>
            <w:tcBorders>
              <w:left w:val="single" w:color="auto" w:sz="4" w:space="0"/>
              <w:right w:val="single" w:color="auto" w:sz="4" w:space="0"/>
            </w:tcBorders>
            <w:noWrap/>
            <w:vAlign w:val="center"/>
          </w:tcPr>
          <w:p>
            <w:pPr>
              <w:widowControl/>
              <w:spacing w:line="240" w:lineRule="atLeast"/>
              <w:jc w:val="center"/>
              <w:rPr>
                <w:rFonts w:ascii="宋体" w:hAnsi="宋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ascii="宋体" w:hAnsi="宋体"/>
                <w:color w:val="000000" w:themeColor="text1"/>
                <w:szCs w:val="21"/>
              </w:rPr>
              <w:t>6</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color w:val="000000" w:themeColor="text1"/>
                <w:szCs w:val="21"/>
              </w:rPr>
            </w:pPr>
            <w:r>
              <w:rPr>
                <w:rFonts w:hint="eastAsia"/>
                <w:color w:val="000000" w:themeColor="text1"/>
                <w:szCs w:val="21"/>
              </w:rPr>
              <w:t>TA04</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color w:val="000000" w:themeColor="text1"/>
                <w:szCs w:val="21"/>
              </w:rPr>
            </w:pPr>
            <w:r>
              <w:rPr>
                <w:rFonts w:hint="eastAsia" w:ascii="宋体" w:hAnsi="宋体" w:cs="宋体"/>
                <w:color w:val="000000" w:themeColor="text1"/>
                <w:kern w:val="0"/>
                <w:szCs w:val="18"/>
              </w:rPr>
              <w:t>情绪管理</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rPr>
                <w:rFonts w:ascii="宋体" w:hAnsi="宋体"/>
                <w:color w:val="000000" w:themeColor="text1"/>
                <w:szCs w:val="21"/>
              </w:rPr>
            </w:pPr>
            <w:r>
              <w:rPr>
                <w:rFonts w:hint="eastAsia" w:ascii="宋体"/>
                <w:color w:val="000000" w:themeColor="text1"/>
                <w:szCs w:val="18"/>
              </w:rPr>
              <w:t>选修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18"/>
              </w:rPr>
            </w:pPr>
            <w:r>
              <w:rPr>
                <w:rFonts w:hint="eastAsia" w:ascii="宋体" w:hAnsi="宋体"/>
                <w:color w:val="000000" w:themeColor="text1"/>
                <w:szCs w:val="18"/>
              </w:rPr>
              <w:t>A</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18"/>
              </w:rPr>
            </w:pPr>
            <w:r>
              <w:rPr>
                <w:rFonts w:ascii="宋体" w:hAnsi="宋体"/>
                <w:color w:val="000000" w:themeColor="text1"/>
                <w:szCs w:val="18"/>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18"/>
              </w:rPr>
            </w:pPr>
            <w:r>
              <w:rPr>
                <w:rFonts w:ascii="宋体" w:hAnsi="宋体"/>
                <w:color w:val="000000" w:themeColor="text1"/>
                <w:szCs w:val="18"/>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ascii="宋体" w:hAnsi="宋体"/>
                <w:color w:val="000000" w:themeColor="text1"/>
                <w:szCs w:val="18"/>
              </w:rPr>
              <w:t>72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ascii="宋体" w:hAnsi="宋体"/>
                <w:color w:val="000000" w:themeColor="text1"/>
                <w:szCs w:val="21"/>
              </w:rPr>
              <w:t>网络授课</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18"/>
              </w:rPr>
              <w:t>4</w:t>
            </w: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ascii="宋体" w:hAnsi="宋体"/>
                <w:color w:val="000000" w:themeColor="text1"/>
                <w:szCs w:val="21"/>
              </w:rPr>
              <w:t>在线考试</w:t>
            </w:r>
          </w:p>
        </w:tc>
        <w:tc>
          <w:tcPr>
            <w:tcW w:w="762" w:type="dxa"/>
            <w:vMerge w:val="continue"/>
            <w:tcBorders>
              <w:left w:val="single" w:color="auto" w:sz="4" w:space="0"/>
              <w:right w:val="single" w:color="auto" w:sz="4" w:space="0"/>
            </w:tcBorders>
            <w:noWrap/>
            <w:vAlign w:val="center"/>
          </w:tcPr>
          <w:p>
            <w:pPr>
              <w:widowControl/>
              <w:spacing w:line="240" w:lineRule="atLeast"/>
              <w:jc w:val="center"/>
              <w:rPr>
                <w:rFonts w:ascii="宋体" w:hAnsi="宋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5"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ascii="宋体" w:hAnsi="宋体"/>
                <w:color w:val="000000" w:themeColor="text1"/>
                <w:szCs w:val="21"/>
              </w:rPr>
              <w:t>7</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TA03</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000000" w:themeColor="text1"/>
                <w:szCs w:val="21"/>
              </w:rPr>
            </w:pPr>
            <w:r>
              <w:rPr>
                <w:rFonts w:ascii="宋体" w:hAnsi="宋体" w:cs="宋体"/>
                <w:color w:val="000000" w:themeColor="text1"/>
                <w:kern w:val="0"/>
                <w:szCs w:val="18"/>
              </w:rPr>
              <w:t>突发事件及自救互救</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rPr>
                <w:rFonts w:ascii="宋体" w:hAnsi="宋体"/>
                <w:color w:val="000000" w:themeColor="text1"/>
                <w:szCs w:val="21"/>
              </w:rPr>
            </w:pPr>
            <w:r>
              <w:rPr>
                <w:rFonts w:hint="eastAsia" w:ascii="宋体"/>
                <w:color w:val="000000" w:themeColor="text1"/>
                <w:szCs w:val="18"/>
              </w:rPr>
              <w:t>选修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18"/>
              </w:rPr>
              <w:t>A</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ascii="宋体" w:hAnsi="宋体"/>
                <w:color w:val="000000" w:themeColor="text1"/>
                <w:szCs w:val="21"/>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ascii="宋体" w:hAnsi="宋体"/>
                <w:color w:val="000000" w:themeColor="text1"/>
                <w:szCs w:val="18"/>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ascii="宋体" w:hAnsi="宋体"/>
                <w:color w:val="000000" w:themeColor="text1"/>
                <w:szCs w:val="18"/>
              </w:rPr>
              <w:t>72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ascii="宋体" w:hAnsi="宋体"/>
                <w:color w:val="000000" w:themeColor="text1"/>
                <w:szCs w:val="21"/>
              </w:rPr>
              <w:t>网络授课</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18"/>
              </w:rPr>
              <w:t>4</w:t>
            </w: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000000" w:themeColor="text1"/>
                <w:kern w:val="0"/>
                <w:szCs w:val="21"/>
              </w:rPr>
            </w:pPr>
            <w:r>
              <w:rPr>
                <w:rFonts w:ascii="宋体" w:hAnsi="宋体"/>
                <w:color w:val="000000" w:themeColor="text1"/>
                <w:szCs w:val="21"/>
              </w:rPr>
              <w:t>在线考试</w:t>
            </w:r>
          </w:p>
        </w:tc>
        <w:tc>
          <w:tcPr>
            <w:tcW w:w="762" w:type="dxa"/>
            <w:vMerge w:val="continue"/>
            <w:tcBorders>
              <w:left w:val="single" w:color="auto" w:sz="4" w:space="0"/>
              <w:right w:val="single" w:color="auto" w:sz="4" w:space="0"/>
            </w:tcBorders>
            <w:noWrap/>
            <w:vAlign w:val="center"/>
          </w:tcPr>
          <w:p>
            <w:pPr>
              <w:widowControl/>
              <w:spacing w:line="240" w:lineRule="atLeas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ascii="宋体" w:hAnsi="宋体"/>
                <w:color w:val="000000" w:themeColor="text1"/>
                <w:szCs w:val="21"/>
              </w:rPr>
              <w:t>8</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ind w:firstLine="315" w:firstLineChars="150"/>
              <w:rPr>
                <w:rFonts w:ascii="宋体" w:hAnsi="宋体"/>
                <w:color w:val="000000" w:themeColor="text1"/>
                <w:szCs w:val="21"/>
              </w:rPr>
            </w:pPr>
            <w:r>
              <w:rPr>
                <w:rFonts w:hint="eastAsia" w:ascii="宋体" w:hAnsi="宋体"/>
                <w:color w:val="000000" w:themeColor="text1"/>
                <w:szCs w:val="21"/>
              </w:rPr>
              <w:t>C07</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olor w:val="000000" w:themeColor="text1"/>
                <w:szCs w:val="21"/>
              </w:rPr>
            </w:pPr>
            <w:r>
              <w:rPr>
                <w:rFonts w:hint="eastAsia" w:ascii="宋体" w:hAnsi="宋体" w:cs="宋体"/>
                <w:color w:val="000000" w:themeColor="text1"/>
                <w:kern w:val="0"/>
                <w:szCs w:val="18"/>
              </w:rPr>
              <w:t>大学生恋爱与性健康</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rPr>
                <w:rFonts w:ascii="宋体" w:hAnsi="宋体"/>
                <w:color w:val="000000" w:themeColor="text1"/>
                <w:szCs w:val="21"/>
              </w:rPr>
            </w:pPr>
            <w:r>
              <w:rPr>
                <w:rFonts w:hint="eastAsia" w:ascii="宋体"/>
                <w:color w:val="000000" w:themeColor="text1"/>
                <w:szCs w:val="18"/>
              </w:rPr>
              <w:t>选修</w:t>
            </w:r>
          </w:p>
        </w:tc>
        <w:tc>
          <w:tcPr>
            <w:tcW w:w="402" w:type="dxa"/>
            <w:tcBorders>
              <w:top w:val="single" w:color="auto" w:sz="4" w:space="0"/>
              <w:left w:val="single" w:color="auto" w:sz="4" w:space="0"/>
              <w:bottom w:val="single" w:color="auto" w:sz="4" w:space="0"/>
              <w:right w:val="single" w:color="auto" w:sz="4" w:space="0"/>
            </w:tcBorders>
            <w:noWrap/>
          </w:tcPr>
          <w:p>
            <w:pPr>
              <w:widowControl/>
              <w:spacing w:line="360" w:lineRule="auto"/>
              <w:jc w:val="center"/>
              <w:rPr>
                <w:rFonts w:ascii="宋体" w:hAnsi="宋体"/>
                <w:color w:val="000000" w:themeColor="text1"/>
                <w:szCs w:val="18"/>
              </w:rPr>
            </w:pPr>
            <w:r>
              <w:rPr>
                <w:rFonts w:hint="eastAsia" w:ascii="宋体" w:hAnsi="宋体"/>
                <w:color w:val="000000" w:themeColor="text1"/>
                <w:szCs w:val="18"/>
              </w:rPr>
              <w:t>A</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ascii="宋体" w:hAnsi="宋体"/>
                <w:color w:val="000000" w:themeColor="text1"/>
                <w:szCs w:val="21"/>
              </w:rPr>
              <w:t>4</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ascii="宋体" w:hAnsi="宋体"/>
                <w:color w:val="000000" w:themeColor="text1"/>
                <w:szCs w:val="18"/>
              </w:rPr>
              <w:t>72</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ascii="宋体" w:hAnsi="宋体"/>
                <w:color w:val="000000" w:themeColor="text1"/>
                <w:szCs w:val="18"/>
              </w:rPr>
              <w:t>72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ascii="宋体" w:hAnsi="宋体"/>
                <w:color w:val="000000" w:themeColor="text1"/>
                <w:szCs w:val="21"/>
              </w:rPr>
              <w:t>网络授课</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18"/>
              </w:rPr>
              <w:t>4</w:t>
            </w: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ascii="宋体" w:hAnsi="宋体"/>
                <w:color w:val="000000" w:themeColor="text1"/>
                <w:szCs w:val="21"/>
              </w:rPr>
              <w:t>在线考试</w:t>
            </w:r>
          </w:p>
        </w:tc>
        <w:tc>
          <w:tcPr>
            <w:tcW w:w="762" w:type="dxa"/>
            <w:vMerge w:val="continue"/>
            <w:tcBorders>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kern w:val="0"/>
                <w:szCs w:val="21"/>
              </w:rPr>
            </w:pPr>
          </w:p>
        </w:tc>
        <w:tc>
          <w:tcPr>
            <w:tcW w:w="5524" w:type="dxa"/>
            <w:gridSpan w:val="7"/>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s="宋体"/>
                <w:color w:val="000000" w:themeColor="text1"/>
                <w:kern w:val="0"/>
                <w:szCs w:val="18"/>
              </w:rPr>
              <w:t>小计</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ascii="宋体" w:hAnsi="宋体"/>
                <w:color w:val="000000" w:themeColor="text1"/>
                <w:szCs w:val="21"/>
              </w:rPr>
              <w:t>20</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ascii="宋体" w:hAnsi="宋体"/>
                <w:color w:val="000000" w:themeColor="text1"/>
                <w:szCs w:val="21"/>
              </w:rPr>
              <w:t>360</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eastAsia="宋体"/>
                <w:color w:val="000000" w:themeColor="text1"/>
                <w:szCs w:val="21"/>
              </w:rPr>
            </w:pPr>
            <w:r>
              <w:rPr>
                <w:rFonts w:hint="eastAsia" w:ascii="宋体" w:hAnsi="宋体"/>
                <w:color w:val="000000" w:themeColor="text1"/>
                <w:szCs w:val="21"/>
              </w:rPr>
              <w:t>360</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000000" w:themeColor="text1"/>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20</w:t>
            </w: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000000" w:themeColor="text1"/>
                <w:kern w:val="0"/>
                <w:szCs w:val="21"/>
              </w:rPr>
            </w:pP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restart"/>
            <w:tcBorders>
              <w:top w:val="single" w:color="auto" w:sz="4" w:space="0"/>
              <w:left w:val="single" w:color="auto" w:sz="4" w:space="0"/>
              <w:bottom w:val="single" w:color="auto" w:sz="4" w:space="0"/>
              <w:right w:val="single" w:color="auto" w:sz="4" w:space="0"/>
            </w:tcBorders>
            <w:noWrap/>
            <w:vAlign w:val="center"/>
          </w:tcPr>
          <w:p>
            <w:pPr>
              <w:spacing w:line="360" w:lineRule="exact"/>
              <w:jc w:val="center"/>
              <w:rPr>
                <w:rFonts w:ascii="黑体" w:hAnsi="宋体" w:eastAsia="黑体" w:cs="宋体"/>
                <w:kern w:val="0"/>
                <w:szCs w:val="21"/>
              </w:rPr>
            </w:pPr>
            <w:r>
              <w:rPr>
                <w:rFonts w:hint="eastAsia" w:ascii="黑体" w:hAnsi="宋体" w:eastAsia="黑体" w:cs="宋体"/>
                <w:kern w:val="0"/>
                <w:szCs w:val="21"/>
              </w:rPr>
              <w:t>实习实训</w:t>
            </w: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1</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0804001</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color w:val="000000" w:themeColor="text1"/>
                <w:szCs w:val="21"/>
              </w:rPr>
            </w:pPr>
            <w:r>
              <w:rPr>
                <w:rFonts w:hint="eastAsia" w:ascii="宋体" w:hAnsi="宋体" w:cs="宋体"/>
                <w:color w:val="000000" w:themeColor="text1"/>
                <w:kern w:val="0"/>
                <w:szCs w:val="18"/>
              </w:rPr>
              <w:t>入学教育</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18"/>
              </w:rPr>
              <w:t>C</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1</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18</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18</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000000" w:themeColor="text1"/>
                <w:szCs w:val="21"/>
              </w:rPr>
            </w:pPr>
            <w:r>
              <w:rPr>
                <w:rFonts w:hint="eastAsia" w:ascii="宋体" w:hAnsi="宋体"/>
                <w:color w:val="000000" w:themeColor="text1"/>
                <w:szCs w:val="21"/>
              </w:rPr>
              <w:t>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000000" w:themeColor="text1"/>
                <w:kern w:val="0"/>
                <w:szCs w:val="21"/>
              </w:rPr>
            </w:pPr>
            <w:r>
              <w:rPr>
                <w:rFonts w:hint="eastAsia" w:ascii="宋体" w:hAnsi="宋体"/>
                <w:color w:val="000000" w:themeColor="text1"/>
                <w:szCs w:val="18"/>
              </w:rPr>
              <w:t>新生入学第1周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2</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0804002</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color w:val="000000" w:themeColor="text1"/>
                <w:szCs w:val="21"/>
              </w:rPr>
            </w:pPr>
            <w:r>
              <w:rPr>
                <w:rFonts w:hint="eastAsia" w:ascii="宋体" w:hAnsi="宋体"/>
                <w:color w:val="000000" w:themeColor="text1"/>
                <w:szCs w:val="21"/>
              </w:rPr>
              <w:t>军事</w:t>
            </w:r>
            <w:r>
              <w:rPr>
                <w:rFonts w:hint="eastAsia" w:ascii="宋体" w:hAnsi="宋体" w:cs="宋体"/>
                <w:color w:val="000000" w:themeColor="text1"/>
                <w:kern w:val="0"/>
                <w:szCs w:val="18"/>
              </w:rPr>
              <w:t>教育</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18"/>
              </w:rPr>
              <w:t>C</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ascii="宋体" w:hAnsi="宋体"/>
                <w:color w:val="000000" w:themeColor="text1"/>
                <w:szCs w:val="21"/>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36</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000000" w:themeColor="text1"/>
                <w:szCs w:val="21"/>
              </w:rPr>
            </w:pPr>
            <w:r>
              <w:rPr>
                <w:rFonts w:hint="eastAsia" w:ascii="宋体" w:hAnsi="宋体"/>
                <w:color w:val="000000" w:themeColor="text1"/>
                <w:szCs w:val="21"/>
              </w:rPr>
              <w:t>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000000" w:themeColor="text1"/>
                <w:kern w:val="0"/>
                <w:szCs w:val="21"/>
              </w:rPr>
            </w:pPr>
            <w:r>
              <w:rPr>
                <w:rFonts w:hint="eastAsia" w:ascii="宋体" w:hAnsi="宋体"/>
                <w:color w:val="000000" w:themeColor="text1"/>
                <w:szCs w:val="18"/>
              </w:rPr>
              <w:t>入学第1—2周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3</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0804007</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left"/>
              <w:rPr>
                <w:rFonts w:ascii="宋体" w:hAnsi="宋体"/>
                <w:color w:val="000000" w:themeColor="text1"/>
                <w:szCs w:val="21"/>
              </w:rPr>
            </w:pPr>
            <w:r>
              <w:rPr>
                <w:rFonts w:hint="eastAsia" w:ascii="宋体" w:hAnsi="宋体" w:cs="宋体"/>
                <w:color w:val="000000" w:themeColor="text1"/>
                <w:kern w:val="0"/>
                <w:szCs w:val="18"/>
              </w:rPr>
              <w:t>社会实践</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18"/>
              </w:rPr>
              <w:t>C</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36</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000000" w:themeColor="text1"/>
                <w:szCs w:val="21"/>
              </w:rPr>
            </w:pPr>
            <w:r>
              <w:rPr>
                <w:rFonts w:hint="eastAsia" w:ascii="宋体" w:hAnsi="宋体"/>
                <w:color w:val="000000" w:themeColor="text1"/>
                <w:szCs w:val="21"/>
              </w:rPr>
              <w:t>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000000" w:themeColor="text1"/>
                <w:kern w:val="0"/>
                <w:szCs w:val="21"/>
              </w:rPr>
            </w:pPr>
            <w:r>
              <w:rPr>
                <w:rFonts w:hint="eastAsia" w:ascii="宋体" w:hAnsi="宋体"/>
                <w:bCs/>
                <w:color w:val="000000" w:themeColor="text1"/>
                <w:szCs w:val="21"/>
              </w:rPr>
              <w:t>融入勤工助学、社会调查等活动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olor w:val="000000" w:themeColor="text1"/>
                <w:szCs w:val="21"/>
              </w:rPr>
            </w:pPr>
            <w:r>
              <w:rPr>
                <w:rFonts w:hint="eastAsia" w:ascii="宋体" w:hAnsi="宋体"/>
                <w:color w:val="000000" w:themeColor="text1"/>
                <w:szCs w:val="21"/>
              </w:rPr>
              <w:t>4</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r>
              <w:rPr>
                <w:rFonts w:hint="eastAsia" w:ascii="宋体" w:hAnsi="宋体"/>
                <w:color w:val="000000" w:themeColor="text1"/>
                <w:szCs w:val="21"/>
              </w:rPr>
              <w:t>0804004</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40" w:lineRule="exact"/>
              <w:rPr>
                <w:rFonts w:ascii="宋体" w:hAnsi="宋体"/>
                <w:color w:val="000000" w:themeColor="text1"/>
                <w:szCs w:val="21"/>
              </w:rPr>
            </w:pPr>
            <w:r>
              <w:rPr>
                <w:rFonts w:hint="eastAsia" w:ascii="宋体" w:hAnsi="宋体" w:cs="宋体"/>
                <w:color w:val="000000" w:themeColor="text1"/>
                <w:kern w:val="0"/>
                <w:szCs w:val="18"/>
              </w:rPr>
              <w:t>假期社会实践</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s="宋体"/>
                <w:color w:val="000000" w:themeColor="text1"/>
                <w:kern w:val="0"/>
                <w:szCs w:val="18"/>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18"/>
              </w:rPr>
              <w:t>C</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r>
              <w:rPr>
                <w:rFonts w:ascii="宋体" w:hAnsi="宋体"/>
                <w:color w:val="000000" w:themeColor="text1"/>
                <w:szCs w:val="21"/>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r>
              <w:rPr>
                <w:rFonts w:hint="eastAsia" w:ascii="宋体" w:hAnsi="宋体"/>
                <w:color w:val="000000" w:themeColor="text1"/>
                <w:szCs w:val="21"/>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r>
              <w:rPr>
                <w:rFonts w:hint="eastAsia" w:ascii="宋体" w:hAnsi="宋体"/>
                <w:color w:val="000000" w:themeColor="text1"/>
                <w:szCs w:val="21"/>
              </w:rPr>
              <w:t>36</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000000" w:themeColor="text1"/>
                <w:szCs w:val="21"/>
              </w:rPr>
            </w:pPr>
            <w:r>
              <w:rPr>
                <w:rFonts w:ascii="宋体" w:hAnsi="宋体"/>
                <w:color w:val="000000" w:themeColor="text1"/>
                <w:szCs w:val="21"/>
              </w:rPr>
              <w:t>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r>
              <w:rPr>
                <w:rFonts w:hint="eastAsia" w:ascii="宋体" w:hAnsi="宋体"/>
                <w:color w:val="000000" w:themeColor="text1"/>
                <w:szCs w:val="21"/>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color w:val="000000" w:themeColor="text1"/>
                <w:kern w:val="0"/>
                <w:szCs w:val="21"/>
              </w:rPr>
            </w:pPr>
            <w:r>
              <w:rPr>
                <w:rFonts w:hint="eastAsia" w:ascii="宋体" w:hAnsi="宋体"/>
                <w:color w:val="000000" w:themeColor="text1"/>
                <w:szCs w:val="18"/>
              </w:rPr>
              <w:t>假期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r>
              <w:rPr>
                <w:rFonts w:hint="eastAsia" w:ascii="宋体" w:hAnsi="宋体"/>
                <w:color w:val="000000" w:themeColor="text1"/>
                <w:szCs w:val="21"/>
              </w:rPr>
              <w:t>5</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r>
              <w:rPr>
                <w:rFonts w:hint="eastAsia" w:ascii="宋体" w:hAnsi="宋体"/>
                <w:color w:val="000000" w:themeColor="text1"/>
                <w:szCs w:val="21"/>
              </w:rPr>
              <w:t>0804005</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left"/>
              <w:rPr>
                <w:rFonts w:ascii="宋体" w:hAnsi="宋体"/>
                <w:color w:val="000000" w:themeColor="text1"/>
                <w:szCs w:val="21"/>
              </w:rPr>
            </w:pPr>
            <w:r>
              <w:rPr>
                <w:rFonts w:hint="eastAsia" w:ascii="宋体" w:hAnsi="宋体"/>
                <w:color w:val="000000" w:themeColor="text1"/>
                <w:szCs w:val="21"/>
              </w:rPr>
              <w:t>顶岗实习</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r>
              <w:rPr>
                <w:rFonts w:hint="eastAsia" w:ascii="宋体" w:hAnsi="宋体"/>
                <w:color w:val="000000" w:themeColor="text1"/>
                <w:szCs w:val="21"/>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r>
              <w:rPr>
                <w:rFonts w:hint="eastAsia" w:ascii="宋体" w:hAnsi="宋体"/>
                <w:color w:val="000000" w:themeColor="text1"/>
                <w:szCs w:val="18"/>
              </w:rPr>
              <w:t>C</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r>
              <w:rPr>
                <w:rFonts w:ascii="宋体" w:hAnsi="宋体"/>
                <w:color w:val="000000" w:themeColor="text1"/>
                <w:szCs w:val="21"/>
              </w:rPr>
              <w:t>16</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r>
              <w:rPr>
                <w:rFonts w:hint="eastAsia" w:ascii="宋体" w:hAnsi="宋体"/>
                <w:color w:val="000000" w:themeColor="text1"/>
                <w:szCs w:val="21"/>
              </w:rPr>
              <w:t>288</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r>
              <w:rPr>
                <w:rFonts w:hint="eastAsia" w:ascii="宋体" w:hAnsi="宋体"/>
                <w:color w:val="000000" w:themeColor="text1"/>
                <w:szCs w:val="21"/>
              </w:rPr>
              <w:t>288</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000000" w:themeColor="text1"/>
                <w:szCs w:val="21"/>
              </w:rPr>
            </w:pPr>
            <w:r>
              <w:rPr>
                <w:rFonts w:hint="eastAsia" w:ascii="宋体" w:hAnsi="宋体"/>
                <w:color w:val="000000" w:themeColor="text1"/>
                <w:szCs w:val="21"/>
              </w:rPr>
              <w:t>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r>
              <w:rPr>
                <w:rFonts w:hint="eastAsia" w:ascii="宋体" w:hAnsi="宋体"/>
                <w:color w:val="000000" w:themeColor="text1"/>
                <w:szCs w:val="21"/>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kern w:val="0"/>
                <w:szCs w:val="21"/>
              </w:rPr>
            </w:pPr>
            <w:r>
              <w:rPr>
                <w:rFonts w:ascii="宋体" w:hAnsi="宋体" w:cs="宋体"/>
                <w:kern w:val="0"/>
                <w:szCs w:val="21"/>
              </w:rPr>
              <w:t>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r>
              <w:rPr>
                <w:rFonts w:ascii="宋体" w:hAnsi="宋体"/>
                <w:color w:val="000000" w:themeColor="text1"/>
                <w:szCs w:val="21"/>
              </w:rPr>
              <w:t>6</w:t>
            </w:r>
          </w:p>
        </w:tc>
        <w:tc>
          <w:tcPr>
            <w:tcW w:w="1219"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r>
              <w:rPr>
                <w:rFonts w:hint="eastAsia" w:ascii="宋体" w:hAnsi="宋体"/>
                <w:color w:val="000000" w:themeColor="text1"/>
                <w:szCs w:val="21"/>
              </w:rPr>
              <w:t>0804006</w:t>
            </w:r>
          </w:p>
        </w:tc>
        <w:tc>
          <w:tcPr>
            <w:tcW w:w="267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left"/>
              <w:rPr>
                <w:rFonts w:ascii="宋体" w:hAnsi="宋体"/>
                <w:color w:val="000000" w:themeColor="text1"/>
                <w:szCs w:val="21"/>
              </w:rPr>
            </w:pPr>
            <w:r>
              <w:rPr>
                <w:rFonts w:hint="eastAsia" w:ascii="宋体" w:hAnsi="宋体"/>
                <w:color w:val="000000" w:themeColor="text1"/>
                <w:szCs w:val="21"/>
              </w:rPr>
              <w:t>毕业设计</w:t>
            </w:r>
          </w:p>
        </w:tc>
        <w:tc>
          <w:tcPr>
            <w:tcW w:w="678"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r>
              <w:rPr>
                <w:rFonts w:hint="eastAsia" w:ascii="宋体" w:hAnsi="宋体"/>
                <w:color w:val="000000" w:themeColor="text1"/>
                <w:szCs w:val="21"/>
              </w:rPr>
              <w:t>必修</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r>
              <w:rPr>
                <w:rFonts w:hint="eastAsia" w:ascii="宋体" w:hAnsi="宋体"/>
                <w:color w:val="000000" w:themeColor="text1"/>
                <w:szCs w:val="21"/>
              </w:rPr>
              <w:t>B</w:t>
            </w: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r>
              <w:rPr>
                <w:rFonts w:ascii="宋体" w:hAnsi="宋体"/>
                <w:color w:val="000000" w:themeColor="text1"/>
                <w:szCs w:val="21"/>
              </w:rPr>
              <w:t>2</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r>
              <w:rPr>
                <w:rFonts w:hint="eastAsia" w:ascii="宋体" w:hAnsi="宋体"/>
                <w:color w:val="000000" w:themeColor="text1"/>
                <w:szCs w:val="21"/>
              </w:rPr>
              <w:t>36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r>
              <w:rPr>
                <w:rFonts w:hint="eastAsia" w:ascii="宋体" w:hAnsi="宋体"/>
                <w:color w:val="000000" w:themeColor="text1"/>
                <w:szCs w:val="21"/>
              </w:rPr>
              <w:t>12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r>
              <w:rPr>
                <w:rFonts w:hint="eastAsia" w:ascii="宋体" w:hAnsi="宋体"/>
                <w:color w:val="000000" w:themeColor="text1"/>
                <w:szCs w:val="21"/>
              </w:rPr>
              <w:t>24</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000000" w:themeColor="text1"/>
                <w:szCs w:val="21"/>
              </w:rPr>
            </w:pPr>
            <w:r>
              <w:rPr>
                <w:rFonts w:hint="eastAsia" w:ascii="宋体" w:hAnsi="宋体"/>
                <w:color w:val="000000" w:themeColor="text1"/>
                <w:szCs w:val="21"/>
              </w:rPr>
              <w:t>讲授实践</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r>
              <w:rPr>
                <w:rFonts w:hint="eastAsia" w:ascii="宋体" w:hAnsi="宋体"/>
                <w:color w:val="000000" w:themeColor="text1"/>
                <w:szCs w:val="21"/>
              </w:rPr>
              <w:t>考查</w:t>
            </w: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tLeast"/>
              <w:jc w:val="center"/>
              <w:rPr>
                <w:rFonts w:ascii="宋体" w:hAnsi="宋体" w:cs="宋体"/>
                <w:kern w:val="0"/>
                <w:szCs w:val="21"/>
              </w:rPr>
            </w:pPr>
            <w:r>
              <w:rPr>
                <w:rFonts w:ascii="宋体" w:hAnsi="宋体" w:cs="宋体"/>
                <w:kern w:val="0"/>
                <w:szCs w:val="21"/>
              </w:rPr>
              <w:t>两周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kern w:val="0"/>
                <w:szCs w:val="21"/>
              </w:rPr>
            </w:pPr>
          </w:p>
        </w:tc>
        <w:tc>
          <w:tcPr>
            <w:tcW w:w="54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szCs w:val="21"/>
              </w:rPr>
            </w:pPr>
          </w:p>
        </w:tc>
        <w:tc>
          <w:tcPr>
            <w:tcW w:w="4575" w:type="dxa"/>
            <w:gridSpan w:val="5"/>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s="宋体"/>
                <w:color w:val="000000" w:themeColor="text1"/>
                <w:kern w:val="0"/>
                <w:szCs w:val="18"/>
              </w:rPr>
              <w:t>小计</w:t>
            </w:r>
          </w:p>
        </w:tc>
        <w:tc>
          <w:tcPr>
            <w:tcW w:w="40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ascii="宋体" w:hAnsi="宋体"/>
                <w:color w:val="000000" w:themeColor="text1"/>
                <w:szCs w:val="21"/>
              </w:rPr>
              <w:t>25</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18"/>
              </w:rPr>
              <w:t>450</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21"/>
              </w:rPr>
              <w:t>12</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18"/>
              </w:rPr>
              <w:t>438</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FF0000"/>
                <w:szCs w:val="21"/>
              </w:rPr>
            </w:pP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FF0000"/>
                <w:szCs w:val="21"/>
              </w:rPr>
            </w:pP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FF0000"/>
                <w:szCs w:val="21"/>
              </w:rPr>
            </w:pPr>
          </w:p>
        </w:tc>
        <w:tc>
          <w:tcPr>
            <w:tcW w:w="583" w:type="dxa"/>
            <w:tcBorders>
              <w:top w:val="single" w:color="auto" w:sz="4" w:space="0"/>
              <w:left w:val="single" w:color="auto" w:sz="4" w:space="0"/>
              <w:bottom w:val="single" w:color="auto" w:sz="4" w:space="0"/>
              <w:right w:val="single" w:color="auto" w:sz="4" w:space="0"/>
            </w:tcBorders>
            <w:noWrap/>
          </w:tcPr>
          <w:p>
            <w:pPr>
              <w:widowControl/>
              <w:spacing w:line="360" w:lineRule="exact"/>
              <w:jc w:val="center"/>
              <w:rPr>
                <w:rFonts w:ascii="宋体" w:hAnsi="宋体"/>
                <w:color w:val="FF0000"/>
                <w:szCs w:val="21"/>
              </w:rPr>
            </w:pPr>
          </w:p>
        </w:tc>
        <w:tc>
          <w:tcPr>
            <w:tcW w:w="533" w:type="dxa"/>
            <w:tcBorders>
              <w:top w:val="single" w:color="auto" w:sz="4" w:space="0"/>
              <w:left w:val="single" w:color="auto" w:sz="4" w:space="0"/>
              <w:bottom w:val="single" w:color="auto" w:sz="4" w:space="0"/>
              <w:right w:val="single" w:color="auto" w:sz="4" w:space="0"/>
            </w:tcBorders>
            <w:noWrap/>
          </w:tcPr>
          <w:p>
            <w:pPr>
              <w:widowControl/>
              <w:spacing w:line="360" w:lineRule="exact"/>
              <w:jc w:val="center"/>
              <w:rPr>
                <w:rFonts w:ascii="宋体" w:hAnsi="宋体"/>
                <w:color w:val="FF0000"/>
                <w:szCs w:val="21"/>
              </w:rPr>
            </w:pP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FF0000"/>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s="宋体"/>
                <w:color w:val="FF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549"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黑体" w:hAnsi="宋体" w:eastAsia="黑体" w:cs="宋体"/>
                <w:kern w:val="0"/>
                <w:szCs w:val="21"/>
              </w:rPr>
            </w:pPr>
          </w:p>
        </w:tc>
        <w:tc>
          <w:tcPr>
            <w:tcW w:w="5122" w:type="dxa"/>
            <w:gridSpan w:val="6"/>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r>
              <w:rPr>
                <w:rFonts w:hint="eastAsia" w:ascii="宋体" w:hAnsi="宋体"/>
                <w:color w:val="000000" w:themeColor="text1"/>
                <w:szCs w:val="21"/>
              </w:rPr>
              <w:t>合    计</w:t>
            </w:r>
          </w:p>
        </w:tc>
        <w:tc>
          <w:tcPr>
            <w:tcW w:w="402" w:type="dxa"/>
            <w:tcBorders>
              <w:top w:val="single" w:color="auto" w:sz="4" w:space="0"/>
              <w:left w:val="single" w:color="auto" w:sz="4" w:space="0"/>
              <w:bottom w:val="single" w:color="auto" w:sz="4" w:space="0"/>
              <w:right w:val="single" w:color="auto" w:sz="4" w:space="0"/>
            </w:tcBorders>
            <w:noWrap/>
          </w:tcPr>
          <w:p>
            <w:pPr>
              <w:widowControl/>
              <w:spacing w:line="360" w:lineRule="exact"/>
              <w:jc w:val="center"/>
              <w:rPr>
                <w:rFonts w:ascii="宋体" w:hAnsi="宋体"/>
                <w:color w:val="000000" w:themeColor="text1"/>
                <w:szCs w:val="21"/>
              </w:rPr>
            </w:pPr>
          </w:p>
        </w:tc>
        <w:tc>
          <w:tcPr>
            <w:tcW w:w="5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r>
              <w:rPr>
                <w:rFonts w:ascii="宋体" w:hAnsi="宋体"/>
                <w:color w:val="000000" w:themeColor="text1"/>
                <w:szCs w:val="21"/>
              </w:rPr>
              <w:t>15</w:t>
            </w:r>
            <w:r>
              <w:rPr>
                <w:rFonts w:hint="eastAsia" w:ascii="宋体" w:hAnsi="宋体"/>
                <w:color w:val="000000" w:themeColor="text1"/>
                <w:szCs w:val="21"/>
              </w:rPr>
              <w:t>5</w:t>
            </w:r>
          </w:p>
        </w:tc>
        <w:tc>
          <w:tcPr>
            <w:tcW w:w="7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r>
              <w:rPr>
                <w:rFonts w:hint="eastAsia" w:ascii="宋体" w:hAnsi="宋体"/>
                <w:color w:val="000000" w:themeColor="text1"/>
                <w:sz w:val="18"/>
                <w:szCs w:val="18"/>
              </w:rPr>
              <w:t>2686</w:t>
            </w:r>
          </w:p>
        </w:tc>
        <w:tc>
          <w:tcPr>
            <w:tcW w:w="57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r>
              <w:rPr>
                <w:rFonts w:hint="eastAsia" w:ascii="宋体" w:hAnsi="宋体"/>
                <w:color w:val="000000" w:themeColor="text1"/>
                <w:sz w:val="18"/>
                <w:szCs w:val="18"/>
              </w:rPr>
              <w:t>1167</w:t>
            </w:r>
          </w:p>
        </w:tc>
        <w:tc>
          <w:tcPr>
            <w:tcW w:w="5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r>
              <w:rPr>
                <w:rFonts w:hint="eastAsia" w:ascii="宋体" w:hAnsi="宋体"/>
                <w:color w:val="000000" w:themeColor="text1"/>
                <w:sz w:val="18"/>
                <w:szCs w:val="18"/>
              </w:rPr>
              <w:t>1519</w:t>
            </w:r>
          </w:p>
        </w:tc>
        <w:tc>
          <w:tcPr>
            <w:tcW w:w="800"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宋体" w:hAnsi="宋体"/>
                <w:color w:val="000000" w:themeColor="text1"/>
                <w:szCs w:val="21"/>
              </w:rPr>
            </w:pP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21"/>
              </w:rPr>
              <w:t>26</w:t>
            </w:r>
          </w:p>
        </w:tc>
        <w:tc>
          <w:tcPr>
            <w:tcW w:w="567"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21"/>
              </w:rPr>
              <w:t>26</w:t>
            </w:r>
          </w:p>
        </w:tc>
        <w:tc>
          <w:tcPr>
            <w:tcW w:w="60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olor w:val="000000" w:themeColor="text1"/>
                <w:szCs w:val="21"/>
              </w:rPr>
            </w:pPr>
            <w:r>
              <w:rPr>
                <w:rFonts w:hint="eastAsia" w:ascii="宋体" w:hAnsi="宋体"/>
                <w:color w:val="000000" w:themeColor="text1"/>
                <w:szCs w:val="21"/>
              </w:rPr>
              <w:t>26</w:t>
            </w:r>
          </w:p>
        </w:tc>
        <w:tc>
          <w:tcPr>
            <w:tcW w:w="58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r>
              <w:rPr>
                <w:rFonts w:hint="eastAsia" w:ascii="宋体" w:hAnsi="宋体"/>
                <w:color w:val="000000" w:themeColor="text1"/>
                <w:szCs w:val="21"/>
              </w:rPr>
              <w:t>26</w:t>
            </w:r>
          </w:p>
        </w:tc>
        <w:tc>
          <w:tcPr>
            <w:tcW w:w="533"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r>
              <w:rPr>
                <w:rFonts w:hint="eastAsia" w:ascii="宋体" w:hAnsi="宋体"/>
                <w:color w:val="000000" w:themeColor="text1"/>
                <w:szCs w:val="21"/>
              </w:rPr>
              <w:t>20</w:t>
            </w:r>
          </w:p>
        </w:tc>
        <w:tc>
          <w:tcPr>
            <w:tcW w:w="650"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FF0000"/>
                <w:szCs w:val="21"/>
              </w:rPr>
            </w:pPr>
          </w:p>
        </w:tc>
        <w:tc>
          <w:tcPr>
            <w:tcW w:w="784"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olor w:val="000000" w:themeColor="text1"/>
                <w:szCs w:val="21"/>
              </w:rPr>
            </w:pPr>
          </w:p>
        </w:tc>
        <w:tc>
          <w:tcPr>
            <w:tcW w:w="762"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exact"/>
              <w:jc w:val="center"/>
              <w:rPr>
                <w:rFonts w:ascii="宋体" w:hAnsi="宋体" w:cs="宋体"/>
                <w:kern w:val="0"/>
                <w:szCs w:val="21"/>
              </w:rPr>
            </w:pPr>
          </w:p>
        </w:tc>
      </w:tr>
    </w:tbl>
    <w:p>
      <w:pPr>
        <w:spacing w:line="360" w:lineRule="auto"/>
        <w:rPr>
          <w:rFonts w:ascii="黑体" w:eastAsia="黑体"/>
          <w:sz w:val="28"/>
          <w:szCs w:val="28"/>
        </w:rPr>
        <w:sectPr>
          <w:pgSz w:w="16838" w:h="11906" w:orient="landscape"/>
          <w:pgMar w:top="1797" w:right="1440" w:bottom="1797" w:left="1440" w:header="851" w:footer="992" w:gutter="0"/>
          <w:cols w:space="425" w:num="1"/>
          <w:docGrid w:type="lines" w:linePitch="312" w:charSpace="0"/>
        </w:sectPr>
      </w:pPr>
    </w:p>
    <w:p>
      <w:pPr>
        <w:spacing w:line="360" w:lineRule="auto"/>
        <w:ind w:firstLine="300" w:firstLineChars="100"/>
        <w:rPr>
          <w:rFonts w:ascii="黑体" w:hAnsi="黑体" w:eastAsia="黑体" w:cs="黑体"/>
          <w:bCs/>
          <w:sz w:val="30"/>
          <w:szCs w:val="30"/>
        </w:rPr>
      </w:pPr>
      <w:r>
        <w:rPr>
          <w:rFonts w:hint="eastAsia" w:ascii="黑体" w:hAnsi="黑体" w:eastAsia="黑体" w:cs="黑体"/>
          <w:bCs/>
          <w:sz w:val="30"/>
          <w:szCs w:val="30"/>
        </w:rPr>
        <w:t>（五）核心课程基本内容简介</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通过对化工行业企业标准和应用化工专业职业岗位群的典型工作任务及能力要求的分析，确立了6门核心课程，分别为</w:t>
      </w:r>
      <w:r>
        <w:rPr>
          <w:rFonts w:hint="eastAsia" w:ascii="Times New Roman" w:hAnsi="Times New Roman" w:eastAsia="宋体" w:cs="Times New Roman"/>
          <w:sz w:val="24"/>
        </w:rPr>
        <w:t>《</w:t>
      </w:r>
      <w:r>
        <w:rPr>
          <w:rFonts w:ascii="Times New Roman" w:hAnsi="Times New Roman" w:eastAsia="宋体" w:cs="Times New Roman"/>
          <w:sz w:val="24"/>
        </w:rPr>
        <w:t>化工</w:t>
      </w:r>
      <w:r>
        <w:rPr>
          <w:rFonts w:hint="eastAsia" w:ascii="Times New Roman" w:hAnsi="Times New Roman" w:eastAsia="宋体" w:cs="Times New Roman"/>
          <w:sz w:val="24"/>
        </w:rPr>
        <w:t>设备基础》、《</w:t>
      </w:r>
      <w:r>
        <w:rPr>
          <w:rFonts w:ascii="Times New Roman" w:hAnsi="Times New Roman" w:eastAsia="宋体" w:cs="Times New Roman"/>
          <w:sz w:val="24"/>
        </w:rPr>
        <w:t>化工单元操作</w:t>
      </w:r>
      <w:r>
        <w:rPr>
          <w:rFonts w:hint="eastAsia" w:ascii="Times New Roman" w:hAnsi="Times New Roman" w:eastAsia="宋体" w:cs="Times New Roman"/>
          <w:sz w:val="24"/>
        </w:rPr>
        <w:t>》、《</w:t>
      </w:r>
      <w:r>
        <w:rPr>
          <w:rFonts w:ascii="Times New Roman" w:hAnsi="Times New Roman" w:eastAsia="宋体" w:cs="Times New Roman"/>
          <w:sz w:val="24"/>
        </w:rPr>
        <w:t>无机化工生产技术</w:t>
      </w:r>
      <w:r>
        <w:rPr>
          <w:rFonts w:hint="eastAsia" w:ascii="Times New Roman" w:hAnsi="Times New Roman" w:eastAsia="宋体" w:cs="Times New Roman"/>
          <w:sz w:val="24"/>
        </w:rPr>
        <w:t>》、《化工安全技术》、《</w:t>
      </w:r>
      <w:r>
        <w:rPr>
          <w:rFonts w:hint="eastAsia" w:ascii="宋体" w:hAnsi="宋体" w:eastAsia="宋体" w:cs="Times New Roman"/>
          <w:bCs/>
          <w:sz w:val="24"/>
        </w:rPr>
        <w:t>现代煤化工技术</w:t>
      </w:r>
      <w:r>
        <w:rPr>
          <w:rFonts w:hint="eastAsia" w:ascii="Times New Roman" w:hAnsi="Times New Roman" w:eastAsia="宋体" w:cs="Times New Roman"/>
          <w:sz w:val="24"/>
        </w:rPr>
        <w:t>》</w:t>
      </w:r>
      <w:r>
        <w:rPr>
          <w:rFonts w:hint="eastAsia" w:ascii="宋体" w:hAnsi="宋体" w:eastAsia="宋体" w:cs="Times New Roman"/>
          <w:bCs/>
          <w:sz w:val="24"/>
        </w:rPr>
        <w:t>和</w:t>
      </w:r>
      <w:r>
        <w:rPr>
          <w:rFonts w:hint="eastAsia" w:ascii="Times New Roman" w:hAnsi="Times New Roman" w:eastAsia="宋体" w:cs="Times New Roman"/>
          <w:sz w:val="24"/>
        </w:rPr>
        <w:t>《</w:t>
      </w:r>
      <w:r>
        <w:rPr>
          <w:rFonts w:hint="eastAsia" w:ascii="宋体" w:hAnsi="宋体" w:eastAsia="宋体" w:cs="Times New Roman"/>
          <w:sz w:val="24"/>
        </w:rPr>
        <w:t>环境监测与分析</w:t>
      </w:r>
      <w:r>
        <w:rPr>
          <w:rFonts w:hint="eastAsia" w:ascii="Times New Roman" w:hAnsi="Times New Roman" w:eastAsia="宋体" w:cs="Times New Roman"/>
          <w:sz w:val="24"/>
        </w:rPr>
        <w:t>》</w:t>
      </w:r>
      <w:r>
        <w:rPr>
          <w:rFonts w:ascii="Times New Roman" w:hAnsi="Times New Roman" w:eastAsia="宋体" w:cs="Times New Roman"/>
          <w:sz w:val="24"/>
        </w:rPr>
        <w:t>，其基本内容介绍见下。</w:t>
      </w:r>
    </w:p>
    <w:p>
      <w:pPr>
        <w:spacing w:line="360" w:lineRule="auto"/>
        <w:ind w:firstLine="480" w:firstLineChars="200"/>
        <w:rPr>
          <w:rFonts w:ascii="宋体" w:hAnsi="宋体" w:eastAsia="宋体" w:cs="Times New Roman"/>
          <w:bCs/>
          <w:sz w:val="24"/>
        </w:rPr>
      </w:pPr>
      <w:r>
        <w:rPr>
          <w:rFonts w:ascii="宋体" w:hAnsi="宋体" w:eastAsia="宋体" w:cs="Times New Roman"/>
          <w:sz w:val="24"/>
        </w:rPr>
        <w:t>1</w:t>
      </w:r>
      <w:r>
        <w:rPr>
          <w:rFonts w:hint="eastAsia" w:ascii="宋体" w:hAnsi="宋体" w:eastAsia="宋体" w:cs="Times New Roman"/>
          <w:sz w:val="24"/>
        </w:rPr>
        <w:t>．</w:t>
      </w:r>
      <w:r>
        <w:rPr>
          <w:rFonts w:hint="eastAsia" w:ascii="宋体" w:hAnsi="宋体" w:eastAsia="宋体" w:cs="Times New Roman"/>
          <w:bCs/>
          <w:sz w:val="24"/>
        </w:rPr>
        <w:t>化工单元操作</w:t>
      </w:r>
    </w:p>
    <w:p>
      <w:pPr>
        <w:spacing w:line="360" w:lineRule="auto"/>
        <w:ind w:firstLine="480" w:firstLineChars="200"/>
        <w:rPr>
          <w:rFonts w:ascii="Times New Roman" w:hAnsi="Times New Roman" w:eastAsia="宋体" w:cs="Times New Roman"/>
          <w:sz w:val="24"/>
        </w:rPr>
      </w:pPr>
      <w:r>
        <w:rPr>
          <w:rFonts w:hint="eastAsia" w:ascii="宋体" w:hAnsi="宋体" w:eastAsia="宋体" w:cs="Times New Roman"/>
          <w:bCs/>
          <w:sz w:val="24"/>
        </w:rPr>
        <w:t>本课程是</w:t>
      </w:r>
      <w:r>
        <w:rPr>
          <w:rFonts w:ascii="Times New Roman" w:hAnsi="Times New Roman" w:eastAsia="宋体" w:cs="Times New Roman"/>
          <w:sz w:val="24"/>
        </w:rPr>
        <w:t>应用化工</w:t>
      </w:r>
      <w:r>
        <w:rPr>
          <w:rFonts w:hint="eastAsia" w:ascii="宋体" w:hAnsi="宋体" w:eastAsia="宋体" w:cs="Times New Roman"/>
          <w:bCs/>
          <w:sz w:val="24"/>
        </w:rPr>
        <w:t>技术专业的一门专业核心课程。本课程以阐述化工生产的基本概念和基础理论为主，介绍典型的化工生产工艺过程，系统分析具有代表性的化工工艺及涉及的化工单元操作、化学反应工程、工艺过程优化、环境保护与三废处理和化工过程开发等。通过课程设计训练，培养学生将物理化学、传递过程、化学工艺等知识用于单元操作中原理掌握和问题分析的综合能力；使学生初步具备改进和强化现有反应技术和设备，开发新的技术和设备、解决操作过程中的工程放大问题以及</w:t>
      </w:r>
      <w:r>
        <w:rPr>
          <w:rFonts w:hint="eastAsia" w:ascii="Times New Roman" w:hAnsi="Times New Roman" w:eastAsia="宋体" w:cs="Times New Roman"/>
          <w:sz w:val="24"/>
        </w:rPr>
        <w:t>实现反应过程中最优化的能力。</w:t>
      </w:r>
    </w:p>
    <w:p>
      <w:pPr>
        <w:spacing w:line="360" w:lineRule="auto"/>
        <w:ind w:firstLine="480" w:firstLineChars="200"/>
        <w:rPr>
          <w:rFonts w:ascii="宋体" w:hAnsi="宋体" w:eastAsia="宋体" w:cs="Times New Roman"/>
          <w:bCs/>
          <w:sz w:val="24"/>
        </w:rPr>
      </w:pPr>
      <w:r>
        <w:rPr>
          <w:rFonts w:hint="eastAsia" w:ascii="宋体" w:hAnsi="宋体" w:eastAsia="宋体" w:cs="Times New Roman"/>
          <w:bCs/>
          <w:sz w:val="24"/>
        </w:rPr>
        <w:t>2．</w:t>
      </w:r>
      <w:r>
        <w:rPr>
          <w:rFonts w:hint="eastAsia" w:ascii="Times New Roman" w:hAnsi="Times New Roman" w:eastAsia="宋体" w:cs="Times New Roman"/>
          <w:sz w:val="24"/>
        </w:rPr>
        <w:t>无机化工生产技术</w:t>
      </w:r>
    </w:p>
    <w:p>
      <w:pPr>
        <w:spacing w:line="360" w:lineRule="auto"/>
        <w:ind w:firstLine="480" w:firstLineChars="200"/>
        <w:rPr>
          <w:rFonts w:ascii="Times New Roman" w:hAnsi="Times New Roman" w:eastAsia="宋体" w:cs="Times New Roman"/>
          <w:sz w:val="24"/>
        </w:rPr>
      </w:pPr>
      <w:r>
        <w:rPr>
          <w:rFonts w:hint="eastAsia" w:ascii="宋体" w:hAnsi="宋体" w:eastAsia="宋体" w:cs="Times New Roman"/>
          <w:bCs/>
          <w:sz w:val="24"/>
        </w:rPr>
        <w:t>本</w:t>
      </w:r>
      <w:r>
        <w:rPr>
          <w:rFonts w:hint="eastAsia" w:ascii="Times New Roman" w:hAnsi="宋体" w:eastAsia="宋体" w:cs="Times New Roman"/>
          <w:sz w:val="24"/>
        </w:rPr>
        <w:t>课程是高职高专类应用技术化工专业的核心课程之一。</w:t>
      </w:r>
      <w:r>
        <w:rPr>
          <w:rFonts w:hint="eastAsia" w:ascii="Times New Roman" w:hAnsi="Times New Roman" w:eastAsia="宋体" w:cs="Times New Roman"/>
          <w:sz w:val="24"/>
        </w:rPr>
        <w:t>课程从化工生产工艺角度出发，运用化工过程的基本原理，阐明基本无机化工工艺的基本概念和基本理论，介绍典型基本无机化工工艺的生产方法与工艺原理、典型流程与关键设备、工艺条件与节能降耗分</w:t>
      </w:r>
      <w:r>
        <w:rPr>
          <w:rFonts w:hint="eastAsia" w:ascii="宋体" w:hAnsi="宋体" w:eastAsia="宋体" w:cs="Times New Roman"/>
          <w:sz w:val="24"/>
        </w:rPr>
        <w:t>析。同时优选有选择性介绍有关无机化工生产的新工艺、新技术、新设备、</w:t>
      </w:r>
      <w:r>
        <w:rPr>
          <w:rFonts w:hint="eastAsia" w:ascii="宋体" w:hAnsi="宋体" w:eastAsia="宋体" w:cs="Times New Roman"/>
          <w:bCs/>
          <w:sz w:val="24"/>
        </w:rPr>
        <w:t>发展动态能量回收</w:t>
      </w:r>
      <w:r>
        <w:rPr>
          <w:rFonts w:hint="eastAsia" w:ascii="宋体" w:hAnsi="宋体" w:eastAsia="宋体" w:cs="Times New Roman"/>
          <w:sz w:val="24"/>
        </w:rPr>
        <w:t>、三废处理等问题。</w:t>
      </w:r>
      <w:r>
        <w:rPr>
          <w:rFonts w:hint="eastAsia" w:ascii="宋体" w:hAnsi="宋体" w:eastAsia="宋体" w:cs="Times New Roman"/>
          <w:bCs/>
          <w:sz w:val="24"/>
        </w:rPr>
        <w:t>通过本</w:t>
      </w:r>
      <w:r>
        <w:rPr>
          <w:rFonts w:hint="eastAsia" w:ascii="Times New Roman" w:hAnsi="宋体" w:eastAsia="宋体" w:cs="Times New Roman"/>
          <w:sz w:val="24"/>
        </w:rPr>
        <w:t>课程</w:t>
      </w:r>
      <w:r>
        <w:rPr>
          <w:rFonts w:hint="eastAsia" w:ascii="Times New Roman" w:hAnsi="Times New Roman" w:eastAsia="宋体" w:cs="Times New Roman"/>
          <w:sz w:val="24"/>
        </w:rPr>
        <w:t>的基础理论</w:t>
      </w:r>
      <w:r>
        <w:rPr>
          <w:rFonts w:hint="eastAsia" w:ascii="宋体" w:hAnsi="宋体" w:eastAsia="宋体" w:cs="Times New Roman"/>
          <w:bCs/>
          <w:sz w:val="24"/>
        </w:rPr>
        <w:t>学习</w:t>
      </w:r>
      <w:r>
        <w:rPr>
          <w:rFonts w:hint="eastAsia" w:ascii="Times New Roman" w:hAnsi="Times New Roman" w:eastAsia="宋体" w:cs="Times New Roman"/>
          <w:sz w:val="24"/>
        </w:rPr>
        <w:t xml:space="preserve">，使学生建立实际工程概念，熟悉无机化工过程的原料来源及产品流向，熟悉无机化工工艺中常用的技术手段。 </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3．环境监测与分析</w:t>
      </w:r>
    </w:p>
    <w:p>
      <w:pPr>
        <w:spacing w:line="360" w:lineRule="auto"/>
        <w:ind w:firstLine="480" w:firstLineChars="200"/>
        <w:rPr>
          <w:rFonts w:ascii="宋体" w:hAnsi="宋体" w:eastAsia="宋体" w:cs="Times New Roman"/>
          <w:bCs/>
          <w:sz w:val="24"/>
          <w:highlight w:val="yellow"/>
        </w:rPr>
      </w:pPr>
      <w:r>
        <w:rPr>
          <w:rFonts w:hint="eastAsia" w:ascii="宋体" w:hAnsi="宋体" w:eastAsia="宋体" w:cs="Times New Roman"/>
          <w:bCs/>
          <w:sz w:val="24"/>
        </w:rPr>
        <w:t>本</w:t>
      </w:r>
      <w:r>
        <w:rPr>
          <w:rFonts w:hint="eastAsia" w:ascii="宋体" w:hAnsi="宋体" w:eastAsia="宋体" w:cs="Times New Roman"/>
          <w:sz w:val="24"/>
        </w:rPr>
        <w:t>课程是</w:t>
      </w:r>
      <w:r>
        <w:rPr>
          <w:rFonts w:hint="eastAsia" w:ascii="Times New Roman" w:hAnsi="Times New Roman" w:eastAsia="宋体" w:cs="Times New Roman"/>
          <w:sz w:val="24"/>
        </w:rPr>
        <w:t>应用化工</w:t>
      </w:r>
      <w:r>
        <w:rPr>
          <w:rFonts w:hint="eastAsia" w:ascii="宋体" w:hAnsi="宋体" w:eastAsia="宋体" w:cs="Times New Roman"/>
          <w:sz w:val="24"/>
        </w:rPr>
        <w:t>技术专业中的核心课程。课程符合高技能人才培养目标和专业职业岗位的任职要求，对学生职业能力培养和职业素质养成起重要支撑作用。通过本课程的学习，</w:t>
      </w:r>
      <w:r>
        <w:rPr>
          <w:rFonts w:hint="eastAsia" w:ascii="宋体" w:hAnsi="宋体" w:eastAsia="宋体" w:cs="Times New Roman"/>
          <w:bCs/>
          <w:sz w:val="24"/>
        </w:rPr>
        <w:t>使</w:t>
      </w:r>
      <w:r>
        <w:rPr>
          <w:rFonts w:hint="eastAsia" w:ascii="宋体" w:hAnsi="宋体" w:eastAsia="宋体" w:cs="Times New Roman"/>
          <w:sz w:val="24"/>
        </w:rPr>
        <w:t>学生掌握各种介质污染物测定的基本方法和原理，具备环境污染监测工的基本技能，具有污染物监测方案制定、样品采集、分析测试和数据处理的专业实践能力，培养学生解决环境监测实际问题的职业能力，为学生毕业后从事环境监测、工业分析岗位奠定基础。</w:t>
      </w:r>
    </w:p>
    <w:p>
      <w:pPr>
        <w:spacing w:line="360" w:lineRule="auto"/>
        <w:ind w:firstLine="480" w:firstLineChars="200"/>
        <w:rPr>
          <w:rFonts w:ascii="Times New Roman" w:hAnsi="Times New Roman" w:eastAsia="宋体" w:cs="Times New Roman"/>
          <w:sz w:val="24"/>
        </w:rPr>
      </w:pPr>
    </w:p>
    <w:p>
      <w:pPr>
        <w:spacing w:line="360" w:lineRule="auto"/>
        <w:ind w:firstLine="480" w:firstLineChars="200"/>
        <w:rPr>
          <w:rFonts w:ascii="Calibri" w:hAnsi="Calibri" w:eastAsia="宋体" w:cs="Times New Roman"/>
          <w:sz w:val="24"/>
        </w:rPr>
      </w:pPr>
      <w:r>
        <w:rPr>
          <w:rFonts w:ascii="Calibri" w:hAnsi="Calibri" w:eastAsia="宋体" w:cs="Times New Roman"/>
          <w:sz w:val="24"/>
        </w:rPr>
        <w:t>4</w:t>
      </w:r>
      <w:r>
        <w:rPr>
          <w:rFonts w:hint="eastAsia" w:ascii="Calibri" w:hAnsi="Calibri" w:eastAsia="宋体" w:cs="Times New Roman"/>
          <w:sz w:val="24"/>
        </w:rPr>
        <w:t>．化工安全技术</w:t>
      </w:r>
    </w:p>
    <w:p>
      <w:pPr>
        <w:spacing w:line="360" w:lineRule="auto"/>
        <w:ind w:firstLine="480" w:firstLineChars="200"/>
        <w:rPr>
          <w:rFonts w:ascii="Calibri" w:hAnsi="Calibri" w:eastAsia="宋体" w:cs="Times New Roman"/>
          <w:sz w:val="24"/>
        </w:rPr>
      </w:pPr>
      <w:r>
        <w:rPr>
          <w:rFonts w:hint="eastAsia" w:ascii="宋体" w:hAnsi="宋体" w:eastAsia="宋体" w:cs="Times New Roman"/>
          <w:bCs/>
          <w:sz w:val="24"/>
          <w:szCs w:val="22"/>
        </w:rPr>
        <w:t>本</w:t>
      </w:r>
      <w:r>
        <w:rPr>
          <w:rFonts w:hint="eastAsia" w:ascii="Calibri" w:hAnsi="宋体" w:eastAsia="宋体" w:cs="Times New Roman"/>
          <w:sz w:val="24"/>
          <w:szCs w:val="22"/>
        </w:rPr>
        <w:t>课程</w:t>
      </w:r>
      <w:r>
        <w:rPr>
          <w:rFonts w:hint="eastAsia" w:ascii="Calibri" w:hAnsi="Calibri" w:eastAsia="宋体" w:cs="Times New Roman"/>
          <w:sz w:val="24"/>
        </w:rPr>
        <w:t>是高等职业技术院校应用化工技术专业的一门必修课，是本专业重要的</w:t>
      </w:r>
      <w:r>
        <w:rPr>
          <w:rFonts w:hint="eastAsia" w:ascii="宋体" w:hAnsi="宋体" w:eastAsia="宋体" w:cs="Times New Roman"/>
          <w:bCs/>
          <w:sz w:val="24"/>
          <w:szCs w:val="22"/>
        </w:rPr>
        <w:t>专业核心</w:t>
      </w:r>
      <w:r>
        <w:rPr>
          <w:rFonts w:hint="eastAsia" w:ascii="Calibri" w:hAnsi="Calibri" w:eastAsia="宋体" w:cs="Times New Roman"/>
          <w:sz w:val="24"/>
        </w:rPr>
        <w:t>课之一。化工安全技术贯穿于化工生产全过程，从技术开发、工艺设计、厂房修建、设备安装、生产操作、设备管理、紧急预案、事故处理，直至“三废”处理等各个环节，它是一门涉及面广、内容丰富的综合性技术。因此，本课程同样贯穿于应用化工生产技术专业学习全过程，包括从各专业基础课到各专业课。本课程着眼于培养学生的化工安全技术专业知识和基本安全操作技能，着重培养学生分析、解决实际问题的能力，提高学生的职业素质。这些能力所涉及的知识与专业培养目标和现代化工行业人才所需知识结构相一致。化工安全技术与其它课程相辅相成，共同为学生将来进入化工企业进行安全生产操作、及基层管理工作打下坚实的基础。</w:t>
      </w:r>
    </w:p>
    <w:p>
      <w:pPr>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5．</w:t>
      </w:r>
      <w:r>
        <w:rPr>
          <w:rFonts w:ascii="Times New Roman" w:hAnsi="Times New Roman" w:eastAsia="宋体" w:cs="Times New Roman"/>
          <w:sz w:val="24"/>
        </w:rPr>
        <w:t>化工</w:t>
      </w:r>
      <w:r>
        <w:rPr>
          <w:rFonts w:hint="eastAsia" w:ascii="Times New Roman" w:hAnsi="Times New Roman" w:eastAsia="宋体" w:cs="Times New Roman"/>
          <w:sz w:val="24"/>
        </w:rPr>
        <w:t>设备基础</w:t>
      </w:r>
    </w:p>
    <w:p>
      <w:pPr>
        <w:spacing w:line="360" w:lineRule="auto"/>
        <w:ind w:firstLine="480" w:firstLineChars="200"/>
        <w:rPr>
          <w:rFonts w:ascii="宋体" w:hAnsi="宋体" w:eastAsia="宋体" w:cs="Times New Roman"/>
          <w:sz w:val="24"/>
        </w:rPr>
      </w:pPr>
      <w:r>
        <w:rPr>
          <w:rFonts w:hint="eastAsia" w:ascii="宋体" w:hAnsi="宋体" w:eastAsia="宋体" w:cs="Times New Roman"/>
          <w:bCs/>
          <w:sz w:val="24"/>
        </w:rPr>
        <w:t>本课程是</w:t>
      </w:r>
      <w:r>
        <w:rPr>
          <w:rFonts w:ascii="Times New Roman" w:hAnsi="Times New Roman" w:eastAsia="宋体" w:cs="Times New Roman"/>
          <w:sz w:val="24"/>
        </w:rPr>
        <w:t>应用化工</w:t>
      </w:r>
      <w:r>
        <w:rPr>
          <w:rFonts w:hint="eastAsia" w:ascii="宋体" w:hAnsi="宋体" w:eastAsia="宋体" w:cs="Times New Roman"/>
          <w:bCs/>
          <w:sz w:val="24"/>
        </w:rPr>
        <w:t>技术专业的一门专业核心课程。本课程</w:t>
      </w:r>
      <w:r>
        <w:rPr>
          <w:rFonts w:hint="eastAsia" w:ascii="宋体" w:hAnsi="宋体" w:eastAsia="宋体" w:cs="Times New Roman"/>
          <w:sz w:val="24"/>
        </w:rPr>
        <w:t>是针对应用化工技术专业就业面向化工生产装置操作与维护岗、化工生产工艺运行控制岗以及车间技术、管理岗的专业核心课程。任务是培养学生能够安全使用化工设备，正确维护和保养化工设备的意识，掌握典型化工设备的故障诊断及故障处理的技能；在此基础上利用常见的CAD软件，培养学生阅读和绘制化工专业图样的能力，主要包括化工工艺图和化工设备图两部分，同时，它也是学生完成课程设计和毕业设计不可缺少的基础。</w:t>
      </w:r>
    </w:p>
    <w:p>
      <w:pPr>
        <w:spacing w:line="360" w:lineRule="auto"/>
        <w:ind w:firstLine="480" w:firstLineChars="200"/>
        <w:rPr>
          <w:rFonts w:ascii="宋体" w:hAnsi="宋体" w:eastAsia="宋体" w:cs="Times New Roman"/>
          <w:bCs/>
          <w:sz w:val="24"/>
        </w:rPr>
      </w:pPr>
      <w:r>
        <w:rPr>
          <w:rFonts w:hint="eastAsia" w:ascii="宋体" w:hAnsi="宋体" w:eastAsia="宋体" w:cs="Times New Roman"/>
          <w:bCs/>
          <w:sz w:val="24"/>
        </w:rPr>
        <w:t>6．现代煤化工技术</w:t>
      </w:r>
    </w:p>
    <w:p>
      <w:pPr>
        <w:spacing w:line="360" w:lineRule="auto"/>
        <w:ind w:firstLine="480" w:firstLineChars="200"/>
        <w:rPr>
          <w:rFonts w:ascii="宋体" w:hAnsi="宋体" w:eastAsia="宋体" w:cs="Times New Roman"/>
          <w:bCs/>
          <w:sz w:val="24"/>
          <w:highlight w:val="yellow"/>
        </w:rPr>
      </w:pPr>
      <w:r>
        <w:rPr>
          <w:rFonts w:hint="eastAsia" w:ascii="Times New Roman" w:hAnsi="Times New Roman" w:eastAsia="宋体" w:cs="Times New Roman"/>
          <w:sz w:val="24"/>
        </w:rPr>
        <w:t>本课程是应用化工技术专业的一门</w:t>
      </w:r>
      <w:r>
        <w:rPr>
          <w:rFonts w:hint="eastAsia" w:ascii="宋体" w:hAnsi="宋体" w:eastAsia="宋体" w:cs="Times New Roman"/>
          <w:bCs/>
          <w:sz w:val="24"/>
        </w:rPr>
        <w:t>专业核心</w:t>
      </w:r>
      <w:r>
        <w:rPr>
          <w:rFonts w:hint="eastAsia" w:ascii="Times New Roman" w:hAnsi="Times New Roman" w:eastAsia="宋体" w:cs="Times New Roman"/>
          <w:sz w:val="24"/>
        </w:rPr>
        <w:t>课。本课程的任务是使学生掌握</w:t>
      </w:r>
      <w:r>
        <w:rPr>
          <w:rFonts w:hint="eastAsia" w:ascii="宋体" w:hAnsi="宋体" w:eastAsia="宋体" w:cs="Times New Roman"/>
          <w:bCs/>
          <w:sz w:val="24"/>
        </w:rPr>
        <w:t>现代</w:t>
      </w:r>
      <w:r>
        <w:rPr>
          <w:rFonts w:hint="eastAsia" w:ascii="Times New Roman" w:hAnsi="Times New Roman" w:eastAsia="宋体" w:cs="Times New Roman"/>
          <w:sz w:val="24"/>
        </w:rPr>
        <w:t>煤化工生产的基本概念，了解煤化工安全生产方面的知识，深化空气深冷液化分离、煤气化、煤液化、甲醇生产技术及煤化学产品加工工艺等方面知识；培养学生的煤化工生产操作方面的专业能力，如正确地确定生产的工艺条件的能力，在煤化工安全生产操作规程下解决生产过程中一般工艺技术问题的能力以及正确操作煤化工的重要设备等；同时注重培养学生的社会能力和方法能力。</w:t>
      </w:r>
    </w:p>
    <w:p>
      <w:pPr>
        <w:pStyle w:val="3"/>
        <w:ind w:firstLine="480" w:firstLineChars="150"/>
        <w:rPr>
          <w:b w:val="0"/>
        </w:rPr>
      </w:pPr>
      <w:bookmarkStart w:id="17" w:name="_Toc17278745"/>
      <w:bookmarkStart w:id="18" w:name="_Toc27650"/>
      <w:r>
        <w:rPr>
          <w:rFonts w:hint="eastAsia"/>
          <w:b w:val="0"/>
        </w:rPr>
        <w:t>八、教学方法、手段和教学评价</w:t>
      </w:r>
      <w:bookmarkEnd w:id="17"/>
      <w:bookmarkEnd w:id="18"/>
    </w:p>
    <w:p>
      <w:pPr>
        <w:spacing w:line="360" w:lineRule="auto"/>
        <w:ind w:firstLine="300" w:firstLineChars="100"/>
        <w:rPr>
          <w:rFonts w:ascii="黑体" w:hAnsi="黑体" w:eastAsia="黑体" w:cs="黑体"/>
          <w:bCs/>
          <w:sz w:val="30"/>
          <w:szCs w:val="30"/>
        </w:rPr>
      </w:pPr>
      <w:r>
        <w:rPr>
          <w:rFonts w:hint="eastAsia" w:ascii="黑体" w:hAnsi="黑体" w:eastAsia="黑体" w:cs="黑体"/>
          <w:bCs/>
          <w:sz w:val="30"/>
          <w:szCs w:val="30"/>
        </w:rPr>
        <w:t>（一）教学方法、手段与教学组织形式</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1</w:t>
      </w:r>
      <w:r>
        <w:rPr>
          <w:rFonts w:hint="eastAsia" w:ascii="Times New Roman" w:hAnsi="Times New Roman" w:eastAsia="宋体" w:cs="Times New Roman"/>
          <w:sz w:val="24"/>
        </w:rPr>
        <w:t>．</w:t>
      </w:r>
      <w:r>
        <w:rPr>
          <w:rFonts w:ascii="Times New Roman" w:hAnsi="Times New Roman" w:eastAsia="宋体" w:cs="Times New Roman"/>
          <w:sz w:val="24"/>
        </w:rPr>
        <w:t xml:space="preserve"> 教学方法</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（1）项目教学法</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按照企业的生产岗位要求，以任务驱动、项目导向的教学方法实施教学。在教学环境和氛围上营造工学结合场景，让学生感受到工作情境。在教学上突出</w:t>
      </w:r>
      <w:r>
        <w:rPr>
          <w:rFonts w:hint="eastAsia" w:ascii="Times New Roman" w:hAnsi="Times New Roman" w:eastAsia="宋体" w:cs="Times New Roman"/>
          <w:sz w:val="24"/>
        </w:rPr>
        <w:t>“</w:t>
      </w:r>
      <w:r>
        <w:rPr>
          <w:rFonts w:ascii="Times New Roman" w:hAnsi="Times New Roman" w:eastAsia="宋体" w:cs="Times New Roman"/>
          <w:sz w:val="24"/>
        </w:rPr>
        <w:t>项目任务驱动</w:t>
      </w:r>
      <w:r>
        <w:rPr>
          <w:rFonts w:hint="eastAsia" w:ascii="Times New Roman" w:hAnsi="Times New Roman" w:eastAsia="宋体" w:cs="Times New Roman"/>
          <w:sz w:val="24"/>
        </w:rPr>
        <w:t>”</w:t>
      </w:r>
      <w:r>
        <w:rPr>
          <w:rFonts w:ascii="Times New Roman" w:hAnsi="Times New Roman" w:eastAsia="宋体" w:cs="Times New Roman"/>
          <w:sz w:val="24"/>
        </w:rPr>
        <w:t>教学法，将</w:t>
      </w:r>
      <w:r>
        <w:rPr>
          <w:rFonts w:hint="eastAsia" w:ascii="Times New Roman" w:hAnsi="Times New Roman" w:eastAsia="宋体" w:cs="Times New Roman"/>
          <w:sz w:val="24"/>
        </w:rPr>
        <w:t>“</w:t>
      </w:r>
      <w:r>
        <w:rPr>
          <w:rFonts w:ascii="Times New Roman" w:hAnsi="Times New Roman" w:eastAsia="宋体" w:cs="Times New Roman"/>
          <w:sz w:val="24"/>
        </w:rPr>
        <w:t>教、学、做</w:t>
      </w:r>
      <w:r>
        <w:rPr>
          <w:rFonts w:hint="eastAsia" w:ascii="Times New Roman" w:hAnsi="Times New Roman" w:eastAsia="宋体" w:cs="Times New Roman"/>
          <w:sz w:val="24"/>
        </w:rPr>
        <w:t>”</w:t>
      </w:r>
      <w:r>
        <w:rPr>
          <w:rFonts w:ascii="Times New Roman" w:hAnsi="Times New Roman" w:eastAsia="宋体" w:cs="Times New Roman"/>
          <w:sz w:val="24"/>
        </w:rPr>
        <w:t>有机结合，采用</w:t>
      </w:r>
      <w:r>
        <w:rPr>
          <w:rFonts w:hint="eastAsia" w:ascii="Times New Roman" w:hAnsi="Times New Roman" w:eastAsia="宋体" w:cs="Times New Roman"/>
          <w:sz w:val="24"/>
        </w:rPr>
        <w:t>“</w:t>
      </w:r>
      <w:r>
        <w:rPr>
          <w:rFonts w:ascii="Times New Roman" w:hAnsi="Times New Roman" w:eastAsia="宋体" w:cs="Times New Roman"/>
          <w:sz w:val="24"/>
        </w:rPr>
        <w:t>教师布置任务→学生了解任务→学生自主策划项目计划→师生共同分析计划→学生修订策划→投入实施训练→项目完成情况检查→教师评价、学生自评</w:t>
      </w:r>
      <w:r>
        <w:rPr>
          <w:rFonts w:hint="eastAsia" w:ascii="Times New Roman" w:hAnsi="Times New Roman" w:eastAsia="宋体" w:cs="Times New Roman"/>
          <w:sz w:val="24"/>
        </w:rPr>
        <w:t>”</w:t>
      </w:r>
      <w:r>
        <w:rPr>
          <w:rFonts w:ascii="Times New Roman" w:hAnsi="Times New Roman" w:eastAsia="宋体" w:cs="Times New Roman"/>
          <w:sz w:val="24"/>
        </w:rPr>
        <w:t>的教学流程。</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（2）任务驱动教学法</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以学生为主体，教师引导，教师提出问题或设计出合理的学习情景，学生主动参与，整个教学过程以</w:t>
      </w:r>
      <w:r>
        <w:rPr>
          <w:rFonts w:hint="eastAsia" w:ascii="Times New Roman" w:hAnsi="Times New Roman" w:eastAsia="宋体" w:cs="Times New Roman"/>
          <w:sz w:val="24"/>
        </w:rPr>
        <w:t>“</w:t>
      </w:r>
      <w:r>
        <w:rPr>
          <w:rFonts w:ascii="Times New Roman" w:hAnsi="Times New Roman" w:eastAsia="宋体" w:cs="Times New Roman"/>
          <w:sz w:val="24"/>
        </w:rPr>
        <w:t>导</w:t>
      </w:r>
      <w:r>
        <w:rPr>
          <w:rFonts w:hint="eastAsia" w:ascii="Times New Roman" w:hAnsi="Times New Roman" w:eastAsia="宋体" w:cs="Times New Roman"/>
          <w:sz w:val="24"/>
        </w:rPr>
        <w:t>”</w:t>
      </w:r>
      <w:r>
        <w:rPr>
          <w:rFonts w:ascii="Times New Roman" w:hAnsi="Times New Roman" w:eastAsia="宋体" w:cs="Times New Roman"/>
          <w:sz w:val="24"/>
        </w:rPr>
        <w:t>为主而不是以</w:t>
      </w:r>
      <w:r>
        <w:rPr>
          <w:rFonts w:hint="eastAsia" w:ascii="Times New Roman" w:hAnsi="Times New Roman" w:eastAsia="宋体" w:cs="Times New Roman"/>
          <w:sz w:val="24"/>
        </w:rPr>
        <w:t>“</w:t>
      </w:r>
      <w:r>
        <w:rPr>
          <w:rFonts w:ascii="Times New Roman" w:hAnsi="Times New Roman" w:eastAsia="宋体" w:cs="Times New Roman"/>
          <w:sz w:val="24"/>
        </w:rPr>
        <w:t>灌</w:t>
      </w:r>
      <w:r>
        <w:rPr>
          <w:rFonts w:hint="eastAsia" w:ascii="Times New Roman" w:hAnsi="Times New Roman" w:eastAsia="宋体" w:cs="Times New Roman"/>
          <w:sz w:val="24"/>
        </w:rPr>
        <w:t>”</w:t>
      </w:r>
      <w:r>
        <w:rPr>
          <w:rFonts w:ascii="Times New Roman" w:hAnsi="Times New Roman" w:eastAsia="宋体" w:cs="Times New Roman"/>
          <w:sz w:val="24"/>
        </w:rPr>
        <w:t>为主，让学生主动解决难点问题，提高学生的积极性和主动性，增加对相关知识点的理解和掌握。</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（3）小组研讨教学法</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将学生进行分组，在教师的引导下，学生积极参与课堂讨论，从而实现教与学的互动。比如在方案的确定、工艺的制定、故障原因中，学生通过讨论，可以从别人或别的小组获取不同的知识，有助于学生思考多方面的意见，增强学生思维的灵活性，使学生更容易理解他人，提高学生交流思想、看法和协作的能力。</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（4）角色扮演法</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在角色扮演法的使用中，安排真实工作任务，教师统领全局，类似于车间管理人员，小组长管理各个岗位的具体工作，类似于企业里的班组长，教师下达任务书，再由小组长协调组内的具体分工、人员分配、工具设备使用、方案的确定等工作，使学生的实训过程与工厂的实际工作保持一致，通过不同的角色扮演，使适应企业不同的工作岗位，拓宽就业面。</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（5）现场教学法</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在实训场所、生产一线进行现场教学，理论与实践有机结合，进行一体化教学，增强学生的感性认识，建立控制系统的现场感，提高学生的理解能力，便于学生掌握较抽象的知识点。</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 xml:space="preserve">（6）案例教学法 </w:t>
      </w:r>
      <w:r>
        <w:rPr>
          <w:rFonts w:ascii="Times New Roman" w:hAnsi="Times New Roman" w:eastAsia="宋体" w:cs="Times New Roman"/>
          <w:sz w:val="24"/>
        </w:rPr>
        <w:tab/>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针对工作典型案例进行教学，达到学习的内容更加贴近生产实际的目的。以学习小组为单位进行方案设计，教师对学生的设计方案进行分析、评价。通过案例分析法，可以激发学生的教师传授学中做、做中学、学生自主、育巧手、手脑并用学习，使学习任务和目标更加明确，提高了学生分析问题和解决问题的能力。</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（7）多媒体教学法</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采用电子教案、多媒体课件、仿真软件等手段充实了教学，特别是多媒体课件和仿真软件的应用，解决了在传统教学手段下很难表达的教学内容或无法观察到的现象，使其象能形象、生动、直观地显示出来，从而加深学生对问题的理解，提高学生学习的积极性。</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2</w:t>
      </w:r>
      <w:r>
        <w:rPr>
          <w:rFonts w:hint="eastAsia" w:ascii="Times New Roman" w:hAnsi="Times New Roman" w:eastAsia="宋体" w:cs="Times New Roman"/>
          <w:sz w:val="24"/>
        </w:rPr>
        <w:t>．</w:t>
      </w:r>
      <w:r>
        <w:rPr>
          <w:rFonts w:ascii="Times New Roman" w:hAnsi="Times New Roman" w:eastAsia="宋体" w:cs="Times New Roman"/>
          <w:sz w:val="24"/>
        </w:rPr>
        <w:t>教学手段</w:t>
      </w:r>
    </w:p>
    <w:p>
      <w:pPr>
        <w:adjustRightInd w:val="0"/>
        <w:snapToGrid w:val="0"/>
        <w:spacing w:line="360" w:lineRule="auto"/>
        <w:ind w:firstLine="360" w:firstLineChars="150"/>
        <w:rPr>
          <w:rFonts w:ascii="Times New Roman" w:hAnsi="Times New Roman" w:eastAsia="宋体" w:cs="Times New Roman"/>
          <w:sz w:val="24"/>
        </w:rPr>
      </w:pPr>
      <w:r>
        <w:rPr>
          <w:rFonts w:ascii="Times New Roman" w:hAnsi="Times New Roman" w:eastAsia="宋体" w:cs="Times New Roman"/>
          <w:sz w:val="24"/>
        </w:rPr>
        <w:t>（1）由仿真到真实、由简单到复杂的技能训练</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学生通过Auto CAD绘图软件掌握化工设备的基本结构，提高了学生学习兴趣和主动性，对学生职业素养的养成和专业技能的掌握效果明显。</w:t>
      </w:r>
    </w:p>
    <w:p>
      <w:pPr>
        <w:adjustRightInd w:val="0"/>
        <w:snapToGrid w:val="0"/>
        <w:spacing w:line="360" w:lineRule="auto"/>
        <w:ind w:firstLine="360" w:firstLineChars="150"/>
        <w:rPr>
          <w:rFonts w:ascii="Times New Roman" w:hAnsi="Times New Roman" w:eastAsia="宋体" w:cs="Times New Roman"/>
          <w:sz w:val="24"/>
        </w:rPr>
      </w:pPr>
      <w:r>
        <w:rPr>
          <w:rFonts w:ascii="Times New Roman" w:hAnsi="Times New Roman" w:eastAsia="宋体" w:cs="Times New Roman"/>
          <w:sz w:val="24"/>
        </w:rPr>
        <w:t>（2）现代教育技术的使用</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根据课程内容的特点，教师采用多媒体技术制作授课课件、动画、录像等，使教学直观，易于学生理解和复习。教师通过学生的实际绘图过程，可及时了解学生对知识、技能的掌握程度。</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3</w:t>
      </w:r>
      <w:r>
        <w:rPr>
          <w:rFonts w:hint="eastAsia" w:ascii="Times New Roman" w:hAnsi="Times New Roman" w:eastAsia="宋体" w:cs="Times New Roman"/>
          <w:sz w:val="24"/>
        </w:rPr>
        <w:t>．</w:t>
      </w:r>
      <w:r>
        <w:rPr>
          <w:rFonts w:ascii="Times New Roman" w:hAnsi="Times New Roman" w:eastAsia="宋体" w:cs="Times New Roman"/>
          <w:sz w:val="24"/>
        </w:rPr>
        <w:t xml:space="preserve"> 教学组织形式</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以</w:t>
      </w:r>
      <w:r>
        <w:rPr>
          <w:rFonts w:hint="eastAsia" w:ascii="Times New Roman" w:hAnsi="Times New Roman" w:eastAsia="宋体" w:cs="Times New Roman"/>
          <w:sz w:val="24"/>
        </w:rPr>
        <w:t>“</w:t>
      </w:r>
      <w:r>
        <w:rPr>
          <w:rFonts w:ascii="Times New Roman" w:hAnsi="Times New Roman" w:eastAsia="宋体" w:cs="Times New Roman"/>
          <w:sz w:val="24"/>
        </w:rPr>
        <w:t>多媒体教学</w:t>
      </w:r>
      <w:r>
        <w:rPr>
          <w:rFonts w:hint="eastAsia" w:ascii="Times New Roman" w:hAnsi="Times New Roman" w:eastAsia="宋体" w:cs="Times New Roman"/>
          <w:sz w:val="24"/>
        </w:rPr>
        <w:t>”</w:t>
      </w:r>
      <w:r>
        <w:rPr>
          <w:rFonts w:ascii="Times New Roman" w:hAnsi="Times New Roman" w:eastAsia="宋体" w:cs="Times New Roman"/>
          <w:sz w:val="24"/>
        </w:rPr>
        <w:t>、</w:t>
      </w:r>
      <w:r>
        <w:rPr>
          <w:rFonts w:hint="eastAsia" w:ascii="Times New Roman" w:hAnsi="Times New Roman" w:eastAsia="宋体" w:cs="Times New Roman"/>
          <w:sz w:val="24"/>
        </w:rPr>
        <w:t>“</w:t>
      </w:r>
      <w:r>
        <w:rPr>
          <w:rFonts w:ascii="Times New Roman" w:hAnsi="Times New Roman" w:eastAsia="宋体" w:cs="Times New Roman"/>
          <w:sz w:val="24"/>
        </w:rPr>
        <w:t>现场教学</w:t>
      </w:r>
      <w:r>
        <w:rPr>
          <w:rFonts w:hint="eastAsia" w:ascii="Times New Roman" w:hAnsi="Times New Roman" w:eastAsia="宋体" w:cs="Times New Roman"/>
          <w:sz w:val="24"/>
        </w:rPr>
        <w:t>”</w:t>
      </w:r>
      <w:r>
        <w:rPr>
          <w:rFonts w:ascii="Times New Roman" w:hAnsi="Times New Roman" w:eastAsia="宋体" w:cs="Times New Roman"/>
          <w:sz w:val="24"/>
        </w:rPr>
        <w:t>为主的教学形式，将传统的课堂搬到实验、实训场所，强调</w:t>
      </w:r>
      <w:r>
        <w:rPr>
          <w:rFonts w:hint="eastAsia" w:ascii="Times New Roman" w:hAnsi="Times New Roman" w:eastAsia="宋体" w:cs="Times New Roman"/>
          <w:sz w:val="24"/>
        </w:rPr>
        <w:t>“</w:t>
      </w:r>
      <w:r>
        <w:rPr>
          <w:rFonts w:ascii="Times New Roman" w:hAnsi="Times New Roman" w:eastAsia="宋体" w:cs="Times New Roman"/>
          <w:sz w:val="24"/>
        </w:rPr>
        <w:t>以学生为主体、以教师为主导</w:t>
      </w:r>
      <w:r>
        <w:rPr>
          <w:rFonts w:hint="eastAsia" w:ascii="Times New Roman" w:hAnsi="Times New Roman" w:eastAsia="宋体" w:cs="Times New Roman"/>
          <w:sz w:val="24"/>
        </w:rPr>
        <w:t>”</w:t>
      </w:r>
      <w:r>
        <w:rPr>
          <w:rFonts w:ascii="Times New Roman" w:hAnsi="Times New Roman" w:eastAsia="宋体" w:cs="Times New Roman"/>
          <w:sz w:val="24"/>
        </w:rPr>
        <w:t>思想来设计教学活动，结合具体对象和模型，边讲边练、边学边做，实现了</w:t>
      </w:r>
      <w:r>
        <w:rPr>
          <w:rFonts w:hint="eastAsia" w:ascii="Times New Roman" w:hAnsi="Times New Roman" w:eastAsia="宋体" w:cs="Times New Roman"/>
          <w:sz w:val="24"/>
        </w:rPr>
        <w:t>“</w:t>
      </w:r>
      <w:r>
        <w:rPr>
          <w:rFonts w:ascii="Times New Roman" w:hAnsi="Times New Roman" w:eastAsia="宋体" w:cs="Times New Roman"/>
          <w:sz w:val="24"/>
        </w:rPr>
        <w:t>理实一体化</w:t>
      </w:r>
      <w:r>
        <w:rPr>
          <w:rFonts w:hint="eastAsia" w:ascii="Times New Roman" w:hAnsi="Times New Roman" w:eastAsia="宋体" w:cs="Times New Roman"/>
          <w:sz w:val="24"/>
        </w:rPr>
        <w:t>”</w:t>
      </w:r>
      <w:r>
        <w:rPr>
          <w:rFonts w:ascii="Times New Roman" w:hAnsi="Times New Roman" w:eastAsia="宋体" w:cs="Times New Roman"/>
          <w:sz w:val="24"/>
        </w:rPr>
        <w:t>教学。</w:t>
      </w:r>
    </w:p>
    <w:p>
      <w:pPr>
        <w:spacing w:line="360" w:lineRule="auto"/>
        <w:ind w:firstLine="300" w:firstLineChars="100"/>
        <w:rPr>
          <w:rFonts w:ascii="黑体" w:hAnsi="黑体" w:eastAsia="黑体" w:cs="黑体"/>
          <w:bCs/>
          <w:sz w:val="30"/>
          <w:szCs w:val="30"/>
        </w:rPr>
      </w:pPr>
      <w:r>
        <w:rPr>
          <w:rFonts w:hint="eastAsia" w:ascii="黑体" w:hAnsi="黑体" w:eastAsia="黑体" w:cs="黑体"/>
          <w:bCs/>
          <w:sz w:val="30"/>
          <w:szCs w:val="30"/>
        </w:rPr>
        <w:t>（二）教学评价、考核</w:t>
      </w:r>
    </w:p>
    <w:p>
      <w:pPr>
        <w:spacing w:line="360" w:lineRule="auto"/>
        <w:ind w:firstLine="480" w:firstLineChars="200"/>
        <w:rPr>
          <w:rFonts w:ascii="宋体" w:hAnsi="宋体" w:eastAsia="宋体" w:cs="Times New Roman"/>
          <w:bCs/>
          <w:sz w:val="24"/>
        </w:rPr>
      </w:pPr>
      <w:r>
        <w:rPr>
          <w:rFonts w:hint="eastAsia" w:ascii="宋体" w:hAnsi="宋体" w:eastAsia="宋体" w:cs="Times New Roman"/>
          <w:bCs/>
          <w:sz w:val="24"/>
        </w:rPr>
        <w:t>各学期安排5门考试课程，其余为考查，实行教考分离。实践课程都要进行技能考核。</w:t>
      </w:r>
      <w:r>
        <w:rPr>
          <w:rFonts w:hint="eastAsia" w:ascii="宋体" w:hAnsi="宋体" w:eastAsia="宋体" w:cs="Times New Roman"/>
          <w:bCs/>
          <w:color w:val="000000" w:themeColor="text1"/>
          <w:sz w:val="24"/>
        </w:rPr>
        <w:t>学生在校学习期间完成综合技能考核（即职业技能鉴定）。毕</w:t>
      </w:r>
      <w:r>
        <w:rPr>
          <w:rFonts w:hint="eastAsia" w:ascii="宋体" w:hAnsi="宋体" w:eastAsia="宋体" w:cs="Times New Roman"/>
          <w:bCs/>
          <w:sz w:val="24"/>
        </w:rPr>
        <w:t>业生实习结束后进行毕业论文（设计）和答辩。</w:t>
      </w:r>
    </w:p>
    <w:p>
      <w:pPr>
        <w:adjustRightInd w:val="0"/>
        <w:snapToGrid w:val="0"/>
        <w:spacing w:line="360" w:lineRule="auto"/>
        <w:ind w:firstLine="480" w:firstLineChars="200"/>
        <w:rPr>
          <w:rFonts w:ascii="Times New Roman" w:hAnsi="Times New Roman" w:eastAsia="宋体" w:cs="Times New Roman"/>
          <w:sz w:val="24"/>
        </w:rPr>
      </w:pPr>
      <w:r>
        <w:rPr>
          <w:rFonts w:hint="eastAsia" w:ascii="宋体" w:hAnsi="宋体" w:eastAsia="宋体" w:cs="Times New Roman"/>
          <w:bCs/>
          <w:sz w:val="24"/>
        </w:rPr>
        <w:t>各核心专业</w:t>
      </w:r>
      <w:r>
        <w:rPr>
          <w:rFonts w:ascii="Times New Roman" w:hAnsi="Times New Roman" w:eastAsia="宋体" w:cs="Times New Roman"/>
          <w:sz w:val="24"/>
        </w:rPr>
        <w:t>课程根据课程性质决定考核方式</w:t>
      </w:r>
      <w:r>
        <w:rPr>
          <w:rFonts w:hint="eastAsia" w:ascii="Times New Roman" w:hAnsi="Times New Roman" w:eastAsia="宋体" w:cs="Times New Roman"/>
          <w:sz w:val="24"/>
        </w:rPr>
        <w:t>，</w:t>
      </w:r>
      <w:r>
        <w:rPr>
          <w:rFonts w:ascii="Times New Roman" w:hAnsi="Times New Roman" w:eastAsia="宋体" w:cs="Times New Roman"/>
          <w:sz w:val="24"/>
        </w:rPr>
        <w:t>主要采用过程考核（任务考评）、阶段考核（情境考核）及期末考核（课程考核）相结合的考评方式，强调过程考核重要性。过程考核为开放性评价，由教师和学生共同参与考评，注重考核学生专业能力、方法能力和社会能力，鼓励同学间、小组间的相对评价和适度竞争：既着眼于对整个小组的评价，又要注意到个人在项目中所承担的角色、发挥的具体的作用及进步情况；终结考评由教师进行考评，注重考核学生专业知识掌握情况、综合技能水平和职业行动完整性。</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学生成绩组成=过程考核成绩60%+阶段考核20%+期末考核20%。过程考核由组员评价（占过程考核的40%）和小组评价（占过程考核60%）两部分组成。</w:t>
      </w:r>
    </w:p>
    <w:p>
      <w:pPr>
        <w:adjustRightInd w:val="0"/>
        <w:snapToGrid w:val="0"/>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1．</w:t>
      </w:r>
      <w:r>
        <w:rPr>
          <w:rFonts w:ascii="Times New Roman" w:hAnsi="Times New Roman" w:eastAsia="宋体" w:cs="Times New Roman"/>
          <w:sz w:val="24"/>
        </w:rPr>
        <w:t>工作任务评价</w:t>
      </w:r>
      <w:r>
        <w:rPr>
          <w:rFonts w:hint="eastAsia" w:ascii="Times New Roman" w:hAnsi="Times New Roman" w:eastAsia="宋体" w:cs="Times New Roman"/>
          <w:sz w:val="24"/>
        </w:rPr>
        <w:t>（过程考核）</w:t>
      </w:r>
      <w:r>
        <w:rPr>
          <w:rFonts w:ascii="Times New Roman" w:hAnsi="Times New Roman" w:eastAsia="宋体" w:cs="Times New Roman"/>
          <w:sz w:val="24"/>
        </w:rPr>
        <w:t>（60%）</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每一个工作任务都以工作成果及完成的任务符合度进行考核，学生完成工作任务后提出自评成绩，小组成员进行互评，教师对工作任务的成果进行逐项分析，哪些工作可以进一步改进？如何改进？并将学生的出勤、课堂纪律、团队合作等纳入考核指标，具体权重可根据工作任务的特点、内容、难度确定，工作任务考评占总成绩的60%。</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2</w:t>
      </w:r>
      <w:r>
        <w:rPr>
          <w:rFonts w:hint="eastAsia" w:ascii="Times New Roman" w:hAnsi="Times New Roman" w:eastAsia="宋体" w:cs="Times New Roman"/>
          <w:sz w:val="24"/>
        </w:rPr>
        <w:t>．</w:t>
      </w:r>
      <w:r>
        <w:rPr>
          <w:rFonts w:ascii="Times New Roman" w:hAnsi="Times New Roman" w:eastAsia="宋体" w:cs="Times New Roman"/>
          <w:sz w:val="24"/>
        </w:rPr>
        <w:t>阶段</w:t>
      </w:r>
      <w:r>
        <w:rPr>
          <w:rFonts w:hint="eastAsia" w:ascii="Times New Roman" w:hAnsi="Times New Roman" w:eastAsia="宋体" w:cs="Times New Roman"/>
          <w:sz w:val="24"/>
        </w:rPr>
        <w:t>考核</w:t>
      </w:r>
      <w:r>
        <w:rPr>
          <w:rFonts w:ascii="Times New Roman" w:hAnsi="Times New Roman" w:eastAsia="宋体" w:cs="Times New Roman"/>
          <w:sz w:val="24"/>
        </w:rPr>
        <w:t>（20%）</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针对工作任务中的知识点进行阶段性测试，通过提炼工作任务中的重要知识点，实现知识应用中由工作知识的针对性到知识应用的普适性之间的迁移，把握应用知识的深度和广度。阶段评价由理论考试及实践考试组成，各占50%。其中理论考试注重课程知识点的考核，实践考试包括实际动手能力，绘制化工设备图样。</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3</w:t>
      </w:r>
      <w:r>
        <w:rPr>
          <w:rFonts w:hint="eastAsia" w:ascii="Times New Roman" w:hAnsi="Times New Roman" w:eastAsia="宋体" w:cs="Times New Roman"/>
          <w:sz w:val="24"/>
        </w:rPr>
        <w:t>．</w:t>
      </w:r>
      <w:r>
        <w:rPr>
          <w:rFonts w:ascii="Times New Roman" w:hAnsi="Times New Roman" w:eastAsia="宋体" w:cs="Times New Roman"/>
          <w:sz w:val="24"/>
        </w:rPr>
        <w:t>期末考试综合评价（20%）</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学习任务过程评价中，确定了知识目标考核、技能目标考核和态度目标考核三项合一的综合能力考核评价体系。依据多项工作任务的《评分标准》及学生在工作过程中的工具使用、操作技能、存在问题、阶段性作业、结果展示、讲解交流、组织纪律等进行专业能力综合考核。</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4</w:t>
      </w:r>
      <w:r>
        <w:rPr>
          <w:rFonts w:hint="eastAsia" w:ascii="Times New Roman" w:hAnsi="Times New Roman" w:eastAsia="宋体" w:cs="Times New Roman"/>
          <w:sz w:val="24"/>
        </w:rPr>
        <w:t>．</w:t>
      </w:r>
      <w:r>
        <w:rPr>
          <w:rFonts w:ascii="Times New Roman" w:hAnsi="Times New Roman" w:eastAsia="宋体" w:cs="Times New Roman"/>
          <w:sz w:val="24"/>
        </w:rPr>
        <w:t xml:space="preserve"> 评价标准</w:t>
      </w:r>
    </w:p>
    <w:p>
      <w:pPr>
        <w:adjustRightInd w:val="0"/>
        <w:snapToGrid w:val="0"/>
        <w:spacing w:line="360" w:lineRule="auto"/>
        <w:jc w:val="center"/>
        <w:rPr>
          <w:rFonts w:ascii="Times New Roman" w:hAnsi="Times New Roman" w:eastAsia="宋体" w:cs="Times New Roman"/>
          <w:bCs/>
          <w:sz w:val="24"/>
        </w:rPr>
      </w:pPr>
      <w:r>
        <w:rPr>
          <w:rFonts w:ascii="Times New Roman" w:hAnsi="宋体" w:eastAsia="宋体" w:cs="Times New Roman"/>
          <w:bCs/>
          <w:sz w:val="24"/>
        </w:rPr>
        <w:t>表</w:t>
      </w:r>
      <w:r>
        <w:rPr>
          <w:rFonts w:ascii="Times New Roman" w:hAnsi="Times New Roman" w:eastAsia="宋体" w:cs="Times New Roman"/>
          <w:bCs/>
          <w:sz w:val="24"/>
        </w:rPr>
        <w:t>1.</w:t>
      </w:r>
      <w:r>
        <w:rPr>
          <w:rFonts w:hint="eastAsia" w:ascii="Times New Roman" w:hAnsi="Times New Roman" w:eastAsia="宋体" w:cs="Times New Roman"/>
          <w:bCs/>
          <w:sz w:val="24"/>
        </w:rPr>
        <w:t>3</w:t>
      </w:r>
      <w:r>
        <w:rPr>
          <w:rFonts w:ascii="Times New Roman" w:hAnsi="宋体" w:eastAsia="宋体" w:cs="Times New Roman"/>
          <w:bCs/>
          <w:sz w:val="24"/>
        </w:rPr>
        <w:t>学生成绩评价表</w:t>
      </w:r>
    </w:p>
    <w:tbl>
      <w:tblPr>
        <w:tblStyle w:val="18"/>
        <w:tblW w:w="87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37"/>
        <w:gridCol w:w="843"/>
        <w:gridCol w:w="222"/>
        <w:gridCol w:w="1038"/>
        <w:gridCol w:w="27"/>
        <w:gridCol w:w="1065"/>
        <w:gridCol w:w="168"/>
        <w:gridCol w:w="897"/>
        <w:gridCol w:w="543"/>
        <w:gridCol w:w="522"/>
        <w:gridCol w:w="378"/>
        <w:gridCol w:w="180"/>
        <w:gridCol w:w="508"/>
        <w:gridCol w:w="392"/>
        <w:gridCol w:w="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7" w:type="dxa"/>
            <w:gridSpan w:val="2"/>
            <w:vAlign w:val="center"/>
          </w:tcPr>
          <w:p>
            <w:pPr>
              <w:adjustRightInd w:val="0"/>
              <w:snapToGrid w:val="0"/>
              <w:spacing w:line="360" w:lineRule="auto"/>
              <w:rPr>
                <w:rFonts w:ascii="Times New Roman" w:hAnsi="Times New Roman" w:eastAsia="仿宋_GB2312" w:cs="Times New Roman"/>
                <w:szCs w:val="21"/>
              </w:rPr>
            </w:pPr>
            <w:r>
              <w:rPr>
                <w:rFonts w:ascii="Times New Roman" w:hAnsi="Times New Roman" w:eastAsia="仿宋_GB2312" w:cs="Times New Roman"/>
                <w:szCs w:val="21"/>
              </w:rPr>
              <w:t>学生姓名</w:t>
            </w:r>
          </w:p>
        </w:tc>
        <w:tc>
          <w:tcPr>
            <w:tcW w:w="1065"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065" w:type="dxa"/>
            <w:gridSpan w:val="2"/>
            <w:vAlign w:val="center"/>
          </w:tcPr>
          <w:p>
            <w:pPr>
              <w:adjustRightInd w:val="0"/>
              <w:snapToGrid w:val="0"/>
              <w:spacing w:line="360" w:lineRule="auto"/>
              <w:rPr>
                <w:rFonts w:ascii="Times New Roman" w:hAnsi="Times New Roman" w:eastAsia="仿宋_GB2312" w:cs="Times New Roman"/>
                <w:szCs w:val="21"/>
              </w:rPr>
            </w:pPr>
            <w:r>
              <w:rPr>
                <w:rFonts w:ascii="Times New Roman" w:hAnsi="Times New Roman" w:eastAsia="仿宋_GB2312" w:cs="Times New Roman"/>
                <w:szCs w:val="21"/>
              </w:rPr>
              <w:t>学号</w:t>
            </w:r>
          </w:p>
        </w:tc>
        <w:tc>
          <w:tcPr>
            <w:tcW w:w="1065" w:type="dxa"/>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065" w:type="dxa"/>
            <w:gridSpan w:val="2"/>
            <w:vAlign w:val="center"/>
          </w:tcPr>
          <w:p>
            <w:pPr>
              <w:adjustRightInd w:val="0"/>
              <w:snapToGrid w:val="0"/>
              <w:spacing w:line="360" w:lineRule="auto"/>
              <w:rPr>
                <w:rFonts w:ascii="Times New Roman" w:hAnsi="Times New Roman" w:eastAsia="仿宋_GB2312" w:cs="Times New Roman"/>
                <w:szCs w:val="21"/>
              </w:rPr>
            </w:pPr>
            <w:r>
              <w:rPr>
                <w:rFonts w:ascii="Times New Roman" w:hAnsi="Times New Roman" w:eastAsia="仿宋_GB2312" w:cs="Times New Roman"/>
                <w:szCs w:val="21"/>
              </w:rPr>
              <w:t>小组</w:t>
            </w:r>
          </w:p>
        </w:tc>
        <w:tc>
          <w:tcPr>
            <w:tcW w:w="1065"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066" w:type="dxa"/>
            <w:gridSpan w:val="3"/>
            <w:vAlign w:val="center"/>
          </w:tcPr>
          <w:p>
            <w:pPr>
              <w:adjustRightInd w:val="0"/>
              <w:snapToGrid w:val="0"/>
              <w:spacing w:line="360" w:lineRule="auto"/>
              <w:rPr>
                <w:rFonts w:ascii="Times New Roman" w:hAnsi="Times New Roman" w:eastAsia="仿宋_GB2312" w:cs="Times New Roman"/>
                <w:szCs w:val="21"/>
              </w:rPr>
            </w:pPr>
            <w:r>
              <w:rPr>
                <w:rFonts w:ascii="Times New Roman" w:hAnsi="Times New Roman" w:eastAsia="仿宋_GB2312" w:cs="Times New Roman"/>
                <w:szCs w:val="21"/>
              </w:rPr>
              <w:t>班级</w:t>
            </w:r>
          </w:p>
        </w:tc>
        <w:tc>
          <w:tcPr>
            <w:tcW w:w="1066"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774" w:type="dxa"/>
            <w:gridSpan w:val="16"/>
            <w:vAlign w:val="center"/>
          </w:tcPr>
          <w:p>
            <w:pPr>
              <w:adjustRightInd w:val="0"/>
              <w:snapToGrid w:val="0"/>
              <w:spacing w:beforeLines="50"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工作任务评价（60%）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adjustRightInd w:val="0"/>
              <w:snapToGrid w:val="0"/>
              <w:spacing w:line="360" w:lineRule="auto"/>
              <w:rPr>
                <w:rFonts w:ascii="Times New Roman" w:hAnsi="Times New Roman" w:eastAsia="仿宋_GB2312" w:cs="Times New Roman"/>
                <w:szCs w:val="21"/>
              </w:rPr>
            </w:pPr>
            <w:r>
              <w:rPr>
                <w:rFonts w:ascii="Times New Roman" w:hAnsi="Times New Roman" w:eastAsia="仿宋_GB2312" w:cs="Times New Roman"/>
                <w:szCs w:val="21"/>
              </w:rPr>
              <w:t>工作</w:t>
            </w:r>
          </w:p>
          <w:p>
            <w:pPr>
              <w:adjustRightInd w:val="0"/>
              <w:snapToGrid w:val="0"/>
              <w:spacing w:line="360" w:lineRule="auto"/>
              <w:rPr>
                <w:rFonts w:ascii="Times New Roman" w:hAnsi="Times New Roman" w:eastAsia="仿宋_GB2312" w:cs="Times New Roman"/>
                <w:szCs w:val="21"/>
              </w:rPr>
            </w:pPr>
            <w:r>
              <w:rPr>
                <w:rFonts w:ascii="Times New Roman" w:hAnsi="Times New Roman" w:eastAsia="仿宋_GB2312" w:cs="Times New Roman"/>
                <w:szCs w:val="21"/>
              </w:rPr>
              <w:t>任务</w:t>
            </w:r>
          </w:p>
        </w:tc>
        <w:tc>
          <w:tcPr>
            <w:tcW w:w="1080" w:type="dxa"/>
            <w:gridSpan w:val="2"/>
            <w:vAlign w:val="center"/>
          </w:tcPr>
          <w:p>
            <w:pPr>
              <w:adjustRightInd w:val="0"/>
              <w:snapToGrid w:val="0"/>
              <w:spacing w:line="360" w:lineRule="auto"/>
              <w:rPr>
                <w:rFonts w:ascii="Times New Roman" w:hAnsi="Times New Roman" w:eastAsia="仿宋_GB2312" w:cs="Times New Roman"/>
                <w:szCs w:val="21"/>
              </w:rPr>
            </w:pPr>
            <w:r>
              <w:rPr>
                <w:rFonts w:ascii="Times New Roman" w:hAnsi="Times New Roman" w:eastAsia="仿宋_GB2312" w:cs="Times New Roman"/>
                <w:szCs w:val="21"/>
              </w:rPr>
              <w:t>查阅资料</w:t>
            </w:r>
          </w:p>
          <w:p>
            <w:pPr>
              <w:adjustRightInd w:val="0"/>
              <w:snapToGrid w:val="0"/>
              <w:spacing w:line="360" w:lineRule="auto"/>
              <w:rPr>
                <w:rFonts w:ascii="Times New Roman" w:hAnsi="Times New Roman" w:eastAsia="仿宋_GB2312" w:cs="Times New Roman"/>
                <w:szCs w:val="21"/>
              </w:rPr>
            </w:pPr>
            <w:r>
              <w:rPr>
                <w:rFonts w:ascii="Times New Roman" w:hAnsi="Times New Roman" w:eastAsia="仿宋_GB2312" w:cs="Times New Roman"/>
                <w:szCs w:val="21"/>
              </w:rPr>
              <w:t>（10分）</w:t>
            </w:r>
          </w:p>
        </w:tc>
        <w:tc>
          <w:tcPr>
            <w:tcW w:w="1260" w:type="dxa"/>
            <w:gridSpan w:val="2"/>
            <w:vAlign w:val="center"/>
          </w:tcPr>
          <w:p>
            <w:pPr>
              <w:adjustRightInd w:val="0"/>
              <w:snapToGrid w:val="0"/>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知识点</w:t>
            </w:r>
          </w:p>
          <w:p>
            <w:pPr>
              <w:adjustRightInd w:val="0"/>
              <w:snapToGrid w:val="0"/>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训练</w:t>
            </w:r>
          </w:p>
          <w:p>
            <w:pPr>
              <w:adjustRightInd w:val="0"/>
              <w:snapToGrid w:val="0"/>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（10分）</w:t>
            </w:r>
          </w:p>
        </w:tc>
        <w:tc>
          <w:tcPr>
            <w:tcW w:w="1260" w:type="dxa"/>
            <w:gridSpan w:val="3"/>
            <w:vAlign w:val="center"/>
          </w:tcPr>
          <w:p>
            <w:pPr>
              <w:adjustRightInd w:val="0"/>
              <w:snapToGrid w:val="0"/>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计划方案拟定</w:t>
            </w:r>
          </w:p>
          <w:p>
            <w:pPr>
              <w:adjustRightInd w:val="0"/>
              <w:snapToGrid w:val="0"/>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（10分）</w:t>
            </w:r>
          </w:p>
        </w:tc>
        <w:tc>
          <w:tcPr>
            <w:tcW w:w="1440" w:type="dxa"/>
            <w:gridSpan w:val="2"/>
            <w:vAlign w:val="center"/>
          </w:tcPr>
          <w:p>
            <w:pPr>
              <w:adjustRightInd w:val="0"/>
              <w:snapToGrid w:val="0"/>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任务中承担的角色</w:t>
            </w:r>
          </w:p>
          <w:p>
            <w:pPr>
              <w:adjustRightInd w:val="0"/>
              <w:snapToGrid w:val="0"/>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（10分）</w:t>
            </w:r>
          </w:p>
        </w:tc>
        <w:tc>
          <w:tcPr>
            <w:tcW w:w="1080" w:type="dxa"/>
            <w:gridSpan w:val="3"/>
            <w:vAlign w:val="center"/>
          </w:tcPr>
          <w:p>
            <w:pPr>
              <w:adjustRightInd w:val="0"/>
              <w:snapToGrid w:val="0"/>
              <w:spacing w:line="360" w:lineRule="auto"/>
              <w:rPr>
                <w:rFonts w:ascii="Times New Roman" w:hAnsi="Times New Roman" w:eastAsia="仿宋_GB2312" w:cs="Times New Roman"/>
                <w:szCs w:val="21"/>
              </w:rPr>
            </w:pPr>
            <w:r>
              <w:rPr>
                <w:rFonts w:ascii="Times New Roman" w:hAnsi="Times New Roman" w:eastAsia="仿宋_GB2312" w:cs="Times New Roman"/>
                <w:szCs w:val="21"/>
              </w:rPr>
              <w:t>任务成果</w:t>
            </w:r>
          </w:p>
          <w:p>
            <w:pPr>
              <w:adjustRightInd w:val="0"/>
              <w:snapToGrid w:val="0"/>
              <w:spacing w:line="360" w:lineRule="auto"/>
              <w:rPr>
                <w:rFonts w:ascii="Times New Roman" w:hAnsi="Times New Roman" w:eastAsia="仿宋_GB2312" w:cs="Times New Roman"/>
                <w:szCs w:val="21"/>
              </w:rPr>
            </w:pPr>
            <w:r>
              <w:rPr>
                <w:rFonts w:ascii="Times New Roman" w:hAnsi="Times New Roman" w:eastAsia="仿宋_GB2312" w:cs="Times New Roman"/>
                <w:szCs w:val="21"/>
              </w:rPr>
              <w:t>（60分）</w:t>
            </w:r>
          </w:p>
        </w:tc>
        <w:tc>
          <w:tcPr>
            <w:tcW w:w="900" w:type="dxa"/>
            <w:gridSpan w:val="2"/>
            <w:vAlign w:val="center"/>
          </w:tcPr>
          <w:p>
            <w:pPr>
              <w:adjustRightInd w:val="0"/>
              <w:snapToGrid w:val="0"/>
              <w:spacing w:line="360" w:lineRule="auto"/>
              <w:rPr>
                <w:rFonts w:ascii="Times New Roman" w:hAnsi="Times New Roman" w:eastAsia="仿宋_GB2312" w:cs="Times New Roman"/>
                <w:szCs w:val="21"/>
              </w:rPr>
            </w:pPr>
            <w:r>
              <w:rPr>
                <w:rFonts w:ascii="Times New Roman" w:hAnsi="Times New Roman" w:eastAsia="仿宋_GB2312" w:cs="Times New Roman"/>
                <w:szCs w:val="21"/>
              </w:rPr>
              <w:t>评价人</w:t>
            </w:r>
          </w:p>
        </w:tc>
        <w:tc>
          <w:tcPr>
            <w:tcW w:w="674" w:type="dxa"/>
            <w:vAlign w:val="center"/>
          </w:tcPr>
          <w:p>
            <w:pPr>
              <w:adjustRightInd w:val="0"/>
              <w:snapToGrid w:val="0"/>
              <w:spacing w:line="360" w:lineRule="auto"/>
              <w:rPr>
                <w:rFonts w:ascii="Times New Roman" w:hAnsi="Times New Roman" w:eastAsia="仿宋_GB2312" w:cs="Times New Roman"/>
                <w:szCs w:val="21"/>
              </w:rPr>
            </w:pPr>
            <w:r>
              <w:rPr>
                <w:rFonts w:ascii="Times New Roman" w:hAnsi="Times New Roman" w:eastAsia="仿宋_GB2312" w:cs="Times New Roman"/>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adjustRightInd w:val="0"/>
              <w:snapToGrid w:val="0"/>
              <w:spacing w:line="360" w:lineRule="auto"/>
              <w:rPr>
                <w:rFonts w:ascii="Times New Roman" w:hAnsi="Times New Roman" w:eastAsia="仿宋_GB2312" w:cs="Times New Roman"/>
                <w:szCs w:val="21"/>
              </w:rPr>
            </w:pPr>
            <w:r>
              <w:rPr>
                <w:rFonts w:ascii="Times New Roman" w:hAnsi="Times New Roman" w:eastAsia="仿宋_GB2312" w:cs="Times New Roman"/>
                <w:szCs w:val="21"/>
              </w:rPr>
              <w:t>任务1</w:t>
            </w:r>
          </w:p>
        </w:tc>
        <w:tc>
          <w:tcPr>
            <w:tcW w:w="108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26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260" w:type="dxa"/>
            <w:gridSpan w:val="3"/>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44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080" w:type="dxa"/>
            <w:gridSpan w:val="3"/>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90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674" w:type="dxa"/>
            <w:vAlign w:val="center"/>
          </w:tcPr>
          <w:p>
            <w:pPr>
              <w:adjustRightInd w:val="0"/>
              <w:snapToGrid w:val="0"/>
              <w:spacing w:line="360" w:lineRule="auto"/>
              <w:ind w:firstLine="420" w:firstLineChars="200"/>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adjustRightInd w:val="0"/>
              <w:snapToGrid w:val="0"/>
              <w:spacing w:line="360" w:lineRule="auto"/>
              <w:rPr>
                <w:rFonts w:ascii="Times New Roman" w:hAnsi="Times New Roman" w:eastAsia="仿宋_GB2312" w:cs="Times New Roman"/>
                <w:szCs w:val="21"/>
              </w:rPr>
            </w:pPr>
            <w:r>
              <w:rPr>
                <w:rFonts w:ascii="Times New Roman" w:hAnsi="Times New Roman" w:eastAsia="仿宋_GB2312" w:cs="Times New Roman"/>
                <w:szCs w:val="21"/>
              </w:rPr>
              <w:t>任务2</w:t>
            </w:r>
          </w:p>
        </w:tc>
        <w:tc>
          <w:tcPr>
            <w:tcW w:w="108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26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260" w:type="dxa"/>
            <w:gridSpan w:val="3"/>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44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080" w:type="dxa"/>
            <w:gridSpan w:val="3"/>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90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674" w:type="dxa"/>
            <w:vAlign w:val="center"/>
          </w:tcPr>
          <w:p>
            <w:pPr>
              <w:adjustRightInd w:val="0"/>
              <w:snapToGrid w:val="0"/>
              <w:spacing w:line="360" w:lineRule="auto"/>
              <w:ind w:firstLine="420" w:firstLineChars="200"/>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adjustRightInd w:val="0"/>
              <w:snapToGrid w:val="0"/>
              <w:spacing w:line="360" w:lineRule="auto"/>
              <w:rPr>
                <w:rFonts w:ascii="Times New Roman" w:hAnsi="Times New Roman" w:eastAsia="仿宋_GB2312" w:cs="Times New Roman"/>
                <w:szCs w:val="21"/>
              </w:rPr>
            </w:pPr>
            <w:r>
              <w:rPr>
                <w:rFonts w:ascii="Times New Roman" w:hAnsi="Times New Roman" w:eastAsia="仿宋_GB2312" w:cs="Times New Roman"/>
                <w:szCs w:val="21"/>
              </w:rPr>
              <w:t>任务3</w:t>
            </w:r>
          </w:p>
        </w:tc>
        <w:tc>
          <w:tcPr>
            <w:tcW w:w="108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26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260" w:type="dxa"/>
            <w:gridSpan w:val="3"/>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44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080" w:type="dxa"/>
            <w:gridSpan w:val="3"/>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90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674" w:type="dxa"/>
            <w:vAlign w:val="center"/>
          </w:tcPr>
          <w:p>
            <w:pPr>
              <w:adjustRightInd w:val="0"/>
              <w:snapToGrid w:val="0"/>
              <w:spacing w:line="360" w:lineRule="auto"/>
              <w:ind w:firstLine="420" w:firstLineChars="200"/>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adjustRightInd w:val="0"/>
              <w:snapToGrid w:val="0"/>
              <w:spacing w:line="360" w:lineRule="auto"/>
              <w:rPr>
                <w:rFonts w:ascii="Times New Roman" w:hAnsi="Times New Roman" w:eastAsia="仿宋_GB2312" w:cs="Times New Roman"/>
                <w:szCs w:val="21"/>
              </w:rPr>
            </w:pPr>
            <w:r>
              <w:rPr>
                <w:rFonts w:ascii="Times New Roman" w:hAnsi="Times New Roman" w:eastAsia="仿宋_GB2312" w:cs="Times New Roman"/>
                <w:szCs w:val="21"/>
              </w:rPr>
              <w:t>任务4</w:t>
            </w:r>
          </w:p>
        </w:tc>
        <w:tc>
          <w:tcPr>
            <w:tcW w:w="108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26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260" w:type="dxa"/>
            <w:gridSpan w:val="3"/>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44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080" w:type="dxa"/>
            <w:gridSpan w:val="3"/>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90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674" w:type="dxa"/>
            <w:vAlign w:val="center"/>
          </w:tcPr>
          <w:p>
            <w:pPr>
              <w:adjustRightInd w:val="0"/>
              <w:snapToGrid w:val="0"/>
              <w:spacing w:line="360" w:lineRule="auto"/>
              <w:ind w:firstLine="420" w:firstLineChars="200"/>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adjustRightInd w:val="0"/>
              <w:snapToGrid w:val="0"/>
              <w:spacing w:line="360" w:lineRule="auto"/>
              <w:ind w:firstLine="420" w:firstLineChars="200"/>
              <w:rPr>
                <w:rFonts w:ascii="Times New Roman" w:hAnsi="Times New Roman" w:eastAsia="仿宋_GB2312" w:cs="Times New Roman"/>
                <w:szCs w:val="21"/>
              </w:rPr>
            </w:pPr>
            <w:r>
              <w:rPr>
                <w:rFonts w:ascii="Times New Roman" w:hAnsi="Times New Roman" w:eastAsia="仿宋_GB2312" w:cs="Times New Roman"/>
                <w:szCs w:val="21"/>
              </w:rPr>
              <w:t>…</w:t>
            </w:r>
          </w:p>
        </w:tc>
        <w:tc>
          <w:tcPr>
            <w:tcW w:w="108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26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260" w:type="dxa"/>
            <w:gridSpan w:val="3"/>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44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080" w:type="dxa"/>
            <w:gridSpan w:val="3"/>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90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674" w:type="dxa"/>
            <w:vAlign w:val="center"/>
          </w:tcPr>
          <w:p>
            <w:pPr>
              <w:adjustRightInd w:val="0"/>
              <w:snapToGrid w:val="0"/>
              <w:spacing w:line="360" w:lineRule="auto"/>
              <w:ind w:firstLine="420" w:firstLineChars="200"/>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pPr>
              <w:adjustRightInd w:val="0"/>
              <w:snapToGrid w:val="0"/>
              <w:spacing w:line="360" w:lineRule="auto"/>
              <w:rPr>
                <w:rFonts w:ascii="Times New Roman" w:hAnsi="Times New Roman" w:eastAsia="仿宋_GB2312" w:cs="Times New Roman"/>
                <w:szCs w:val="21"/>
              </w:rPr>
            </w:pPr>
            <w:r>
              <w:rPr>
                <w:rFonts w:ascii="Times New Roman" w:hAnsi="Times New Roman" w:eastAsia="仿宋_GB2312" w:cs="Times New Roman"/>
                <w:szCs w:val="21"/>
              </w:rPr>
              <w:t>任务18</w:t>
            </w:r>
          </w:p>
        </w:tc>
        <w:tc>
          <w:tcPr>
            <w:tcW w:w="108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26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260" w:type="dxa"/>
            <w:gridSpan w:val="3"/>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44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080" w:type="dxa"/>
            <w:gridSpan w:val="3"/>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90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674" w:type="dxa"/>
            <w:vAlign w:val="center"/>
          </w:tcPr>
          <w:p>
            <w:pPr>
              <w:adjustRightInd w:val="0"/>
              <w:snapToGrid w:val="0"/>
              <w:spacing w:line="360" w:lineRule="auto"/>
              <w:ind w:firstLine="420" w:firstLineChars="200"/>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8774" w:type="dxa"/>
            <w:gridSpan w:val="16"/>
            <w:vAlign w:val="center"/>
          </w:tcPr>
          <w:p>
            <w:pPr>
              <w:adjustRightInd w:val="0"/>
              <w:snapToGrid w:val="0"/>
              <w:spacing w:beforeLines="50"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阶段评价（20%）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gridSpan w:val="3"/>
            <w:vAlign w:val="center"/>
          </w:tcPr>
          <w:p>
            <w:pPr>
              <w:adjustRightInd w:val="0"/>
              <w:snapToGrid w:val="0"/>
              <w:spacing w:beforeLines="50"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理论考试（50分）</w:t>
            </w:r>
          </w:p>
        </w:tc>
        <w:tc>
          <w:tcPr>
            <w:tcW w:w="2352" w:type="dxa"/>
            <w:gridSpan w:val="4"/>
            <w:vAlign w:val="center"/>
          </w:tcPr>
          <w:p>
            <w:pPr>
              <w:adjustRightInd w:val="0"/>
              <w:snapToGrid w:val="0"/>
              <w:spacing w:beforeLines="50" w:line="360" w:lineRule="auto"/>
              <w:ind w:firstLine="420" w:firstLineChars="200"/>
              <w:rPr>
                <w:rFonts w:ascii="Times New Roman" w:hAnsi="Times New Roman" w:eastAsia="仿宋_GB2312" w:cs="Times New Roman"/>
                <w:szCs w:val="21"/>
              </w:rPr>
            </w:pPr>
          </w:p>
        </w:tc>
        <w:tc>
          <w:tcPr>
            <w:tcW w:w="2508" w:type="dxa"/>
            <w:gridSpan w:val="5"/>
            <w:vAlign w:val="center"/>
          </w:tcPr>
          <w:p>
            <w:pPr>
              <w:adjustRightInd w:val="0"/>
              <w:snapToGrid w:val="0"/>
              <w:spacing w:beforeLines="50" w:line="360" w:lineRule="auto"/>
              <w:rPr>
                <w:rFonts w:ascii="Times New Roman" w:hAnsi="Times New Roman" w:eastAsia="仿宋_GB2312" w:cs="Times New Roman"/>
                <w:szCs w:val="21"/>
              </w:rPr>
            </w:pPr>
            <w:r>
              <w:rPr>
                <w:rFonts w:ascii="Times New Roman" w:hAnsi="Times New Roman" w:eastAsia="仿宋_GB2312" w:cs="Times New Roman"/>
                <w:szCs w:val="21"/>
              </w:rPr>
              <w:t>实践考试（50分）</w:t>
            </w:r>
          </w:p>
        </w:tc>
        <w:tc>
          <w:tcPr>
            <w:tcW w:w="1754" w:type="dxa"/>
            <w:gridSpan w:val="4"/>
            <w:vAlign w:val="center"/>
          </w:tcPr>
          <w:p>
            <w:pPr>
              <w:adjustRightInd w:val="0"/>
              <w:snapToGrid w:val="0"/>
              <w:spacing w:line="360" w:lineRule="auto"/>
              <w:ind w:firstLine="420" w:firstLineChars="200"/>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8774" w:type="dxa"/>
            <w:gridSpan w:val="16"/>
            <w:vAlign w:val="center"/>
          </w:tcPr>
          <w:p>
            <w:pPr>
              <w:adjustRightInd w:val="0"/>
              <w:snapToGrid w:val="0"/>
              <w:spacing w:beforeLines="50"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期末考试综合评价（20%）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gridSpan w:val="3"/>
            <w:vAlign w:val="center"/>
          </w:tcPr>
          <w:p>
            <w:pPr>
              <w:adjustRightInd w:val="0"/>
              <w:snapToGrid w:val="0"/>
              <w:spacing w:beforeLines="50"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总分（100分）</w:t>
            </w:r>
          </w:p>
        </w:tc>
        <w:tc>
          <w:tcPr>
            <w:tcW w:w="6614" w:type="dxa"/>
            <w:gridSpan w:val="13"/>
            <w:vAlign w:val="center"/>
          </w:tcPr>
          <w:p>
            <w:pPr>
              <w:adjustRightInd w:val="0"/>
              <w:snapToGrid w:val="0"/>
              <w:spacing w:line="360" w:lineRule="auto"/>
              <w:rPr>
                <w:rFonts w:ascii="Times New Roman" w:hAnsi="Times New Roman" w:eastAsia="仿宋_GB2312"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gridSpan w:val="3"/>
            <w:vAlign w:val="center"/>
          </w:tcPr>
          <w:p>
            <w:pPr>
              <w:adjustRightInd w:val="0"/>
              <w:snapToGrid w:val="0"/>
              <w:spacing w:beforeLines="50"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学生最终成绩</w:t>
            </w:r>
          </w:p>
        </w:tc>
        <w:tc>
          <w:tcPr>
            <w:tcW w:w="6614" w:type="dxa"/>
            <w:gridSpan w:val="13"/>
            <w:vAlign w:val="center"/>
          </w:tcPr>
          <w:p>
            <w:pPr>
              <w:adjustRightInd w:val="0"/>
              <w:snapToGrid w:val="0"/>
              <w:spacing w:line="360" w:lineRule="auto"/>
              <w:rPr>
                <w:rFonts w:ascii="Times New Roman" w:hAnsi="Times New Roman" w:eastAsia="仿宋_GB2312" w:cs="Times New Roman"/>
                <w:szCs w:val="21"/>
              </w:rPr>
            </w:pPr>
          </w:p>
        </w:tc>
      </w:tr>
    </w:tbl>
    <w:p>
      <w:pPr>
        <w:pStyle w:val="3"/>
        <w:ind w:firstLine="480" w:firstLineChars="150"/>
        <w:rPr>
          <w:b w:val="0"/>
        </w:rPr>
      </w:pPr>
      <w:bookmarkStart w:id="19" w:name="_Toc19443"/>
      <w:bookmarkStart w:id="20" w:name="_Toc17278746"/>
      <w:r>
        <w:rPr>
          <w:rFonts w:hint="eastAsia"/>
          <w:b w:val="0"/>
        </w:rPr>
        <w:t>九、毕业要求</w:t>
      </w:r>
      <w:bookmarkEnd w:id="19"/>
      <w:bookmarkEnd w:id="20"/>
    </w:p>
    <w:p>
      <w:pPr>
        <w:spacing w:line="360" w:lineRule="auto"/>
        <w:ind w:firstLine="300" w:firstLineChars="100"/>
        <w:rPr>
          <w:rFonts w:ascii="黑体" w:hAnsi="黑体" w:eastAsia="黑体" w:cs="黑体"/>
          <w:bCs/>
          <w:sz w:val="30"/>
          <w:szCs w:val="30"/>
        </w:rPr>
      </w:pPr>
      <w:r>
        <w:rPr>
          <w:rFonts w:hint="eastAsia" w:ascii="黑体" w:hAnsi="黑体" w:eastAsia="黑体" w:cs="黑体"/>
          <w:bCs/>
          <w:sz w:val="30"/>
          <w:szCs w:val="30"/>
        </w:rPr>
        <w:t>（一）学分要求：</w:t>
      </w:r>
    </w:p>
    <w:tbl>
      <w:tblPr>
        <w:tblStyle w:val="18"/>
        <w:tblW w:w="780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714"/>
        <w:gridCol w:w="705"/>
        <w:gridCol w:w="795"/>
        <w:gridCol w:w="506"/>
        <w:gridCol w:w="704"/>
        <w:gridCol w:w="540"/>
        <w:gridCol w:w="900"/>
        <w:gridCol w:w="900"/>
        <w:gridCol w:w="10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7800" w:type="dxa"/>
            <w:gridSpan w:val="9"/>
            <w:tcBorders>
              <w:top w:val="nil"/>
              <w:left w:val="nil"/>
              <w:bottom w:val="single" w:color="000000" w:sz="6" w:space="0"/>
              <w:right w:val="nil"/>
            </w:tcBorders>
            <w:vAlign w:val="center"/>
          </w:tcPr>
          <w:p>
            <w:pPr>
              <w:spacing w:line="360" w:lineRule="auto"/>
              <w:jc w:val="center"/>
              <w:rPr>
                <w:rFonts w:ascii="宋体" w:hAnsi="宋体" w:eastAsia="宋体" w:cs="Times New Roman"/>
                <w:b/>
                <w:color w:val="000000" w:themeColor="text1"/>
                <w:sz w:val="28"/>
                <w:szCs w:val="28"/>
              </w:rPr>
            </w:pPr>
            <w:r>
              <w:rPr>
                <w:rFonts w:hint="eastAsia" w:ascii="宋体" w:hAnsi="宋体" w:eastAsia="宋体" w:cs="Times New Roman"/>
                <w:b/>
                <w:color w:val="000000" w:themeColor="text1"/>
                <w:sz w:val="28"/>
                <w:szCs w:val="28"/>
              </w:rPr>
              <w:t>毕业学分要求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33" w:hRule="atLeast"/>
          <w:jc w:val="center"/>
        </w:trPr>
        <w:tc>
          <w:tcPr>
            <w:tcW w:w="1714" w:type="dxa"/>
            <w:vMerge w:val="restart"/>
            <w:tcBorders>
              <w:top w:val="single" w:color="000000" w:sz="6" w:space="0"/>
              <w:left w:val="single" w:color="000000" w:sz="6" w:space="0"/>
              <w:right w:val="single" w:color="000000" w:sz="6" w:space="0"/>
            </w:tcBorders>
            <w:vAlign w:val="center"/>
          </w:tcPr>
          <w:p>
            <w:pPr>
              <w:spacing w:line="360" w:lineRule="auto"/>
              <w:jc w:val="center"/>
              <w:rPr>
                <w:rFonts w:cs="Times New Roman" w:asciiTheme="minorEastAsia" w:hAnsiTheme="minorEastAsia"/>
                <w:b/>
                <w:color w:val="000000" w:themeColor="text1"/>
                <w:szCs w:val="21"/>
              </w:rPr>
            </w:pPr>
            <w:r>
              <w:rPr>
                <w:rFonts w:cs="Times New Roman" w:asciiTheme="minorEastAsia" w:hAnsiTheme="minorEastAsia"/>
                <w:b/>
                <w:color w:val="000000" w:themeColor="text1"/>
                <w:szCs w:val="21"/>
              </w:rPr>
              <w:t>课程类别</w:t>
            </w:r>
          </w:p>
        </w:tc>
        <w:tc>
          <w:tcPr>
            <w:tcW w:w="705" w:type="dxa"/>
            <w:vMerge w:val="restart"/>
            <w:tcBorders>
              <w:top w:val="single" w:color="000000" w:sz="6" w:space="0"/>
              <w:left w:val="single" w:color="000000" w:sz="6" w:space="0"/>
              <w:right w:val="single" w:color="000000" w:sz="6" w:space="0"/>
            </w:tcBorders>
            <w:vAlign w:val="center"/>
          </w:tcPr>
          <w:p>
            <w:pPr>
              <w:spacing w:line="360" w:lineRule="auto"/>
              <w:jc w:val="center"/>
              <w:rPr>
                <w:rFonts w:cs="Times New Roman" w:asciiTheme="minorEastAsia" w:hAnsiTheme="minorEastAsia"/>
                <w:b/>
                <w:color w:val="000000" w:themeColor="text1"/>
                <w:szCs w:val="21"/>
              </w:rPr>
            </w:pPr>
            <w:r>
              <w:rPr>
                <w:rFonts w:cs="Times New Roman" w:asciiTheme="minorEastAsia" w:hAnsiTheme="minorEastAsia"/>
                <w:b/>
                <w:color w:val="000000" w:themeColor="text1"/>
                <w:szCs w:val="21"/>
              </w:rPr>
              <w:t>门数</w:t>
            </w:r>
          </w:p>
        </w:tc>
        <w:tc>
          <w:tcPr>
            <w:tcW w:w="2545" w:type="dxa"/>
            <w:gridSpan w:val="4"/>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cs="Times New Roman" w:asciiTheme="minorEastAsia" w:hAnsiTheme="minorEastAsia"/>
                <w:b/>
                <w:color w:val="000000" w:themeColor="text1"/>
                <w:szCs w:val="21"/>
              </w:rPr>
            </w:pPr>
            <w:r>
              <w:rPr>
                <w:rFonts w:cs="Times New Roman" w:asciiTheme="minorEastAsia" w:hAnsiTheme="minorEastAsia"/>
                <w:b/>
                <w:color w:val="000000" w:themeColor="text1"/>
                <w:szCs w:val="21"/>
              </w:rPr>
              <w:t>学分</w:t>
            </w:r>
          </w:p>
        </w:tc>
        <w:tc>
          <w:tcPr>
            <w:tcW w:w="2836" w:type="dxa"/>
            <w:gridSpan w:val="3"/>
            <w:tcBorders>
              <w:top w:val="single" w:color="000000" w:sz="6" w:space="0"/>
              <w:left w:val="single" w:color="000000" w:sz="6" w:space="0"/>
              <w:right w:val="single" w:color="000000" w:sz="6" w:space="0"/>
            </w:tcBorders>
            <w:vAlign w:val="center"/>
          </w:tcPr>
          <w:p>
            <w:pPr>
              <w:spacing w:line="360" w:lineRule="auto"/>
              <w:jc w:val="center"/>
              <w:rPr>
                <w:rFonts w:cs="Times New Roman" w:asciiTheme="minorEastAsia" w:hAnsiTheme="minorEastAsia"/>
                <w:b/>
                <w:color w:val="000000" w:themeColor="text1"/>
                <w:szCs w:val="21"/>
              </w:rPr>
            </w:pPr>
            <w:r>
              <w:rPr>
                <w:rFonts w:hint="eastAsia" w:cs="Times New Roman" w:asciiTheme="minorEastAsia" w:hAnsiTheme="minorEastAsia"/>
                <w:b/>
                <w:color w:val="000000" w:themeColor="text1"/>
                <w:szCs w:val="21"/>
              </w:rPr>
              <w:t>学分比例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32" w:hRule="atLeast"/>
          <w:jc w:val="center"/>
        </w:trPr>
        <w:tc>
          <w:tcPr>
            <w:tcW w:w="1714" w:type="dxa"/>
            <w:vMerge w:val="continue"/>
            <w:tcBorders>
              <w:left w:val="single" w:color="000000" w:sz="6" w:space="0"/>
              <w:bottom w:val="single" w:color="000000" w:sz="6" w:space="0"/>
              <w:right w:val="single" w:color="000000" w:sz="6" w:space="0"/>
            </w:tcBorders>
            <w:vAlign w:val="center"/>
          </w:tcPr>
          <w:p>
            <w:pPr>
              <w:spacing w:line="360" w:lineRule="auto"/>
              <w:jc w:val="center"/>
              <w:rPr>
                <w:rFonts w:cs="Times New Roman" w:asciiTheme="minorEastAsia" w:hAnsiTheme="minorEastAsia"/>
                <w:b/>
                <w:color w:val="000000" w:themeColor="text1"/>
                <w:szCs w:val="21"/>
              </w:rPr>
            </w:pPr>
          </w:p>
        </w:tc>
        <w:tc>
          <w:tcPr>
            <w:tcW w:w="705" w:type="dxa"/>
            <w:vMerge w:val="continue"/>
            <w:tcBorders>
              <w:left w:val="single" w:color="000000" w:sz="6" w:space="0"/>
              <w:bottom w:val="single" w:color="000000" w:sz="6" w:space="0"/>
              <w:right w:val="single" w:color="000000" w:sz="6" w:space="0"/>
            </w:tcBorders>
            <w:vAlign w:val="center"/>
          </w:tcPr>
          <w:p>
            <w:pPr>
              <w:spacing w:line="360" w:lineRule="auto"/>
              <w:jc w:val="center"/>
              <w:rPr>
                <w:rFonts w:cs="Times New Roman" w:asciiTheme="minorEastAsia" w:hAnsiTheme="minorEastAsia"/>
                <w:b/>
                <w:color w:val="000000" w:themeColor="text1"/>
                <w:szCs w:val="21"/>
              </w:rPr>
            </w:pPr>
          </w:p>
        </w:tc>
        <w:tc>
          <w:tcPr>
            <w:tcW w:w="795"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cs="Times New Roman" w:asciiTheme="minorEastAsia" w:hAnsiTheme="minorEastAsia"/>
                <w:b/>
                <w:color w:val="000000" w:themeColor="text1"/>
                <w:szCs w:val="21"/>
              </w:rPr>
            </w:pPr>
            <w:r>
              <w:rPr>
                <w:rFonts w:hint="eastAsia" w:cs="Times New Roman" w:asciiTheme="minorEastAsia" w:hAnsiTheme="minorEastAsia"/>
                <w:b/>
                <w:color w:val="000000" w:themeColor="text1"/>
                <w:szCs w:val="21"/>
              </w:rPr>
              <w:t>小计</w:t>
            </w:r>
          </w:p>
        </w:tc>
        <w:tc>
          <w:tcPr>
            <w:tcW w:w="506"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cs="Times New Roman" w:asciiTheme="minorEastAsia" w:hAnsiTheme="minorEastAsia"/>
                <w:b/>
                <w:color w:val="000000" w:themeColor="text1"/>
                <w:szCs w:val="21"/>
              </w:rPr>
            </w:pPr>
            <w:r>
              <w:rPr>
                <w:rFonts w:hint="eastAsia" w:cs="Times New Roman" w:asciiTheme="minorEastAsia" w:hAnsiTheme="minorEastAsia"/>
                <w:b/>
                <w:color w:val="000000" w:themeColor="text1"/>
                <w:szCs w:val="21"/>
              </w:rPr>
              <w:t>A</w:t>
            </w:r>
          </w:p>
        </w:tc>
        <w:tc>
          <w:tcPr>
            <w:tcW w:w="704"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cs="Times New Roman" w:asciiTheme="minorEastAsia" w:hAnsiTheme="minorEastAsia"/>
                <w:b/>
                <w:color w:val="000000" w:themeColor="text1"/>
                <w:szCs w:val="21"/>
              </w:rPr>
            </w:pPr>
            <w:r>
              <w:rPr>
                <w:rFonts w:hint="eastAsia" w:cs="Times New Roman" w:asciiTheme="minorEastAsia" w:hAnsiTheme="minorEastAsia"/>
                <w:b/>
                <w:color w:val="000000" w:themeColor="text1"/>
                <w:szCs w:val="21"/>
              </w:rPr>
              <w:t>B</w:t>
            </w:r>
          </w:p>
        </w:tc>
        <w:tc>
          <w:tcPr>
            <w:tcW w:w="540"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cs="Times New Roman" w:asciiTheme="minorEastAsia" w:hAnsiTheme="minorEastAsia"/>
                <w:b/>
                <w:color w:val="000000" w:themeColor="text1"/>
                <w:szCs w:val="21"/>
              </w:rPr>
            </w:pPr>
            <w:r>
              <w:rPr>
                <w:rFonts w:hint="eastAsia" w:cs="Times New Roman" w:asciiTheme="minorEastAsia" w:hAnsiTheme="minorEastAsia"/>
                <w:b/>
                <w:color w:val="000000" w:themeColor="text1"/>
                <w:szCs w:val="21"/>
              </w:rPr>
              <w:t>C</w:t>
            </w:r>
          </w:p>
        </w:tc>
        <w:tc>
          <w:tcPr>
            <w:tcW w:w="900" w:type="dxa"/>
            <w:tcBorders>
              <w:left w:val="single" w:color="000000" w:sz="6" w:space="0"/>
              <w:bottom w:val="single" w:color="000000" w:sz="6" w:space="0"/>
              <w:right w:val="single" w:color="000000" w:sz="6" w:space="0"/>
            </w:tcBorders>
            <w:vAlign w:val="center"/>
          </w:tcPr>
          <w:p>
            <w:pPr>
              <w:spacing w:line="360" w:lineRule="auto"/>
              <w:jc w:val="center"/>
              <w:rPr>
                <w:rFonts w:cs="Times New Roman" w:asciiTheme="minorEastAsia" w:hAnsiTheme="minorEastAsia"/>
                <w:b/>
                <w:color w:val="000000" w:themeColor="text1"/>
                <w:szCs w:val="21"/>
              </w:rPr>
            </w:pPr>
            <w:r>
              <w:rPr>
                <w:rFonts w:hint="eastAsia" w:cs="Times New Roman" w:asciiTheme="minorEastAsia" w:hAnsiTheme="minorEastAsia"/>
                <w:b/>
                <w:color w:val="000000" w:themeColor="text1"/>
                <w:szCs w:val="21"/>
              </w:rPr>
              <w:t>A</w:t>
            </w:r>
          </w:p>
        </w:tc>
        <w:tc>
          <w:tcPr>
            <w:tcW w:w="900" w:type="dxa"/>
            <w:tcBorders>
              <w:left w:val="single" w:color="000000" w:sz="6" w:space="0"/>
              <w:bottom w:val="single" w:color="000000" w:sz="6" w:space="0"/>
              <w:right w:val="single" w:color="000000" w:sz="6" w:space="0"/>
            </w:tcBorders>
            <w:vAlign w:val="center"/>
          </w:tcPr>
          <w:p>
            <w:pPr>
              <w:spacing w:line="360" w:lineRule="auto"/>
              <w:jc w:val="center"/>
              <w:rPr>
                <w:rFonts w:cs="Times New Roman" w:asciiTheme="minorEastAsia" w:hAnsiTheme="minorEastAsia"/>
                <w:b/>
                <w:color w:val="000000" w:themeColor="text1"/>
                <w:szCs w:val="21"/>
              </w:rPr>
            </w:pPr>
            <w:r>
              <w:rPr>
                <w:rFonts w:hint="eastAsia" w:cs="Times New Roman" w:asciiTheme="minorEastAsia" w:hAnsiTheme="minorEastAsia"/>
                <w:b/>
                <w:color w:val="000000" w:themeColor="text1"/>
                <w:szCs w:val="21"/>
              </w:rPr>
              <w:t>B</w:t>
            </w:r>
          </w:p>
        </w:tc>
        <w:tc>
          <w:tcPr>
            <w:tcW w:w="1036" w:type="dxa"/>
            <w:tcBorders>
              <w:left w:val="single" w:color="000000" w:sz="6" w:space="0"/>
              <w:bottom w:val="single" w:color="000000" w:sz="6" w:space="0"/>
              <w:right w:val="single" w:color="000000" w:sz="6" w:space="0"/>
            </w:tcBorders>
            <w:vAlign w:val="center"/>
          </w:tcPr>
          <w:p>
            <w:pPr>
              <w:spacing w:line="360" w:lineRule="auto"/>
              <w:jc w:val="center"/>
              <w:rPr>
                <w:rFonts w:cs="Times New Roman" w:asciiTheme="minorEastAsia" w:hAnsiTheme="minorEastAsia"/>
                <w:b/>
                <w:color w:val="000000" w:themeColor="text1"/>
                <w:szCs w:val="21"/>
              </w:rPr>
            </w:pPr>
            <w:r>
              <w:rPr>
                <w:rFonts w:hint="eastAsia" w:cs="Times New Roman" w:asciiTheme="minorEastAsia" w:hAnsiTheme="minorEastAsia"/>
                <w:b/>
                <w:color w:val="000000" w:themeColor="text1"/>
                <w:szCs w:val="21"/>
              </w:rPr>
              <w:t>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40" w:hRule="atLeast"/>
          <w:jc w:val="center"/>
        </w:trPr>
        <w:tc>
          <w:tcPr>
            <w:tcW w:w="1714" w:type="dxa"/>
            <w:tcBorders>
              <w:top w:val="single" w:color="000000" w:sz="6" w:space="0"/>
              <w:left w:val="single" w:color="auto" w:sz="4" w:space="0"/>
            </w:tcBorders>
            <w:vAlign w:val="center"/>
          </w:tcPr>
          <w:p>
            <w:pPr>
              <w:spacing w:line="360" w:lineRule="auto"/>
              <w:jc w:val="center"/>
              <w:rPr>
                <w:rFonts w:cs="Times New Roman" w:asciiTheme="minorEastAsia" w:hAnsiTheme="minorEastAsia"/>
                <w:b/>
                <w:color w:val="000000" w:themeColor="text1"/>
                <w:szCs w:val="21"/>
              </w:rPr>
            </w:pPr>
            <w:r>
              <w:rPr>
                <w:rFonts w:hint="eastAsia" w:cs="Times New Roman" w:asciiTheme="minorEastAsia" w:hAnsiTheme="minorEastAsia"/>
                <w:b/>
                <w:color w:val="000000" w:themeColor="text1"/>
                <w:szCs w:val="21"/>
              </w:rPr>
              <w:t>公共基础课程</w:t>
            </w:r>
          </w:p>
        </w:tc>
        <w:tc>
          <w:tcPr>
            <w:tcW w:w="705" w:type="dxa"/>
            <w:tcBorders>
              <w:top w:val="single" w:color="000000" w:sz="6" w:space="0"/>
            </w:tcBorders>
            <w:vAlign w:val="center"/>
          </w:tcPr>
          <w:p>
            <w:pPr>
              <w:spacing w:line="360" w:lineRule="auto"/>
              <w:jc w:val="center"/>
              <w:rPr>
                <w:rFonts w:cs="Times New Roman" w:asciiTheme="minorEastAsia" w:hAnsiTheme="minorEastAsia"/>
                <w:color w:val="000000" w:themeColor="text1"/>
                <w:szCs w:val="21"/>
              </w:rPr>
            </w:pPr>
            <w:r>
              <w:rPr>
                <w:rFonts w:hint="eastAsia" w:cs="Times New Roman" w:asciiTheme="minorEastAsia" w:hAnsiTheme="minorEastAsia"/>
                <w:color w:val="000000" w:themeColor="text1"/>
                <w:szCs w:val="21"/>
              </w:rPr>
              <w:t>22</w:t>
            </w:r>
          </w:p>
        </w:tc>
        <w:tc>
          <w:tcPr>
            <w:tcW w:w="795" w:type="dxa"/>
            <w:tcBorders>
              <w:top w:val="single" w:color="000000" w:sz="6" w:space="0"/>
            </w:tcBorders>
            <w:vAlign w:val="center"/>
          </w:tcPr>
          <w:p>
            <w:pPr>
              <w:spacing w:line="360" w:lineRule="auto"/>
              <w:jc w:val="center"/>
              <w:rPr>
                <w:rFonts w:cs="Times New Roman" w:asciiTheme="minorEastAsia" w:hAnsiTheme="minorEastAsia"/>
                <w:color w:val="000000" w:themeColor="text1"/>
                <w:szCs w:val="21"/>
              </w:rPr>
            </w:pPr>
            <w:r>
              <w:rPr>
                <w:rFonts w:cs="Times New Roman" w:asciiTheme="minorEastAsia" w:hAnsiTheme="minorEastAsia"/>
                <w:color w:val="000000" w:themeColor="text1"/>
                <w:szCs w:val="21"/>
              </w:rPr>
              <w:t>4</w:t>
            </w:r>
            <w:r>
              <w:rPr>
                <w:rFonts w:hint="eastAsia" w:cs="Times New Roman" w:asciiTheme="minorEastAsia" w:hAnsiTheme="minorEastAsia"/>
                <w:color w:val="000000" w:themeColor="text1"/>
                <w:szCs w:val="21"/>
              </w:rPr>
              <w:t>6</w:t>
            </w:r>
          </w:p>
        </w:tc>
        <w:tc>
          <w:tcPr>
            <w:tcW w:w="506" w:type="dxa"/>
            <w:tcBorders>
              <w:top w:val="single" w:color="000000" w:sz="6" w:space="0"/>
            </w:tcBorders>
            <w:vAlign w:val="center"/>
          </w:tcPr>
          <w:p>
            <w:pPr>
              <w:spacing w:line="360" w:lineRule="auto"/>
              <w:jc w:val="center"/>
              <w:rPr>
                <w:rFonts w:cs="Times New Roman" w:asciiTheme="minorEastAsia" w:hAnsiTheme="minorEastAsia"/>
                <w:color w:val="000000" w:themeColor="text1"/>
                <w:szCs w:val="21"/>
              </w:rPr>
            </w:pPr>
          </w:p>
        </w:tc>
        <w:tc>
          <w:tcPr>
            <w:tcW w:w="704" w:type="dxa"/>
            <w:tcBorders>
              <w:top w:val="single" w:color="000000" w:sz="6" w:space="0"/>
            </w:tcBorders>
            <w:vAlign w:val="center"/>
          </w:tcPr>
          <w:p>
            <w:pPr>
              <w:spacing w:line="360" w:lineRule="auto"/>
              <w:jc w:val="center"/>
              <w:rPr>
                <w:rFonts w:cs="Times New Roman" w:asciiTheme="minorEastAsia" w:hAnsiTheme="minorEastAsia"/>
                <w:color w:val="000000" w:themeColor="text1"/>
                <w:szCs w:val="21"/>
              </w:rPr>
            </w:pPr>
            <w:r>
              <w:rPr>
                <w:rFonts w:cs="Times New Roman" w:asciiTheme="minorEastAsia" w:hAnsiTheme="minorEastAsia"/>
                <w:color w:val="000000" w:themeColor="text1"/>
                <w:szCs w:val="21"/>
              </w:rPr>
              <w:t>4</w:t>
            </w:r>
            <w:r>
              <w:rPr>
                <w:rFonts w:hint="eastAsia" w:cs="Times New Roman" w:asciiTheme="minorEastAsia" w:hAnsiTheme="minorEastAsia"/>
                <w:color w:val="000000" w:themeColor="text1"/>
                <w:szCs w:val="21"/>
              </w:rPr>
              <w:t>6</w:t>
            </w:r>
          </w:p>
        </w:tc>
        <w:tc>
          <w:tcPr>
            <w:tcW w:w="540" w:type="dxa"/>
            <w:tcBorders>
              <w:top w:val="single" w:color="000000" w:sz="6" w:space="0"/>
            </w:tcBorders>
            <w:vAlign w:val="center"/>
          </w:tcPr>
          <w:p>
            <w:pPr>
              <w:spacing w:line="360" w:lineRule="auto"/>
              <w:jc w:val="center"/>
              <w:rPr>
                <w:rFonts w:cs="Times New Roman" w:asciiTheme="minorEastAsia" w:hAnsiTheme="minorEastAsia"/>
                <w:color w:val="000000" w:themeColor="text1"/>
                <w:szCs w:val="21"/>
              </w:rPr>
            </w:pPr>
          </w:p>
        </w:tc>
        <w:tc>
          <w:tcPr>
            <w:tcW w:w="900" w:type="dxa"/>
            <w:tcBorders>
              <w:top w:val="single" w:color="000000" w:sz="6" w:space="0"/>
            </w:tcBorders>
            <w:vAlign w:val="center"/>
          </w:tcPr>
          <w:p>
            <w:pPr>
              <w:spacing w:line="360" w:lineRule="auto"/>
              <w:jc w:val="center"/>
              <w:rPr>
                <w:rFonts w:cs="Times New Roman" w:asciiTheme="minorEastAsia" w:hAnsiTheme="minorEastAsia"/>
                <w:color w:val="000000" w:themeColor="text1"/>
                <w:szCs w:val="21"/>
              </w:rPr>
            </w:pPr>
            <w:r>
              <w:rPr>
                <w:rFonts w:cs="Times New Roman" w:asciiTheme="minorEastAsia" w:hAnsiTheme="minorEastAsia"/>
                <w:color w:val="000000" w:themeColor="text1"/>
                <w:szCs w:val="21"/>
              </w:rPr>
              <w:t>0</w:t>
            </w:r>
          </w:p>
        </w:tc>
        <w:tc>
          <w:tcPr>
            <w:tcW w:w="900" w:type="dxa"/>
            <w:tcBorders>
              <w:top w:val="single" w:color="000000" w:sz="6" w:space="0"/>
            </w:tcBorders>
            <w:vAlign w:val="center"/>
          </w:tcPr>
          <w:p>
            <w:pPr>
              <w:spacing w:line="360" w:lineRule="auto"/>
              <w:jc w:val="center"/>
              <w:rPr>
                <w:rFonts w:cs="Times New Roman" w:asciiTheme="minorEastAsia" w:hAnsiTheme="minorEastAsia"/>
                <w:color w:val="000000" w:themeColor="text1"/>
                <w:szCs w:val="21"/>
              </w:rPr>
            </w:pPr>
            <w:r>
              <w:rPr>
                <w:rFonts w:cs="Times New Roman" w:asciiTheme="minorEastAsia" w:hAnsiTheme="minorEastAsia"/>
                <w:color w:val="000000" w:themeColor="text1"/>
                <w:szCs w:val="21"/>
              </w:rPr>
              <w:t>100</w:t>
            </w:r>
            <w:r>
              <w:rPr>
                <w:rFonts w:hint="eastAsia" w:cs="Times New Roman" w:asciiTheme="minorEastAsia" w:hAnsiTheme="minorEastAsia"/>
                <w:color w:val="000000" w:themeColor="text1"/>
                <w:szCs w:val="21"/>
              </w:rPr>
              <w:t>%</w:t>
            </w:r>
          </w:p>
        </w:tc>
        <w:tc>
          <w:tcPr>
            <w:tcW w:w="1036" w:type="dxa"/>
            <w:tcBorders>
              <w:top w:val="single" w:color="000000" w:sz="6" w:space="0"/>
            </w:tcBorders>
            <w:vAlign w:val="center"/>
          </w:tcPr>
          <w:p>
            <w:pPr>
              <w:spacing w:line="360" w:lineRule="auto"/>
              <w:jc w:val="center"/>
              <w:rPr>
                <w:rFonts w:cs="Times New Roman" w:asciiTheme="minorEastAsia" w:hAnsiTheme="minorEastAsia"/>
                <w:color w:val="000000" w:themeColor="text1"/>
                <w:szCs w:val="21"/>
              </w:rPr>
            </w:pPr>
            <w:r>
              <w:rPr>
                <w:rFonts w:cs="Times New Roman" w:asciiTheme="minorEastAsia" w:hAnsiTheme="minorEastAsia"/>
                <w:color w:val="000000" w:themeColor="text1"/>
                <w:szCs w:val="21"/>
              </w:rPr>
              <w:t>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40" w:hRule="atLeast"/>
          <w:jc w:val="center"/>
        </w:trPr>
        <w:tc>
          <w:tcPr>
            <w:tcW w:w="1714" w:type="dxa"/>
            <w:tcBorders>
              <w:left w:val="single" w:color="auto" w:sz="4" w:space="0"/>
            </w:tcBorders>
            <w:vAlign w:val="center"/>
          </w:tcPr>
          <w:p>
            <w:pPr>
              <w:spacing w:line="360" w:lineRule="auto"/>
              <w:jc w:val="center"/>
              <w:rPr>
                <w:rFonts w:cs="Times New Roman" w:asciiTheme="minorEastAsia" w:hAnsiTheme="minorEastAsia"/>
                <w:b/>
                <w:color w:val="000000" w:themeColor="text1"/>
                <w:szCs w:val="21"/>
              </w:rPr>
            </w:pPr>
            <w:r>
              <w:rPr>
                <w:rFonts w:hint="eastAsia" w:cs="Times New Roman" w:asciiTheme="minorEastAsia" w:hAnsiTheme="minorEastAsia"/>
                <w:b/>
                <w:color w:val="000000" w:themeColor="text1"/>
                <w:szCs w:val="21"/>
              </w:rPr>
              <w:t>专业（技能）课程</w:t>
            </w:r>
          </w:p>
        </w:tc>
        <w:tc>
          <w:tcPr>
            <w:tcW w:w="705" w:type="dxa"/>
            <w:vAlign w:val="center"/>
          </w:tcPr>
          <w:p>
            <w:pPr>
              <w:spacing w:line="360" w:lineRule="auto"/>
              <w:jc w:val="center"/>
              <w:rPr>
                <w:rFonts w:cs="Times New Roman" w:asciiTheme="minorEastAsia" w:hAnsiTheme="minorEastAsia"/>
                <w:color w:val="000000" w:themeColor="text1"/>
                <w:szCs w:val="21"/>
              </w:rPr>
            </w:pPr>
            <w:r>
              <w:rPr>
                <w:rFonts w:hint="eastAsia" w:cs="Times New Roman" w:asciiTheme="minorEastAsia" w:hAnsiTheme="minorEastAsia"/>
                <w:color w:val="000000" w:themeColor="text1"/>
                <w:szCs w:val="21"/>
              </w:rPr>
              <w:t>18</w:t>
            </w:r>
          </w:p>
        </w:tc>
        <w:tc>
          <w:tcPr>
            <w:tcW w:w="795" w:type="dxa"/>
            <w:vAlign w:val="center"/>
          </w:tcPr>
          <w:p>
            <w:pPr>
              <w:spacing w:line="360" w:lineRule="auto"/>
              <w:jc w:val="center"/>
              <w:rPr>
                <w:rFonts w:cs="Times New Roman" w:asciiTheme="minorEastAsia" w:hAnsiTheme="minorEastAsia"/>
                <w:color w:val="000000" w:themeColor="text1"/>
                <w:szCs w:val="21"/>
              </w:rPr>
            </w:pPr>
            <w:r>
              <w:rPr>
                <w:rFonts w:cs="Times New Roman" w:asciiTheme="minorEastAsia" w:hAnsiTheme="minorEastAsia"/>
                <w:color w:val="000000" w:themeColor="text1"/>
                <w:szCs w:val="21"/>
              </w:rPr>
              <w:t>64</w:t>
            </w:r>
          </w:p>
        </w:tc>
        <w:tc>
          <w:tcPr>
            <w:tcW w:w="506" w:type="dxa"/>
            <w:vAlign w:val="center"/>
          </w:tcPr>
          <w:p>
            <w:pPr>
              <w:spacing w:line="360" w:lineRule="auto"/>
              <w:jc w:val="center"/>
              <w:rPr>
                <w:rFonts w:cs="Times New Roman" w:asciiTheme="minorEastAsia" w:hAnsiTheme="minorEastAsia"/>
                <w:color w:val="000000" w:themeColor="text1"/>
                <w:szCs w:val="21"/>
              </w:rPr>
            </w:pPr>
          </w:p>
        </w:tc>
        <w:tc>
          <w:tcPr>
            <w:tcW w:w="704" w:type="dxa"/>
            <w:vAlign w:val="center"/>
          </w:tcPr>
          <w:p>
            <w:pPr>
              <w:spacing w:line="360" w:lineRule="auto"/>
              <w:jc w:val="center"/>
              <w:rPr>
                <w:rFonts w:cs="Times New Roman" w:asciiTheme="minorEastAsia" w:hAnsiTheme="minorEastAsia"/>
                <w:color w:val="000000" w:themeColor="text1"/>
                <w:szCs w:val="21"/>
              </w:rPr>
            </w:pPr>
            <w:r>
              <w:rPr>
                <w:rFonts w:cs="Times New Roman" w:asciiTheme="minorEastAsia" w:hAnsiTheme="minorEastAsia"/>
                <w:color w:val="000000" w:themeColor="text1"/>
                <w:szCs w:val="21"/>
              </w:rPr>
              <w:t>64</w:t>
            </w:r>
          </w:p>
        </w:tc>
        <w:tc>
          <w:tcPr>
            <w:tcW w:w="540" w:type="dxa"/>
            <w:vAlign w:val="center"/>
          </w:tcPr>
          <w:p>
            <w:pPr>
              <w:spacing w:line="360" w:lineRule="auto"/>
              <w:jc w:val="center"/>
              <w:rPr>
                <w:rFonts w:cs="Times New Roman" w:asciiTheme="minorEastAsia" w:hAnsiTheme="minorEastAsia"/>
                <w:color w:val="000000" w:themeColor="text1"/>
                <w:szCs w:val="21"/>
              </w:rPr>
            </w:pPr>
          </w:p>
        </w:tc>
        <w:tc>
          <w:tcPr>
            <w:tcW w:w="900" w:type="dxa"/>
            <w:vAlign w:val="center"/>
          </w:tcPr>
          <w:p>
            <w:pPr>
              <w:spacing w:line="360" w:lineRule="auto"/>
              <w:jc w:val="center"/>
              <w:rPr>
                <w:rFonts w:cs="Times New Roman" w:asciiTheme="minorEastAsia" w:hAnsiTheme="minorEastAsia"/>
                <w:color w:val="000000" w:themeColor="text1"/>
                <w:szCs w:val="21"/>
              </w:rPr>
            </w:pPr>
            <w:r>
              <w:rPr>
                <w:rFonts w:hint="eastAsia" w:cs="Times New Roman" w:asciiTheme="minorEastAsia" w:hAnsiTheme="minorEastAsia"/>
                <w:color w:val="000000" w:themeColor="text1"/>
                <w:szCs w:val="21"/>
              </w:rPr>
              <w:t>0</w:t>
            </w:r>
          </w:p>
        </w:tc>
        <w:tc>
          <w:tcPr>
            <w:tcW w:w="900" w:type="dxa"/>
            <w:vAlign w:val="center"/>
          </w:tcPr>
          <w:p>
            <w:pPr>
              <w:spacing w:line="360" w:lineRule="auto"/>
              <w:jc w:val="center"/>
              <w:rPr>
                <w:rFonts w:cs="Times New Roman" w:asciiTheme="minorEastAsia" w:hAnsiTheme="minorEastAsia"/>
                <w:color w:val="000000" w:themeColor="text1"/>
                <w:szCs w:val="21"/>
              </w:rPr>
            </w:pPr>
            <w:r>
              <w:rPr>
                <w:rFonts w:hint="eastAsia" w:cs="Times New Roman" w:asciiTheme="minorEastAsia" w:hAnsiTheme="minorEastAsia"/>
                <w:color w:val="000000" w:themeColor="text1"/>
                <w:szCs w:val="21"/>
              </w:rPr>
              <w:t>100%</w:t>
            </w:r>
          </w:p>
        </w:tc>
        <w:tc>
          <w:tcPr>
            <w:tcW w:w="1036" w:type="dxa"/>
            <w:vAlign w:val="center"/>
          </w:tcPr>
          <w:p>
            <w:pPr>
              <w:spacing w:line="360" w:lineRule="auto"/>
              <w:jc w:val="center"/>
              <w:rPr>
                <w:rFonts w:cs="Times New Roman" w:asciiTheme="minorEastAsia" w:hAnsiTheme="minorEastAsia"/>
                <w:color w:val="000000" w:themeColor="text1"/>
                <w:szCs w:val="21"/>
              </w:rPr>
            </w:pPr>
            <w:r>
              <w:rPr>
                <w:rFonts w:hint="eastAsia" w:cs="Times New Roman" w:asciiTheme="minorEastAsia" w:hAnsiTheme="minorEastAsia"/>
                <w:color w:val="000000" w:themeColor="text1"/>
                <w:szCs w:val="21"/>
              </w:rPr>
              <w:t>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40" w:hRule="atLeast"/>
          <w:jc w:val="center"/>
        </w:trPr>
        <w:tc>
          <w:tcPr>
            <w:tcW w:w="1714" w:type="dxa"/>
            <w:tcBorders>
              <w:left w:val="single" w:color="auto" w:sz="4" w:space="0"/>
              <w:bottom w:val="single" w:color="auto" w:sz="4" w:space="0"/>
            </w:tcBorders>
            <w:vAlign w:val="center"/>
          </w:tcPr>
          <w:p>
            <w:pPr>
              <w:spacing w:line="360" w:lineRule="auto"/>
              <w:jc w:val="center"/>
              <w:rPr>
                <w:rFonts w:cs="Times New Roman" w:asciiTheme="minorEastAsia" w:hAnsiTheme="minorEastAsia"/>
                <w:b/>
                <w:color w:val="000000" w:themeColor="text1"/>
                <w:szCs w:val="21"/>
              </w:rPr>
            </w:pPr>
            <w:r>
              <w:rPr>
                <w:rFonts w:hint="eastAsia" w:cs="Times New Roman" w:asciiTheme="minorEastAsia" w:hAnsiTheme="minorEastAsia"/>
                <w:b/>
                <w:color w:val="000000" w:themeColor="text1"/>
                <w:szCs w:val="21"/>
              </w:rPr>
              <w:t>专业限选课程</w:t>
            </w:r>
          </w:p>
        </w:tc>
        <w:tc>
          <w:tcPr>
            <w:tcW w:w="705" w:type="dxa"/>
            <w:vAlign w:val="center"/>
          </w:tcPr>
          <w:p>
            <w:pPr>
              <w:spacing w:line="360" w:lineRule="auto"/>
              <w:jc w:val="center"/>
              <w:rPr>
                <w:rFonts w:cs="Times New Roman" w:asciiTheme="minorEastAsia" w:hAnsiTheme="minorEastAsia"/>
                <w:color w:val="000000" w:themeColor="text1"/>
                <w:szCs w:val="21"/>
              </w:rPr>
            </w:pPr>
            <w:r>
              <w:rPr>
                <w:rFonts w:hint="eastAsia" w:cs="Times New Roman" w:asciiTheme="minorEastAsia" w:hAnsiTheme="minorEastAsia"/>
                <w:color w:val="000000" w:themeColor="text1"/>
                <w:szCs w:val="21"/>
              </w:rPr>
              <w:t>5</w:t>
            </w:r>
          </w:p>
        </w:tc>
        <w:tc>
          <w:tcPr>
            <w:tcW w:w="795" w:type="dxa"/>
            <w:vAlign w:val="center"/>
          </w:tcPr>
          <w:p>
            <w:pPr>
              <w:spacing w:line="360" w:lineRule="auto"/>
              <w:jc w:val="center"/>
              <w:rPr>
                <w:rFonts w:cs="Times New Roman" w:asciiTheme="minorEastAsia" w:hAnsiTheme="minorEastAsia"/>
                <w:color w:val="000000" w:themeColor="text1"/>
                <w:szCs w:val="21"/>
              </w:rPr>
            </w:pPr>
            <w:r>
              <w:rPr>
                <w:rFonts w:cs="Times New Roman" w:asciiTheme="minorEastAsia" w:hAnsiTheme="minorEastAsia"/>
                <w:color w:val="000000" w:themeColor="text1"/>
                <w:szCs w:val="21"/>
              </w:rPr>
              <w:t>20</w:t>
            </w:r>
          </w:p>
        </w:tc>
        <w:tc>
          <w:tcPr>
            <w:tcW w:w="506" w:type="dxa"/>
            <w:vAlign w:val="center"/>
          </w:tcPr>
          <w:p>
            <w:pPr>
              <w:spacing w:line="360" w:lineRule="auto"/>
              <w:jc w:val="center"/>
              <w:rPr>
                <w:rFonts w:cs="Times New Roman" w:asciiTheme="minorEastAsia" w:hAnsiTheme="minorEastAsia"/>
                <w:color w:val="000000" w:themeColor="text1"/>
                <w:szCs w:val="21"/>
              </w:rPr>
            </w:pPr>
            <w:r>
              <w:rPr>
                <w:rFonts w:hint="eastAsia" w:cs="Times New Roman" w:asciiTheme="minorEastAsia" w:hAnsiTheme="minorEastAsia"/>
                <w:color w:val="000000" w:themeColor="text1"/>
                <w:szCs w:val="21"/>
              </w:rPr>
              <w:t>20</w:t>
            </w:r>
          </w:p>
        </w:tc>
        <w:tc>
          <w:tcPr>
            <w:tcW w:w="704" w:type="dxa"/>
            <w:vAlign w:val="center"/>
          </w:tcPr>
          <w:p>
            <w:pPr>
              <w:spacing w:line="360" w:lineRule="auto"/>
              <w:jc w:val="center"/>
              <w:rPr>
                <w:rFonts w:cs="Times New Roman" w:asciiTheme="minorEastAsia" w:hAnsiTheme="minorEastAsia"/>
                <w:color w:val="000000" w:themeColor="text1"/>
                <w:szCs w:val="21"/>
              </w:rPr>
            </w:pPr>
          </w:p>
        </w:tc>
        <w:tc>
          <w:tcPr>
            <w:tcW w:w="540" w:type="dxa"/>
            <w:vAlign w:val="center"/>
          </w:tcPr>
          <w:p>
            <w:pPr>
              <w:spacing w:line="360" w:lineRule="auto"/>
              <w:jc w:val="center"/>
              <w:rPr>
                <w:rFonts w:cs="Times New Roman" w:asciiTheme="minorEastAsia" w:hAnsiTheme="minorEastAsia"/>
                <w:color w:val="000000" w:themeColor="text1"/>
                <w:szCs w:val="21"/>
              </w:rPr>
            </w:pPr>
          </w:p>
        </w:tc>
        <w:tc>
          <w:tcPr>
            <w:tcW w:w="900" w:type="dxa"/>
            <w:vAlign w:val="center"/>
          </w:tcPr>
          <w:p>
            <w:pPr>
              <w:spacing w:line="360" w:lineRule="auto"/>
              <w:jc w:val="center"/>
              <w:rPr>
                <w:rFonts w:cs="Times New Roman" w:asciiTheme="minorEastAsia" w:hAnsiTheme="minorEastAsia"/>
                <w:color w:val="000000" w:themeColor="text1"/>
                <w:szCs w:val="21"/>
              </w:rPr>
            </w:pPr>
            <w:r>
              <w:rPr>
                <w:rFonts w:hint="eastAsia" w:cs="Times New Roman" w:asciiTheme="minorEastAsia" w:hAnsiTheme="minorEastAsia"/>
                <w:color w:val="000000" w:themeColor="text1"/>
                <w:szCs w:val="21"/>
              </w:rPr>
              <w:t>100%</w:t>
            </w:r>
          </w:p>
        </w:tc>
        <w:tc>
          <w:tcPr>
            <w:tcW w:w="900" w:type="dxa"/>
            <w:vAlign w:val="center"/>
          </w:tcPr>
          <w:p>
            <w:pPr>
              <w:spacing w:line="360" w:lineRule="auto"/>
              <w:jc w:val="center"/>
              <w:rPr>
                <w:rFonts w:cs="Times New Roman" w:asciiTheme="minorEastAsia" w:hAnsiTheme="minorEastAsia"/>
                <w:color w:val="000000" w:themeColor="text1"/>
                <w:szCs w:val="21"/>
              </w:rPr>
            </w:pPr>
            <w:r>
              <w:rPr>
                <w:rFonts w:hint="eastAsia" w:cs="Times New Roman" w:asciiTheme="minorEastAsia" w:hAnsiTheme="minorEastAsia"/>
                <w:color w:val="000000" w:themeColor="text1"/>
                <w:szCs w:val="21"/>
              </w:rPr>
              <w:t>0</w:t>
            </w:r>
          </w:p>
        </w:tc>
        <w:tc>
          <w:tcPr>
            <w:tcW w:w="1036" w:type="dxa"/>
            <w:vAlign w:val="center"/>
          </w:tcPr>
          <w:p>
            <w:pPr>
              <w:spacing w:line="360" w:lineRule="auto"/>
              <w:jc w:val="center"/>
              <w:rPr>
                <w:rFonts w:cs="Times New Roman" w:asciiTheme="minorEastAsia" w:hAnsiTheme="minorEastAsia"/>
                <w:color w:val="000000" w:themeColor="text1"/>
                <w:szCs w:val="21"/>
              </w:rPr>
            </w:pPr>
            <w:r>
              <w:rPr>
                <w:rFonts w:cs="Times New Roman" w:asciiTheme="minorEastAsia" w:hAnsiTheme="minorEastAsia"/>
                <w:color w:val="000000" w:themeColor="text1"/>
                <w:szCs w:val="21"/>
              </w:rPr>
              <w:t>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40" w:hRule="atLeast"/>
          <w:jc w:val="center"/>
        </w:trPr>
        <w:tc>
          <w:tcPr>
            <w:tcW w:w="1714" w:type="dxa"/>
            <w:tcBorders>
              <w:left w:val="single" w:color="auto" w:sz="4" w:space="0"/>
            </w:tcBorders>
            <w:vAlign w:val="center"/>
          </w:tcPr>
          <w:p>
            <w:pPr>
              <w:spacing w:line="360" w:lineRule="auto"/>
              <w:jc w:val="center"/>
              <w:rPr>
                <w:rFonts w:cs="Times New Roman" w:asciiTheme="minorEastAsia" w:hAnsiTheme="minorEastAsia"/>
                <w:b/>
                <w:color w:val="000000" w:themeColor="text1"/>
                <w:szCs w:val="21"/>
              </w:rPr>
            </w:pPr>
            <w:r>
              <w:rPr>
                <w:rFonts w:hint="eastAsia" w:cs="Times New Roman" w:asciiTheme="minorEastAsia" w:hAnsiTheme="minorEastAsia"/>
                <w:b/>
                <w:color w:val="000000" w:themeColor="text1"/>
                <w:szCs w:val="21"/>
              </w:rPr>
              <w:t>实习实训</w:t>
            </w:r>
          </w:p>
        </w:tc>
        <w:tc>
          <w:tcPr>
            <w:tcW w:w="705" w:type="dxa"/>
            <w:vAlign w:val="center"/>
          </w:tcPr>
          <w:p>
            <w:pPr>
              <w:spacing w:line="360" w:lineRule="auto"/>
              <w:jc w:val="center"/>
              <w:rPr>
                <w:rFonts w:cs="Times New Roman" w:asciiTheme="minorEastAsia" w:hAnsiTheme="minorEastAsia"/>
                <w:color w:val="000000" w:themeColor="text1"/>
                <w:szCs w:val="21"/>
              </w:rPr>
            </w:pPr>
            <w:r>
              <w:rPr>
                <w:rFonts w:cs="Times New Roman" w:asciiTheme="minorEastAsia" w:hAnsiTheme="minorEastAsia"/>
                <w:color w:val="000000" w:themeColor="text1"/>
                <w:szCs w:val="21"/>
              </w:rPr>
              <w:t>6</w:t>
            </w:r>
          </w:p>
        </w:tc>
        <w:tc>
          <w:tcPr>
            <w:tcW w:w="795" w:type="dxa"/>
            <w:vAlign w:val="center"/>
          </w:tcPr>
          <w:p>
            <w:pPr>
              <w:spacing w:line="360" w:lineRule="auto"/>
              <w:jc w:val="center"/>
              <w:rPr>
                <w:rFonts w:cs="Times New Roman" w:asciiTheme="minorEastAsia" w:hAnsiTheme="minorEastAsia"/>
                <w:color w:val="000000" w:themeColor="text1"/>
                <w:szCs w:val="21"/>
              </w:rPr>
            </w:pPr>
            <w:r>
              <w:rPr>
                <w:rFonts w:hint="eastAsia" w:cs="Times New Roman" w:asciiTheme="minorEastAsia" w:hAnsiTheme="minorEastAsia"/>
                <w:color w:val="000000" w:themeColor="text1"/>
                <w:szCs w:val="21"/>
              </w:rPr>
              <w:t>2</w:t>
            </w:r>
            <w:r>
              <w:rPr>
                <w:rFonts w:cs="Times New Roman" w:asciiTheme="minorEastAsia" w:hAnsiTheme="minorEastAsia"/>
                <w:color w:val="000000" w:themeColor="text1"/>
                <w:szCs w:val="21"/>
              </w:rPr>
              <w:t>5</w:t>
            </w:r>
          </w:p>
        </w:tc>
        <w:tc>
          <w:tcPr>
            <w:tcW w:w="506" w:type="dxa"/>
            <w:vAlign w:val="center"/>
          </w:tcPr>
          <w:p>
            <w:pPr>
              <w:spacing w:line="360" w:lineRule="auto"/>
              <w:jc w:val="center"/>
              <w:rPr>
                <w:rFonts w:cs="Times New Roman" w:asciiTheme="minorEastAsia" w:hAnsiTheme="minorEastAsia"/>
                <w:color w:val="000000" w:themeColor="text1"/>
                <w:szCs w:val="21"/>
              </w:rPr>
            </w:pPr>
          </w:p>
        </w:tc>
        <w:tc>
          <w:tcPr>
            <w:tcW w:w="704" w:type="dxa"/>
            <w:vAlign w:val="center"/>
          </w:tcPr>
          <w:p>
            <w:pPr>
              <w:spacing w:line="360" w:lineRule="auto"/>
              <w:jc w:val="center"/>
              <w:rPr>
                <w:rFonts w:cs="Times New Roman" w:asciiTheme="minorEastAsia" w:hAnsiTheme="minorEastAsia"/>
                <w:color w:val="000000" w:themeColor="text1"/>
                <w:szCs w:val="21"/>
              </w:rPr>
            </w:pPr>
            <w:r>
              <w:rPr>
                <w:rFonts w:cs="Times New Roman" w:asciiTheme="minorEastAsia" w:hAnsiTheme="minorEastAsia"/>
                <w:color w:val="000000" w:themeColor="text1"/>
                <w:szCs w:val="21"/>
              </w:rPr>
              <w:t>2</w:t>
            </w:r>
          </w:p>
        </w:tc>
        <w:tc>
          <w:tcPr>
            <w:tcW w:w="540" w:type="dxa"/>
            <w:vAlign w:val="center"/>
          </w:tcPr>
          <w:p>
            <w:pPr>
              <w:spacing w:line="360" w:lineRule="auto"/>
              <w:jc w:val="center"/>
              <w:rPr>
                <w:rFonts w:cs="Times New Roman" w:asciiTheme="minorEastAsia" w:hAnsiTheme="minorEastAsia"/>
                <w:color w:val="000000" w:themeColor="text1"/>
                <w:szCs w:val="21"/>
              </w:rPr>
            </w:pPr>
            <w:r>
              <w:rPr>
                <w:rFonts w:hint="eastAsia" w:cs="Times New Roman" w:asciiTheme="minorEastAsia" w:hAnsiTheme="minorEastAsia"/>
                <w:color w:val="000000" w:themeColor="text1"/>
                <w:szCs w:val="21"/>
              </w:rPr>
              <w:t>2</w:t>
            </w:r>
            <w:r>
              <w:rPr>
                <w:rFonts w:cs="Times New Roman" w:asciiTheme="minorEastAsia" w:hAnsiTheme="minorEastAsia"/>
                <w:color w:val="000000" w:themeColor="text1"/>
                <w:szCs w:val="21"/>
              </w:rPr>
              <w:t>3</w:t>
            </w:r>
          </w:p>
        </w:tc>
        <w:tc>
          <w:tcPr>
            <w:tcW w:w="900" w:type="dxa"/>
            <w:vAlign w:val="center"/>
          </w:tcPr>
          <w:p>
            <w:pPr>
              <w:spacing w:line="360" w:lineRule="auto"/>
              <w:jc w:val="center"/>
              <w:rPr>
                <w:rFonts w:cs="Times New Roman" w:asciiTheme="minorEastAsia" w:hAnsiTheme="minorEastAsia"/>
                <w:color w:val="000000" w:themeColor="text1"/>
                <w:szCs w:val="21"/>
              </w:rPr>
            </w:pPr>
            <w:r>
              <w:rPr>
                <w:rFonts w:hint="eastAsia" w:cs="Times New Roman" w:asciiTheme="minorEastAsia" w:hAnsiTheme="minorEastAsia"/>
                <w:color w:val="000000" w:themeColor="text1"/>
                <w:szCs w:val="21"/>
              </w:rPr>
              <w:t>0</w:t>
            </w:r>
          </w:p>
        </w:tc>
        <w:tc>
          <w:tcPr>
            <w:tcW w:w="900" w:type="dxa"/>
            <w:vAlign w:val="center"/>
          </w:tcPr>
          <w:p>
            <w:pPr>
              <w:spacing w:line="360" w:lineRule="auto"/>
              <w:jc w:val="center"/>
              <w:rPr>
                <w:rFonts w:cs="Times New Roman" w:asciiTheme="minorEastAsia" w:hAnsiTheme="minorEastAsia"/>
                <w:color w:val="000000" w:themeColor="text1"/>
                <w:szCs w:val="21"/>
              </w:rPr>
            </w:pPr>
            <w:r>
              <w:rPr>
                <w:rFonts w:cs="Times New Roman" w:asciiTheme="minorEastAsia" w:hAnsiTheme="minorEastAsia"/>
                <w:color w:val="000000" w:themeColor="text1"/>
                <w:szCs w:val="21"/>
              </w:rPr>
              <w:t>8%</w:t>
            </w:r>
          </w:p>
        </w:tc>
        <w:tc>
          <w:tcPr>
            <w:tcW w:w="1036" w:type="dxa"/>
            <w:vAlign w:val="center"/>
          </w:tcPr>
          <w:p>
            <w:pPr>
              <w:spacing w:line="360" w:lineRule="auto"/>
              <w:jc w:val="center"/>
              <w:rPr>
                <w:rFonts w:cs="Times New Roman" w:asciiTheme="minorEastAsia" w:hAnsiTheme="minorEastAsia"/>
                <w:color w:val="000000" w:themeColor="text1"/>
                <w:szCs w:val="21"/>
              </w:rPr>
            </w:pPr>
            <w:r>
              <w:rPr>
                <w:rFonts w:cs="Times New Roman" w:asciiTheme="minorEastAsia" w:hAnsiTheme="minorEastAsia"/>
                <w:color w:val="000000" w:themeColor="text1"/>
                <w:szCs w:val="21"/>
              </w:rPr>
              <w:t>92</w:t>
            </w:r>
            <w:r>
              <w:rPr>
                <w:rFonts w:hint="eastAsia" w:cs="Times New Roman" w:asciiTheme="minorEastAsia" w:hAnsiTheme="minorEastAsia"/>
                <w:color w:val="000000" w:themeColor="text1"/>
                <w:szCs w:val="21"/>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40" w:hRule="atLeast"/>
          <w:jc w:val="center"/>
        </w:trPr>
        <w:tc>
          <w:tcPr>
            <w:tcW w:w="1714" w:type="dxa"/>
            <w:tcBorders>
              <w:left w:val="single" w:color="auto" w:sz="4" w:space="0"/>
            </w:tcBorders>
            <w:vAlign w:val="center"/>
          </w:tcPr>
          <w:p>
            <w:pPr>
              <w:spacing w:line="360" w:lineRule="auto"/>
              <w:jc w:val="center"/>
              <w:rPr>
                <w:rFonts w:cs="Times New Roman" w:asciiTheme="minorEastAsia" w:hAnsiTheme="minorEastAsia"/>
                <w:b/>
                <w:color w:val="000000" w:themeColor="text1"/>
                <w:szCs w:val="21"/>
              </w:rPr>
            </w:pPr>
            <w:r>
              <w:rPr>
                <w:rFonts w:cs="Times New Roman" w:asciiTheme="minorEastAsia" w:hAnsiTheme="minorEastAsia"/>
                <w:b/>
                <w:color w:val="000000" w:themeColor="text1"/>
                <w:szCs w:val="21"/>
              </w:rPr>
              <w:t>合  计</w:t>
            </w:r>
          </w:p>
        </w:tc>
        <w:tc>
          <w:tcPr>
            <w:tcW w:w="705" w:type="dxa"/>
            <w:vAlign w:val="center"/>
          </w:tcPr>
          <w:p>
            <w:pPr>
              <w:spacing w:line="360" w:lineRule="auto"/>
              <w:jc w:val="center"/>
              <w:rPr>
                <w:rFonts w:cs="Times New Roman" w:asciiTheme="minorEastAsia" w:hAnsiTheme="minorEastAsia"/>
                <w:color w:val="000000" w:themeColor="text1"/>
                <w:szCs w:val="21"/>
              </w:rPr>
            </w:pPr>
            <w:r>
              <w:rPr>
                <w:rFonts w:hint="eastAsia" w:cs="Times New Roman" w:asciiTheme="minorEastAsia" w:hAnsiTheme="minorEastAsia"/>
                <w:color w:val="000000" w:themeColor="text1"/>
                <w:szCs w:val="21"/>
              </w:rPr>
              <w:t>51</w:t>
            </w:r>
          </w:p>
        </w:tc>
        <w:tc>
          <w:tcPr>
            <w:tcW w:w="795" w:type="dxa"/>
            <w:vAlign w:val="center"/>
          </w:tcPr>
          <w:p>
            <w:pPr>
              <w:spacing w:line="360" w:lineRule="auto"/>
              <w:jc w:val="center"/>
              <w:rPr>
                <w:rFonts w:cs="Times New Roman" w:asciiTheme="minorEastAsia" w:hAnsiTheme="minorEastAsia"/>
                <w:color w:val="000000" w:themeColor="text1"/>
                <w:szCs w:val="21"/>
              </w:rPr>
            </w:pPr>
            <w:r>
              <w:rPr>
                <w:rFonts w:hint="eastAsia" w:cs="Times New Roman" w:asciiTheme="minorEastAsia" w:hAnsiTheme="minorEastAsia"/>
                <w:color w:val="000000" w:themeColor="text1"/>
                <w:szCs w:val="21"/>
              </w:rPr>
              <w:t>1</w:t>
            </w:r>
            <w:r>
              <w:rPr>
                <w:rFonts w:cs="Times New Roman" w:asciiTheme="minorEastAsia" w:hAnsiTheme="minorEastAsia"/>
                <w:color w:val="000000" w:themeColor="text1"/>
                <w:szCs w:val="21"/>
              </w:rPr>
              <w:t>5</w:t>
            </w:r>
            <w:r>
              <w:rPr>
                <w:rFonts w:hint="eastAsia" w:cs="Times New Roman" w:asciiTheme="minorEastAsia" w:hAnsiTheme="minorEastAsia"/>
                <w:color w:val="000000" w:themeColor="text1"/>
                <w:szCs w:val="21"/>
              </w:rPr>
              <w:t>5</w:t>
            </w:r>
          </w:p>
        </w:tc>
        <w:tc>
          <w:tcPr>
            <w:tcW w:w="506" w:type="dxa"/>
            <w:vAlign w:val="center"/>
          </w:tcPr>
          <w:p>
            <w:pPr>
              <w:spacing w:line="360" w:lineRule="auto"/>
              <w:jc w:val="center"/>
              <w:rPr>
                <w:rFonts w:cs="Times New Roman" w:asciiTheme="minorEastAsia" w:hAnsiTheme="minorEastAsia"/>
                <w:color w:val="000000" w:themeColor="text1"/>
                <w:szCs w:val="21"/>
              </w:rPr>
            </w:pPr>
            <w:r>
              <w:rPr>
                <w:rFonts w:hint="eastAsia" w:cs="Times New Roman" w:asciiTheme="minorEastAsia" w:hAnsiTheme="minorEastAsia"/>
                <w:color w:val="000000" w:themeColor="text1"/>
                <w:szCs w:val="21"/>
              </w:rPr>
              <w:t>20</w:t>
            </w:r>
          </w:p>
        </w:tc>
        <w:tc>
          <w:tcPr>
            <w:tcW w:w="704" w:type="dxa"/>
            <w:vAlign w:val="center"/>
          </w:tcPr>
          <w:p>
            <w:pPr>
              <w:spacing w:line="360" w:lineRule="auto"/>
              <w:jc w:val="center"/>
              <w:rPr>
                <w:rFonts w:cs="Times New Roman" w:asciiTheme="minorEastAsia" w:hAnsiTheme="minorEastAsia"/>
                <w:color w:val="000000" w:themeColor="text1"/>
                <w:szCs w:val="21"/>
              </w:rPr>
            </w:pPr>
            <w:r>
              <w:rPr>
                <w:rFonts w:cs="Times New Roman" w:asciiTheme="minorEastAsia" w:hAnsiTheme="minorEastAsia"/>
                <w:color w:val="000000" w:themeColor="text1"/>
                <w:szCs w:val="21"/>
              </w:rPr>
              <w:t>1</w:t>
            </w:r>
            <w:r>
              <w:rPr>
                <w:rFonts w:hint="eastAsia" w:cs="Times New Roman" w:asciiTheme="minorEastAsia" w:hAnsiTheme="minorEastAsia"/>
                <w:color w:val="000000" w:themeColor="text1"/>
                <w:szCs w:val="21"/>
              </w:rPr>
              <w:t>12</w:t>
            </w:r>
          </w:p>
        </w:tc>
        <w:tc>
          <w:tcPr>
            <w:tcW w:w="540" w:type="dxa"/>
            <w:vAlign w:val="center"/>
          </w:tcPr>
          <w:p>
            <w:pPr>
              <w:spacing w:line="360" w:lineRule="auto"/>
              <w:jc w:val="center"/>
              <w:rPr>
                <w:rFonts w:cs="Times New Roman" w:asciiTheme="minorEastAsia" w:hAnsiTheme="minorEastAsia"/>
                <w:color w:val="000000" w:themeColor="text1"/>
                <w:szCs w:val="21"/>
              </w:rPr>
            </w:pPr>
            <w:r>
              <w:rPr>
                <w:rFonts w:cs="Times New Roman" w:asciiTheme="minorEastAsia" w:hAnsiTheme="minorEastAsia"/>
                <w:color w:val="000000" w:themeColor="text1"/>
                <w:szCs w:val="21"/>
              </w:rPr>
              <w:t>23</w:t>
            </w:r>
          </w:p>
        </w:tc>
        <w:tc>
          <w:tcPr>
            <w:tcW w:w="900" w:type="dxa"/>
            <w:vAlign w:val="center"/>
          </w:tcPr>
          <w:p>
            <w:pPr>
              <w:spacing w:line="360" w:lineRule="auto"/>
              <w:jc w:val="center"/>
              <w:rPr>
                <w:rFonts w:cs="Times New Roman" w:asciiTheme="minorEastAsia" w:hAnsiTheme="minorEastAsia"/>
                <w:color w:val="000000" w:themeColor="text1"/>
                <w:szCs w:val="21"/>
              </w:rPr>
            </w:pPr>
            <w:r>
              <w:rPr>
                <w:rFonts w:hint="eastAsia" w:cs="Times New Roman" w:asciiTheme="minorEastAsia" w:hAnsiTheme="minorEastAsia"/>
                <w:color w:val="000000" w:themeColor="text1"/>
                <w:szCs w:val="21"/>
              </w:rPr>
              <w:t>12.9%</w:t>
            </w:r>
          </w:p>
        </w:tc>
        <w:tc>
          <w:tcPr>
            <w:tcW w:w="900" w:type="dxa"/>
            <w:vAlign w:val="center"/>
          </w:tcPr>
          <w:p>
            <w:pPr>
              <w:spacing w:line="360" w:lineRule="auto"/>
              <w:jc w:val="center"/>
              <w:rPr>
                <w:rFonts w:cs="Times New Roman" w:asciiTheme="minorEastAsia" w:hAnsiTheme="minorEastAsia"/>
                <w:color w:val="000000" w:themeColor="text1"/>
                <w:szCs w:val="21"/>
              </w:rPr>
            </w:pPr>
            <w:r>
              <w:rPr>
                <w:rFonts w:hint="eastAsia" w:cs="Times New Roman" w:asciiTheme="minorEastAsia" w:hAnsiTheme="minorEastAsia"/>
                <w:color w:val="000000" w:themeColor="text1"/>
                <w:szCs w:val="21"/>
              </w:rPr>
              <w:t>72.3%</w:t>
            </w:r>
          </w:p>
        </w:tc>
        <w:tc>
          <w:tcPr>
            <w:tcW w:w="1036" w:type="dxa"/>
            <w:vAlign w:val="center"/>
          </w:tcPr>
          <w:p>
            <w:pPr>
              <w:spacing w:line="360" w:lineRule="auto"/>
              <w:jc w:val="center"/>
              <w:rPr>
                <w:rFonts w:cs="Times New Roman" w:asciiTheme="minorEastAsia" w:hAnsiTheme="minorEastAsia"/>
                <w:color w:val="000000" w:themeColor="text1"/>
                <w:szCs w:val="21"/>
              </w:rPr>
            </w:pPr>
            <w:r>
              <w:rPr>
                <w:rFonts w:hint="eastAsia" w:cs="Times New Roman" w:asciiTheme="minorEastAsia" w:hAnsiTheme="minorEastAsia"/>
                <w:color w:val="000000" w:themeColor="text1"/>
                <w:szCs w:val="21"/>
              </w:rPr>
              <w:t>14.8%</w:t>
            </w:r>
          </w:p>
        </w:tc>
      </w:tr>
    </w:tbl>
    <w:p>
      <w:pPr>
        <w:spacing w:line="360" w:lineRule="auto"/>
        <w:ind w:firstLine="150" w:firstLineChars="50"/>
        <w:rPr>
          <w:rFonts w:ascii="黑体" w:hAnsi="黑体" w:eastAsia="黑体" w:cs="黑体"/>
          <w:bCs/>
          <w:sz w:val="30"/>
          <w:szCs w:val="30"/>
        </w:rPr>
      </w:pPr>
    </w:p>
    <w:p>
      <w:pPr>
        <w:spacing w:line="360" w:lineRule="auto"/>
        <w:ind w:firstLine="150" w:firstLineChars="50"/>
        <w:rPr>
          <w:rFonts w:ascii="黑体" w:hAnsi="黑体" w:eastAsia="黑体" w:cs="黑体"/>
          <w:bCs/>
          <w:sz w:val="30"/>
          <w:szCs w:val="30"/>
        </w:rPr>
      </w:pPr>
      <w:r>
        <w:rPr>
          <w:rFonts w:hint="eastAsia" w:ascii="黑体" w:hAnsi="黑体" w:eastAsia="黑体" w:cs="黑体"/>
          <w:bCs/>
          <w:sz w:val="30"/>
          <w:szCs w:val="30"/>
        </w:rPr>
        <w:t>（二）取证要求：本专业执行1+X证书制度，要求学生取得“学历证书+若干职业技能等级证书”，具体如下：</w:t>
      </w:r>
    </w:p>
    <w:p>
      <w:pPr>
        <w:spacing w:line="360" w:lineRule="auto"/>
        <w:ind w:firstLine="150" w:firstLineChars="50"/>
        <w:rPr>
          <w:rFonts w:ascii="黑体" w:hAnsi="黑体" w:eastAsia="黑体" w:cs="黑体"/>
          <w:bCs/>
          <w:sz w:val="30"/>
          <w:szCs w:val="30"/>
        </w:rPr>
      </w:pPr>
    </w:p>
    <w:p>
      <w:pPr>
        <w:spacing w:line="360" w:lineRule="auto"/>
        <w:ind w:firstLine="150" w:firstLineChars="50"/>
        <w:rPr>
          <w:rFonts w:ascii="黑体" w:hAnsi="黑体" w:eastAsia="黑体" w:cs="黑体"/>
          <w:bCs/>
          <w:sz w:val="30"/>
          <w:szCs w:val="30"/>
        </w:rPr>
      </w:pPr>
    </w:p>
    <w:p>
      <w:pPr>
        <w:spacing w:line="360" w:lineRule="auto"/>
        <w:ind w:firstLine="150" w:firstLineChars="50"/>
        <w:rPr>
          <w:rFonts w:ascii="黑体" w:hAnsi="黑体" w:eastAsia="黑体" w:cs="黑体"/>
          <w:bCs/>
          <w:sz w:val="30"/>
          <w:szCs w:val="30"/>
        </w:rPr>
      </w:pPr>
    </w:p>
    <w:tbl>
      <w:tblPr>
        <w:tblStyle w:val="18"/>
        <w:tblpPr w:leftFromText="180" w:rightFromText="180" w:vertAnchor="text" w:horzAnchor="margin" w:tblpY="386"/>
        <w:tblW w:w="85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7"/>
        <w:gridCol w:w="2137"/>
        <w:gridCol w:w="2137"/>
        <w:gridCol w:w="2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8548" w:type="dxa"/>
            <w:gridSpan w:val="4"/>
            <w:tcBorders>
              <w:top w:val="nil"/>
              <w:left w:val="nil"/>
              <w:bottom w:val="single" w:color="auto" w:sz="4" w:space="0"/>
              <w:right w:val="nil"/>
            </w:tcBorders>
            <w:vAlign w:val="center"/>
          </w:tcPr>
          <w:p>
            <w:pPr>
              <w:ind w:firstLine="551" w:firstLineChars="196"/>
              <w:jc w:val="center"/>
              <w:rPr>
                <w:rFonts w:ascii="宋体" w:hAnsi="宋体" w:eastAsia="宋体" w:cs="Times New Roman"/>
                <w:b/>
                <w:color w:val="000000" w:themeColor="text1"/>
                <w:sz w:val="28"/>
                <w:szCs w:val="28"/>
              </w:rPr>
            </w:pPr>
            <w:r>
              <w:rPr>
                <w:rFonts w:hint="eastAsia" w:ascii="宋体" w:hAnsi="宋体" w:eastAsia="宋体" w:cs="Times New Roman"/>
                <w:b/>
                <w:color w:val="000000" w:themeColor="text1"/>
                <w:sz w:val="28"/>
                <w:szCs w:val="28"/>
              </w:rPr>
              <w:t>岗位职业资格证书和技能等级证书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2137" w:type="dxa"/>
            <w:tcBorders>
              <w:top w:val="single" w:color="auto" w:sz="4" w:space="0"/>
              <w:right w:val="single" w:color="auto" w:sz="6" w:space="0"/>
            </w:tcBorders>
            <w:vAlign w:val="center"/>
          </w:tcPr>
          <w:p>
            <w:pPr>
              <w:jc w:val="center"/>
              <w:rPr>
                <w:rFonts w:ascii="宋体" w:hAnsi="宋体" w:eastAsia="宋体" w:cs="Times New Roman"/>
                <w:b/>
                <w:color w:val="000000" w:themeColor="text1"/>
                <w:szCs w:val="21"/>
              </w:rPr>
            </w:pPr>
            <w:r>
              <w:rPr>
                <w:rFonts w:hint="eastAsia" w:ascii="宋体" w:hAnsi="宋体" w:eastAsia="宋体" w:cs="Times New Roman"/>
                <w:b/>
                <w:color w:val="000000" w:themeColor="text1"/>
                <w:szCs w:val="21"/>
              </w:rPr>
              <w:t>证书名称</w:t>
            </w:r>
          </w:p>
        </w:tc>
        <w:tc>
          <w:tcPr>
            <w:tcW w:w="2137" w:type="dxa"/>
            <w:tcBorders>
              <w:top w:val="single" w:color="auto" w:sz="4" w:space="0"/>
              <w:left w:val="single" w:color="auto" w:sz="6" w:space="0"/>
              <w:right w:val="single" w:color="auto" w:sz="6" w:space="0"/>
            </w:tcBorders>
            <w:vAlign w:val="center"/>
          </w:tcPr>
          <w:p>
            <w:pPr>
              <w:jc w:val="center"/>
              <w:rPr>
                <w:rFonts w:ascii="宋体" w:hAnsi="宋体" w:eastAsia="宋体" w:cs="Times New Roman"/>
                <w:b/>
                <w:color w:val="000000" w:themeColor="text1"/>
                <w:szCs w:val="21"/>
              </w:rPr>
            </w:pPr>
            <w:r>
              <w:rPr>
                <w:rFonts w:hint="eastAsia" w:ascii="宋体" w:hAnsi="宋体" w:eastAsia="宋体" w:cs="Times New Roman"/>
                <w:b/>
                <w:color w:val="000000" w:themeColor="text1"/>
                <w:szCs w:val="21"/>
              </w:rPr>
              <w:t>等级</w:t>
            </w:r>
          </w:p>
        </w:tc>
        <w:tc>
          <w:tcPr>
            <w:tcW w:w="2137" w:type="dxa"/>
            <w:tcBorders>
              <w:top w:val="single" w:color="auto" w:sz="4" w:space="0"/>
              <w:left w:val="single" w:color="auto" w:sz="6" w:space="0"/>
              <w:right w:val="single" w:color="auto" w:sz="6" w:space="0"/>
            </w:tcBorders>
            <w:vAlign w:val="center"/>
          </w:tcPr>
          <w:p>
            <w:pPr>
              <w:jc w:val="center"/>
              <w:rPr>
                <w:rFonts w:ascii="宋体" w:hAnsi="宋体" w:eastAsia="宋体" w:cs="Times New Roman"/>
                <w:b/>
                <w:color w:val="000000" w:themeColor="text1"/>
                <w:szCs w:val="21"/>
              </w:rPr>
            </w:pPr>
            <w:r>
              <w:rPr>
                <w:rFonts w:hint="eastAsia" w:ascii="宋体" w:hAnsi="宋体" w:eastAsia="宋体" w:cs="Times New Roman"/>
                <w:b/>
                <w:color w:val="000000" w:themeColor="text1"/>
                <w:szCs w:val="21"/>
              </w:rPr>
              <w:t>考核部门</w:t>
            </w:r>
          </w:p>
        </w:tc>
        <w:tc>
          <w:tcPr>
            <w:tcW w:w="2137" w:type="dxa"/>
            <w:tcBorders>
              <w:top w:val="single" w:color="auto" w:sz="4" w:space="0"/>
              <w:left w:val="single" w:color="auto" w:sz="6" w:space="0"/>
            </w:tcBorders>
            <w:vAlign w:val="center"/>
          </w:tcPr>
          <w:p>
            <w:pPr>
              <w:jc w:val="center"/>
              <w:rPr>
                <w:rFonts w:ascii="宋体" w:hAnsi="宋体" w:eastAsia="宋体" w:cs="Times New Roman"/>
                <w:b/>
                <w:color w:val="000000" w:themeColor="text1"/>
                <w:szCs w:val="21"/>
              </w:rPr>
            </w:pPr>
            <w:r>
              <w:rPr>
                <w:rFonts w:hint="eastAsia" w:ascii="宋体" w:hAnsi="宋体" w:eastAsia="宋体" w:cs="Times New Roman"/>
                <w:b/>
                <w:color w:val="000000" w:themeColor="text1"/>
                <w:szCs w:val="21"/>
              </w:rPr>
              <w:t>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2137" w:type="dxa"/>
            <w:vAlign w:val="center"/>
          </w:tcPr>
          <w:p>
            <w:pPr>
              <w:jc w:val="center"/>
              <w:rPr>
                <w:rFonts w:ascii="宋体" w:hAnsi="宋体" w:eastAsia="宋体" w:cs="Times New Roman"/>
                <w:color w:val="000000" w:themeColor="text1"/>
                <w:szCs w:val="21"/>
              </w:rPr>
            </w:pPr>
            <w:r>
              <w:rPr>
                <w:rFonts w:hint="eastAsia" w:ascii="宋体" w:hAnsi="宋体" w:eastAsia="宋体" w:cs="Times New Roman"/>
                <w:color w:val="000000" w:themeColor="text1"/>
                <w:szCs w:val="21"/>
              </w:rPr>
              <w:t>普通话证书</w:t>
            </w:r>
          </w:p>
        </w:tc>
        <w:tc>
          <w:tcPr>
            <w:tcW w:w="2137" w:type="dxa"/>
            <w:vAlign w:val="center"/>
          </w:tcPr>
          <w:p>
            <w:pPr>
              <w:jc w:val="center"/>
              <w:rPr>
                <w:rFonts w:ascii="宋体" w:hAnsi="宋体" w:eastAsia="宋体" w:cs="Times New Roman"/>
                <w:color w:val="000000" w:themeColor="text1"/>
                <w:szCs w:val="21"/>
              </w:rPr>
            </w:pPr>
            <w:r>
              <w:rPr>
                <w:rFonts w:hint="eastAsia" w:ascii="宋体" w:hAnsi="宋体" w:eastAsia="宋体" w:cs="Times New Roman"/>
                <w:color w:val="000000" w:themeColor="text1"/>
                <w:szCs w:val="21"/>
              </w:rPr>
              <w:t>二级乙等</w:t>
            </w:r>
          </w:p>
        </w:tc>
        <w:tc>
          <w:tcPr>
            <w:tcW w:w="2137" w:type="dxa"/>
            <w:vAlign w:val="center"/>
          </w:tcPr>
          <w:p>
            <w:pPr>
              <w:jc w:val="center"/>
              <w:rPr>
                <w:rFonts w:ascii="宋体" w:hAnsi="宋体" w:eastAsia="宋体" w:cs="Times New Roman"/>
                <w:color w:val="000000" w:themeColor="text1"/>
                <w:szCs w:val="21"/>
              </w:rPr>
            </w:pPr>
            <w:r>
              <w:rPr>
                <w:rFonts w:hint="eastAsia" w:ascii="宋体" w:hAnsi="宋体" w:eastAsia="宋体" w:cs="Times New Roman"/>
                <w:color w:val="000000" w:themeColor="text1"/>
                <w:szCs w:val="21"/>
              </w:rPr>
              <w:t>山西省语言文字工作委员会普通话</w:t>
            </w:r>
          </w:p>
        </w:tc>
        <w:tc>
          <w:tcPr>
            <w:tcW w:w="2137" w:type="dxa"/>
            <w:vAlign w:val="center"/>
          </w:tcPr>
          <w:p>
            <w:pPr>
              <w:jc w:val="center"/>
              <w:rPr>
                <w:rFonts w:ascii="宋体" w:hAnsi="宋体" w:eastAsia="宋体" w:cs="Times New Roman"/>
                <w:color w:val="000000" w:themeColor="text1"/>
                <w:szCs w:val="21"/>
              </w:rPr>
            </w:pPr>
            <w:r>
              <w:rPr>
                <w:rFonts w:hint="eastAsia" w:ascii="宋体" w:hAnsi="宋体" w:eastAsia="宋体" w:cs="Times New Roman"/>
                <w:color w:val="000000" w:themeColor="text1"/>
                <w:szCs w:val="21"/>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2137" w:type="dxa"/>
            <w:vAlign w:val="center"/>
          </w:tcPr>
          <w:p>
            <w:pPr>
              <w:jc w:val="center"/>
              <w:rPr>
                <w:rFonts w:ascii="宋体" w:hAnsi="宋体" w:eastAsia="宋体" w:cs="Times New Roman"/>
                <w:color w:val="000000" w:themeColor="text1"/>
                <w:szCs w:val="21"/>
              </w:rPr>
            </w:pPr>
            <w:r>
              <w:rPr>
                <w:rFonts w:hint="eastAsia" w:ascii="宋体" w:hAnsi="宋体" w:eastAsia="宋体" w:cs="Times New Roman"/>
                <w:color w:val="000000" w:themeColor="text1"/>
                <w:szCs w:val="21"/>
              </w:rPr>
              <w:t>计算机证书</w:t>
            </w:r>
          </w:p>
        </w:tc>
        <w:tc>
          <w:tcPr>
            <w:tcW w:w="2137" w:type="dxa"/>
            <w:vAlign w:val="center"/>
          </w:tcPr>
          <w:p>
            <w:pPr>
              <w:jc w:val="center"/>
              <w:rPr>
                <w:rFonts w:ascii="宋体" w:hAnsi="宋体" w:eastAsia="宋体" w:cs="Times New Roman"/>
                <w:color w:val="000000" w:themeColor="text1"/>
                <w:szCs w:val="21"/>
              </w:rPr>
            </w:pPr>
            <w:r>
              <w:rPr>
                <w:rFonts w:hint="eastAsia" w:ascii="宋体" w:hAnsi="宋体" w:eastAsia="宋体" w:cs="Times New Roman"/>
                <w:color w:val="000000" w:themeColor="text1"/>
                <w:szCs w:val="21"/>
              </w:rPr>
              <w:t>二级</w:t>
            </w:r>
          </w:p>
        </w:tc>
        <w:tc>
          <w:tcPr>
            <w:tcW w:w="2137" w:type="dxa"/>
            <w:vAlign w:val="center"/>
          </w:tcPr>
          <w:p>
            <w:pPr>
              <w:jc w:val="center"/>
              <w:rPr>
                <w:rFonts w:ascii="宋体" w:hAnsi="宋体" w:eastAsia="宋体" w:cs="Times New Roman"/>
                <w:color w:val="000000" w:themeColor="text1"/>
                <w:szCs w:val="21"/>
              </w:rPr>
            </w:pPr>
            <w:r>
              <w:rPr>
                <w:rFonts w:hint="eastAsia" w:ascii="宋体" w:hAnsi="宋体" w:eastAsia="宋体" w:cs="Times New Roman"/>
                <w:color w:val="000000" w:themeColor="text1"/>
                <w:szCs w:val="21"/>
              </w:rPr>
              <w:t>山西省教育厅</w:t>
            </w:r>
          </w:p>
        </w:tc>
        <w:tc>
          <w:tcPr>
            <w:tcW w:w="2137" w:type="dxa"/>
            <w:vAlign w:val="center"/>
          </w:tcPr>
          <w:p>
            <w:pPr>
              <w:jc w:val="center"/>
              <w:rPr>
                <w:rFonts w:ascii="宋体" w:hAnsi="宋体" w:eastAsia="宋体" w:cs="Times New Roman"/>
                <w:color w:val="000000" w:themeColor="text1"/>
                <w:szCs w:val="21"/>
              </w:rPr>
            </w:pPr>
            <w:r>
              <w:rPr>
                <w:rFonts w:hint="eastAsia" w:ascii="宋体" w:hAnsi="宋体" w:eastAsia="宋体" w:cs="Times New Roman"/>
                <w:color w:val="000000" w:themeColor="text1"/>
                <w:szCs w:val="21"/>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2137" w:type="dxa"/>
            <w:vAlign w:val="center"/>
          </w:tcPr>
          <w:p>
            <w:pPr>
              <w:jc w:val="center"/>
              <w:rPr>
                <w:rFonts w:ascii="宋体" w:hAnsi="宋体" w:eastAsia="宋体" w:cs="Times New Roman"/>
                <w:color w:val="000000" w:themeColor="text1"/>
                <w:szCs w:val="21"/>
              </w:rPr>
            </w:pPr>
            <w:r>
              <w:rPr>
                <w:rFonts w:hint="eastAsia" w:ascii="宋体" w:hAnsi="宋体" w:eastAsia="宋体" w:cs="Times New Roman"/>
                <w:color w:val="000000" w:themeColor="text1"/>
                <w:szCs w:val="21"/>
              </w:rPr>
              <w:t>化工总控工</w:t>
            </w:r>
          </w:p>
        </w:tc>
        <w:tc>
          <w:tcPr>
            <w:tcW w:w="2137" w:type="dxa"/>
            <w:vAlign w:val="center"/>
          </w:tcPr>
          <w:p>
            <w:pPr>
              <w:jc w:val="center"/>
              <w:rPr>
                <w:rFonts w:ascii="宋体" w:hAnsi="宋体" w:eastAsia="宋体" w:cs="Times New Roman"/>
                <w:color w:val="000000" w:themeColor="text1"/>
                <w:szCs w:val="21"/>
              </w:rPr>
            </w:pPr>
            <w:r>
              <w:rPr>
                <w:rFonts w:hint="eastAsia" w:ascii="宋体" w:hAnsi="宋体" w:eastAsia="宋体" w:cs="Times New Roman"/>
                <w:color w:val="000000" w:themeColor="text1"/>
                <w:szCs w:val="21"/>
              </w:rPr>
              <w:t>中级</w:t>
            </w:r>
          </w:p>
        </w:tc>
        <w:tc>
          <w:tcPr>
            <w:tcW w:w="2137" w:type="dxa"/>
            <w:vAlign w:val="center"/>
          </w:tcPr>
          <w:p>
            <w:pPr>
              <w:jc w:val="center"/>
              <w:rPr>
                <w:rFonts w:ascii="宋体" w:hAnsi="宋体" w:eastAsia="宋体" w:cs="Times New Roman"/>
                <w:color w:val="000000" w:themeColor="text1"/>
                <w:szCs w:val="21"/>
              </w:rPr>
            </w:pPr>
            <w:r>
              <w:rPr>
                <w:rFonts w:hint="eastAsia" w:ascii="宋体" w:hAnsi="宋体" w:eastAsia="宋体" w:cs="Times New Roman"/>
                <w:color w:val="000000" w:themeColor="text1"/>
                <w:szCs w:val="21"/>
              </w:rPr>
              <w:t>山西省职能鉴定中心</w:t>
            </w:r>
          </w:p>
        </w:tc>
        <w:tc>
          <w:tcPr>
            <w:tcW w:w="2137" w:type="dxa"/>
            <w:vAlign w:val="center"/>
          </w:tcPr>
          <w:p>
            <w:pPr>
              <w:jc w:val="center"/>
              <w:rPr>
                <w:rFonts w:ascii="宋体" w:hAnsi="宋体" w:eastAsia="宋体" w:cs="Times New Roman"/>
                <w:color w:val="000000" w:themeColor="text1"/>
                <w:szCs w:val="21"/>
              </w:rPr>
            </w:pPr>
            <w:r>
              <w:rPr>
                <w:rFonts w:hint="eastAsia" w:ascii="宋体" w:hAnsi="宋体" w:eastAsia="宋体" w:cs="Times New Roman"/>
                <w:color w:val="000000" w:themeColor="text1"/>
                <w:szCs w:val="21"/>
              </w:rPr>
              <w:t>4</w:t>
            </w:r>
          </w:p>
        </w:tc>
      </w:tr>
    </w:tbl>
    <w:p>
      <w:pPr>
        <w:pStyle w:val="3"/>
        <w:ind w:firstLine="640" w:firstLineChars="200"/>
        <w:rPr>
          <w:b w:val="0"/>
          <w:bCs/>
        </w:rPr>
      </w:pPr>
      <w:bookmarkStart w:id="21" w:name="_Toc15334"/>
      <w:r>
        <w:rPr>
          <w:rFonts w:hint="eastAsia"/>
          <w:b w:val="0"/>
          <w:bCs/>
        </w:rPr>
        <w:t>十、学习深造建议</w:t>
      </w:r>
      <w:bookmarkEnd w:id="21"/>
    </w:p>
    <w:p>
      <w:pPr>
        <w:spacing w:line="360" w:lineRule="auto"/>
        <w:ind w:firstLine="480" w:firstLineChars="200"/>
        <w:rPr>
          <w:rFonts w:ascii="宋体" w:hAnsi="宋体" w:eastAsia="宋体" w:cs="Times New Roman"/>
          <w:color w:val="000000"/>
          <w:sz w:val="24"/>
        </w:rPr>
      </w:pPr>
      <w:r>
        <w:rPr>
          <w:rFonts w:hint="eastAsia" w:ascii="宋体" w:hAnsi="宋体" w:eastAsia="宋体" w:cs="Times New Roman"/>
          <w:color w:val="000000"/>
          <w:sz w:val="24"/>
        </w:rPr>
        <w:t>建议本专业学生应树立终身学习的思想，可以通过“专升本”、“专接本”、自学考试等形式完成本专业本科阶段学习，提高自身的专业学历，也可在以后的工作中通过技术培训，参与项目研究、产品开发等生产实践提高自身的专业素养和技术水平。</w:t>
      </w:r>
    </w:p>
    <w:p>
      <w:pPr>
        <w:spacing w:line="360" w:lineRule="auto"/>
        <w:ind w:firstLine="480" w:firstLineChars="200"/>
        <w:rPr>
          <w:rFonts w:ascii="宋体" w:hAnsi="宋体" w:eastAsia="宋体" w:cs="Times New Roman"/>
          <w:color w:val="000000"/>
          <w:sz w:val="24"/>
        </w:rPr>
      </w:pPr>
    </w:p>
    <w:p>
      <w:pPr>
        <w:spacing w:line="360" w:lineRule="auto"/>
        <w:ind w:firstLine="480" w:firstLineChars="200"/>
        <w:rPr>
          <w:rFonts w:ascii="宋体" w:hAnsi="宋体" w:eastAsia="宋体" w:cs="Times New Roman"/>
          <w:color w:val="000000"/>
          <w:sz w:val="24"/>
        </w:rPr>
      </w:pPr>
    </w:p>
    <w:p>
      <w:pPr>
        <w:spacing w:line="360" w:lineRule="auto"/>
        <w:ind w:firstLine="480" w:firstLineChars="200"/>
        <w:rPr>
          <w:rFonts w:ascii="宋体" w:hAnsi="宋体" w:eastAsia="宋体" w:cs="Times New Roman"/>
          <w:color w:val="000000"/>
          <w:sz w:val="24"/>
        </w:rPr>
      </w:pPr>
    </w:p>
    <w:p>
      <w:pPr>
        <w:spacing w:line="360" w:lineRule="auto"/>
        <w:ind w:firstLine="480" w:firstLineChars="200"/>
        <w:rPr>
          <w:rFonts w:ascii="宋体" w:hAnsi="宋体" w:eastAsia="宋体" w:cs="Times New Roman"/>
          <w:color w:val="000000"/>
          <w:sz w:val="24"/>
        </w:rPr>
      </w:pPr>
    </w:p>
    <w:p>
      <w:pPr>
        <w:spacing w:line="360" w:lineRule="auto"/>
        <w:ind w:firstLine="480" w:firstLineChars="200"/>
        <w:rPr>
          <w:rFonts w:ascii="宋体" w:hAnsi="宋体" w:eastAsia="宋体" w:cs="Times New Roman"/>
          <w:color w:val="000000"/>
          <w:sz w:val="24"/>
        </w:rPr>
      </w:pPr>
    </w:p>
    <w:p>
      <w:pPr>
        <w:spacing w:line="360" w:lineRule="auto"/>
        <w:ind w:firstLine="480" w:firstLineChars="200"/>
        <w:rPr>
          <w:rFonts w:ascii="宋体" w:hAnsi="宋体" w:eastAsia="宋体" w:cs="Times New Roman"/>
          <w:color w:val="000000"/>
          <w:sz w:val="24"/>
        </w:rPr>
      </w:pPr>
    </w:p>
    <w:p>
      <w:pPr>
        <w:spacing w:line="360" w:lineRule="auto"/>
        <w:ind w:firstLine="480" w:firstLineChars="200"/>
        <w:rPr>
          <w:rFonts w:ascii="宋体" w:hAnsi="宋体" w:eastAsia="宋体" w:cs="Times New Roman"/>
          <w:color w:val="000000"/>
          <w:sz w:val="24"/>
        </w:rPr>
      </w:pPr>
    </w:p>
    <w:p>
      <w:pPr>
        <w:spacing w:line="360" w:lineRule="auto"/>
        <w:ind w:firstLine="480" w:firstLineChars="200"/>
        <w:rPr>
          <w:rFonts w:ascii="宋体" w:hAnsi="宋体" w:eastAsia="宋体" w:cs="Times New Roman"/>
          <w:color w:val="000000"/>
          <w:sz w:val="24"/>
        </w:rPr>
      </w:pPr>
    </w:p>
    <w:p>
      <w:pPr>
        <w:spacing w:line="360" w:lineRule="auto"/>
        <w:ind w:firstLine="480" w:firstLineChars="200"/>
        <w:rPr>
          <w:rFonts w:ascii="宋体" w:hAnsi="宋体" w:eastAsia="宋体" w:cs="Times New Roman"/>
          <w:color w:val="000000"/>
          <w:sz w:val="24"/>
        </w:rPr>
      </w:pPr>
    </w:p>
    <w:p>
      <w:pPr>
        <w:spacing w:line="360" w:lineRule="auto"/>
        <w:ind w:firstLine="480" w:firstLineChars="200"/>
        <w:rPr>
          <w:rFonts w:ascii="宋体" w:hAnsi="宋体" w:eastAsia="宋体" w:cs="Times New Roman"/>
          <w:color w:val="000000"/>
          <w:sz w:val="24"/>
        </w:rPr>
      </w:pPr>
    </w:p>
    <w:p>
      <w:pPr>
        <w:spacing w:line="360" w:lineRule="auto"/>
        <w:ind w:firstLine="480" w:firstLineChars="200"/>
        <w:rPr>
          <w:rFonts w:ascii="宋体" w:hAnsi="宋体" w:eastAsia="宋体" w:cs="Times New Roman"/>
          <w:color w:val="000000"/>
          <w:sz w:val="24"/>
        </w:rPr>
      </w:pPr>
    </w:p>
    <w:p>
      <w:pPr>
        <w:spacing w:line="360" w:lineRule="auto"/>
        <w:ind w:firstLine="482" w:firstLineChars="200"/>
        <w:rPr>
          <w:rFonts w:ascii="黑体" w:hAnsi="Times New Roman" w:eastAsia="黑体" w:cs="Times New Roman"/>
          <w:b/>
          <w:sz w:val="24"/>
        </w:rPr>
      </w:pPr>
    </w:p>
    <w:p>
      <w:pPr>
        <w:pStyle w:val="2"/>
        <w:jc w:val="center"/>
        <w:rPr>
          <w:rFonts w:ascii="黑体" w:hAnsi="黑体" w:eastAsia="黑体"/>
          <w:b w:val="0"/>
          <w:sz w:val="36"/>
          <w:szCs w:val="36"/>
        </w:rPr>
      </w:pPr>
      <w:bookmarkStart w:id="22" w:name="_Toc25706"/>
      <w:bookmarkStart w:id="23" w:name="_Toc17278747"/>
      <w:r>
        <w:rPr>
          <w:rFonts w:hint="eastAsia" w:ascii="黑体" w:hAnsi="黑体" w:eastAsia="黑体"/>
          <w:b w:val="0"/>
          <w:sz w:val="36"/>
          <w:szCs w:val="36"/>
        </w:rPr>
        <w:t>第二部分 应用化工技术专业人才需求</w:t>
      </w:r>
      <w:bookmarkEnd w:id="22"/>
    </w:p>
    <w:p>
      <w:pPr>
        <w:pStyle w:val="2"/>
        <w:jc w:val="center"/>
        <w:rPr>
          <w:rFonts w:ascii="黑体" w:hAnsi="黑体" w:eastAsia="黑体"/>
          <w:b w:val="0"/>
          <w:sz w:val="36"/>
          <w:szCs w:val="36"/>
        </w:rPr>
      </w:pPr>
      <w:bookmarkStart w:id="24" w:name="_Toc19125"/>
      <w:r>
        <w:rPr>
          <w:rFonts w:hint="eastAsia" w:ascii="黑体" w:hAnsi="黑体" w:eastAsia="黑体"/>
          <w:b w:val="0"/>
          <w:sz w:val="36"/>
          <w:szCs w:val="36"/>
        </w:rPr>
        <w:t>与专业建设调研报告</w:t>
      </w:r>
      <w:bookmarkEnd w:id="23"/>
      <w:bookmarkEnd w:id="24"/>
    </w:p>
    <w:p>
      <w:pPr>
        <w:pStyle w:val="3"/>
        <w:ind w:firstLine="480" w:firstLineChars="150"/>
        <w:rPr>
          <w:b w:val="0"/>
        </w:rPr>
      </w:pPr>
      <w:bookmarkStart w:id="25" w:name="_Toc17278748"/>
      <w:bookmarkStart w:id="26" w:name="_Toc341338637"/>
      <w:bookmarkStart w:id="27" w:name="_Toc23933"/>
      <w:bookmarkStart w:id="28" w:name="_Toc339913807"/>
      <w:bookmarkStart w:id="29" w:name="_Toc339985608"/>
      <w:r>
        <w:rPr>
          <w:rFonts w:hint="eastAsia"/>
          <w:b w:val="0"/>
        </w:rPr>
        <w:t>一、专业人才需求与专业建设调研基本思路与方法</w:t>
      </w:r>
      <w:bookmarkEnd w:id="25"/>
      <w:bookmarkEnd w:id="26"/>
      <w:bookmarkEnd w:id="27"/>
      <w:bookmarkEnd w:id="28"/>
      <w:bookmarkEnd w:id="29"/>
    </w:p>
    <w:p>
      <w:pPr>
        <w:spacing w:line="360" w:lineRule="auto"/>
        <w:ind w:firstLine="300" w:firstLineChars="100"/>
        <w:rPr>
          <w:rFonts w:ascii="黑体" w:hAnsi="黑体" w:eastAsia="黑体" w:cs="黑体"/>
          <w:bCs/>
          <w:sz w:val="30"/>
          <w:szCs w:val="30"/>
        </w:rPr>
      </w:pPr>
      <w:r>
        <w:rPr>
          <w:rFonts w:hint="eastAsia" w:ascii="黑体" w:hAnsi="黑体" w:eastAsia="黑体" w:cs="黑体"/>
          <w:bCs/>
          <w:sz w:val="30"/>
          <w:szCs w:val="30"/>
        </w:rPr>
        <w:t xml:space="preserve">（一）指导思想 </w:t>
      </w:r>
    </w:p>
    <w:p>
      <w:pPr>
        <w:spacing w:line="360" w:lineRule="auto"/>
        <w:ind w:firstLine="480" w:firstLineChars="200"/>
        <w:rPr>
          <w:rFonts w:ascii="宋体" w:hAnsi="宋体"/>
          <w:color w:val="000000"/>
          <w:sz w:val="24"/>
        </w:rPr>
      </w:pPr>
      <w:r>
        <w:rPr>
          <w:rFonts w:hint="eastAsia" w:ascii="宋体" w:hAnsi="宋体"/>
          <w:color w:val="000000"/>
          <w:sz w:val="24"/>
        </w:rPr>
        <w:t>坚持以科学发展观为指导，充分尊重化工行业用人单位对声场与服务一线高素质技能型人才的客观要求，结合本专业毕业生从业现状，以就业为指导，以能力为本位，以岗位群的需要和职业标准为依据。</w:t>
      </w:r>
    </w:p>
    <w:p>
      <w:pPr>
        <w:spacing w:line="360" w:lineRule="auto"/>
        <w:ind w:firstLine="300" w:firstLineChars="100"/>
        <w:rPr>
          <w:rFonts w:ascii="黑体" w:hAnsi="黑体" w:eastAsia="黑体" w:cs="黑体"/>
          <w:bCs/>
          <w:sz w:val="30"/>
          <w:szCs w:val="30"/>
        </w:rPr>
      </w:pPr>
      <w:r>
        <w:rPr>
          <w:rFonts w:hint="eastAsia" w:ascii="黑体" w:hAnsi="黑体" w:eastAsia="黑体" w:cs="黑体"/>
          <w:bCs/>
          <w:sz w:val="30"/>
          <w:szCs w:val="30"/>
        </w:rPr>
        <w:t xml:space="preserve">（二）基本思路 </w:t>
      </w:r>
    </w:p>
    <w:p>
      <w:pPr>
        <w:spacing w:line="360" w:lineRule="auto"/>
        <w:ind w:firstLine="480" w:firstLineChars="200"/>
        <w:rPr>
          <w:rFonts w:ascii="黑体" w:hAnsi="宋体" w:eastAsia="黑体"/>
          <w:sz w:val="32"/>
          <w:szCs w:val="32"/>
        </w:rPr>
      </w:pPr>
      <w:r>
        <w:rPr>
          <w:sz w:val="24"/>
        </w:rPr>
        <w:t>1</w:t>
      </w:r>
      <w:r>
        <w:rPr>
          <w:rFonts w:hint="eastAsia"/>
          <w:sz w:val="24"/>
        </w:rPr>
        <w:t>．</w:t>
      </w:r>
      <w:r>
        <w:rPr>
          <w:sz w:val="24"/>
        </w:rPr>
        <w:t>基本思路</w:t>
      </w:r>
    </w:p>
    <w:p>
      <w:pPr>
        <w:spacing w:line="360" w:lineRule="auto"/>
        <w:ind w:firstLine="480" w:firstLineChars="200"/>
        <w:rPr>
          <w:color w:val="000000" w:themeColor="text1"/>
          <w:sz w:val="24"/>
        </w:rPr>
      </w:pPr>
      <w:r>
        <w:rPr>
          <w:color w:val="000000" w:themeColor="text1"/>
          <w:sz w:val="24"/>
        </w:rPr>
        <w:t>以区域产业发展对人才需求的变化为依据明晰人才培养目标，以合作办学、合作育人、合作就业、合作发展为出发点，以促进专业与产业对接、课程内容与职业标准对接、教学过程与生产过程对接、学历证书与职业资格证书对接、职业教育与终身教育对接为任务，提出专业改革与专业建设的思路与方案，以提高专业服务产业发展能力为目标。</w:t>
      </w:r>
    </w:p>
    <w:p>
      <w:pPr>
        <w:spacing w:line="360" w:lineRule="auto"/>
        <w:ind w:firstLine="600" w:firstLineChars="250"/>
        <w:rPr>
          <w:sz w:val="24"/>
        </w:rPr>
      </w:pPr>
      <w:r>
        <w:rPr>
          <w:sz w:val="24"/>
        </w:rPr>
        <w:t>2</w:t>
      </w:r>
      <w:r>
        <w:rPr>
          <w:rFonts w:hint="eastAsia"/>
          <w:sz w:val="24"/>
        </w:rPr>
        <w:t>．</w:t>
      </w:r>
      <w:r>
        <w:rPr>
          <w:sz w:val="24"/>
        </w:rPr>
        <w:t>调研内容</w:t>
      </w:r>
    </w:p>
    <w:p>
      <w:pPr>
        <w:spacing w:line="360" w:lineRule="auto"/>
        <w:ind w:firstLine="480" w:firstLineChars="200"/>
        <w:rPr>
          <w:sz w:val="24"/>
        </w:rPr>
      </w:pPr>
      <w:r>
        <w:rPr>
          <w:sz w:val="24"/>
        </w:rPr>
        <w:t>（1）了解晋城及周边化工企业现状，分析应用化工技术专业的发展现状，预测应用化工技术专业的未来前景，为专业建设提供依据。</w:t>
      </w:r>
    </w:p>
    <w:p>
      <w:pPr>
        <w:spacing w:line="360" w:lineRule="auto"/>
        <w:ind w:firstLine="480" w:firstLineChars="200"/>
        <w:rPr>
          <w:sz w:val="24"/>
        </w:rPr>
      </w:pPr>
      <w:r>
        <w:rPr>
          <w:sz w:val="24"/>
        </w:rPr>
        <w:t>（2）调查本专业毕业生在企业的就业岗位，明确岗位任务和要求，为制定人才培养方案提供依据。</w:t>
      </w:r>
    </w:p>
    <w:p>
      <w:pPr>
        <w:spacing w:line="360" w:lineRule="auto"/>
        <w:ind w:firstLine="480" w:firstLineChars="200"/>
        <w:rPr>
          <w:sz w:val="24"/>
        </w:rPr>
      </w:pPr>
      <w:r>
        <w:rPr>
          <w:sz w:val="24"/>
        </w:rPr>
        <w:t>（3）分析岗位工作任务，明确不同岗位所需的知识、能力和素质要求，为课程建设提供依据。</w:t>
      </w:r>
    </w:p>
    <w:p>
      <w:pPr>
        <w:spacing w:line="360" w:lineRule="auto"/>
        <w:ind w:firstLine="480" w:firstLineChars="200"/>
        <w:rPr>
          <w:sz w:val="24"/>
        </w:rPr>
      </w:pPr>
      <w:r>
        <w:rPr>
          <w:sz w:val="24"/>
        </w:rPr>
        <w:t>（4）掌握同类型院校教学与学生就业情况，了解教学过程中存在的问题，为应用化工技术专业教学组织和教学改革提供依据。</w:t>
      </w:r>
    </w:p>
    <w:p>
      <w:pPr>
        <w:spacing w:line="360" w:lineRule="auto"/>
        <w:ind w:firstLine="480" w:firstLineChars="200"/>
        <w:rPr>
          <w:sz w:val="24"/>
        </w:rPr>
      </w:pPr>
      <w:r>
        <w:rPr>
          <w:rFonts w:hint="eastAsia"/>
          <w:sz w:val="24"/>
        </w:rPr>
        <w:t>（5）调研周边典型企业对化工类专业人才的情况和企业对高职院校毕业生的看法和基本要求，为我校教育建设指明方向。</w:t>
      </w:r>
    </w:p>
    <w:p>
      <w:pPr>
        <w:spacing w:line="360" w:lineRule="auto"/>
        <w:ind w:firstLine="300" w:firstLineChars="100"/>
        <w:rPr>
          <w:rFonts w:ascii="黑体" w:hAnsi="黑体" w:eastAsia="黑体" w:cs="黑体"/>
          <w:bCs/>
          <w:sz w:val="30"/>
          <w:szCs w:val="30"/>
        </w:rPr>
      </w:pPr>
      <w:r>
        <w:rPr>
          <w:rFonts w:hint="eastAsia" w:ascii="黑体" w:hAnsi="黑体" w:eastAsia="黑体" w:cs="黑体"/>
          <w:bCs/>
          <w:sz w:val="30"/>
          <w:szCs w:val="30"/>
        </w:rPr>
        <w:t xml:space="preserve">（三）调研方法 </w:t>
      </w:r>
    </w:p>
    <w:p>
      <w:pPr>
        <w:spacing w:line="360" w:lineRule="auto"/>
        <w:ind w:firstLine="600" w:firstLineChars="250"/>
        <w:rPr>
          <w:sz w:val="24"/>
        </w:rPr>
      </w:pPr>
      <w:bookmarkStart w:id="30" w:name="_Toc339985609"/>
      <w:bookmarkStart w:id="31" w:name="_Toc339913808"/>
      <w:bookmarkStart w:id="32" w:name="_Toc341338638"/>
      <w:r>
        <w:rPr>
          <w:rFonts w:hint="eastAsia"/>
          <w:sz w:val="24"/>
        </w:rPr>
        <w:t>1．</w:t>
      </w:r>
      <w:r>
        <w:rPr>
          <w:sz w:val="24"/>
        </w:rPr>
        <w:t>行业调研：掌握行业发展现况</w:t>
      </w:r>
      <w:r>
        <w:rPr>
          <w:rFonts w:hint="eastAsia"/>
          <w:sz w:val="24"/>
        </w:rPr>
        <w:t>及</w:t>
      </w:r>
      <w:r>
        <w:rPr>
          <w:sz w:val="24"/>
        </w:rPr>
        <w:t>方向</w:t>
      </w:r>
      <w:r>
        <w:rPr>
          <w:rFonts w:hint="eastAsia"/>
          <w:sz w:val="24"/>
        </w:rPr>
        <w:t>；</w:t>
      </w:r>
    </w:p>
    <w:p>
      <w:pPr>
        <w:spacing w:line="360" w:lineRule="auto"/>
        <w:ind w:left="479" w:leftChars="228"/>
        <w:rPr>
          <w:sz w:val="24"/>
        </w:rPr>
      </w:pPr>
      <w:r>
        <w:rPr>
          <w:rFonts w:hint="eastAsia"/>
          <w:sz w:val="24"/>
        </w:rPr>
        <w:t>调研方法：信息查询、走访调查、与相关管理层人员座谈。</w:t>
      </w:r>
    </w:p>
    <w:p>
      <w:pPr>
        <w:spacing w:line="360" w:lineRule="auto"/>
        <w:ind w:firstLine="600" w:firstLineChars="250"/>
        <w:rPr>
          <w:sz w:val="24"/>
        </w:rPr>
      </w:pPr>
      <w:r>
        <w:rPr>
          <w:rFonts w:hint="eastAsia"/>
          <w:sz w:val="24"/>
        </w:rPr>
        <w:t>2．</w:t>
      </w:r>
      <w:r>
        <w:rPr>
          <w:sz w:val="24"/>
        </w:rPr>
        <w:t>企业调研：筛选部分有代表性的化工企业，调查企业发展状况和人才需求情况，搞清楚对人才质量及规格的要求；</w:t>
      </w:r>
    </w:p>
    <w:p>
      <w:pPr>
        <w:spacing w:line="360" w:lineRule="auto"/>
        <w:ind w:firstLine="480" w:firstLineChars="200"/>
        <w:rPr>
          <w:sz w:val="24"/>
        </w:rPr>
      </w:pPr>
      <w:r>
        <w:rPr>
          <w:rFonts w:hint="eastAsia"/>
          <w:sz w:val="24"/>
        </w:rPr>
        <w:t>调研方法：</w:t>
      </w:r>
      <w:r>
        <w:rPr>
          <w:sz w:val="24"/>
        </w:rPr>
        <w:t>问卷调查、与企业高层管理人员</w:t>
      </w:r>
      <w:r>
        <w:rPr>
          <w:rFonts w:hint="eastAsia"/>
          <w:sz w:val="24"/>
        </w:rPr>
        <w:t>、</w:t>
      </w:r>
      <w:r>
        <w:rPr>
          <w:sz w:val="24"/>
        </w:rPr>
        <w:t>基层管理人员</w:t>
      </w:r>
      <w:r>
        <w:rPr>
          <w:rFonts w:hint="eastAsia"/>
          <w:sz w:val="24"/>
        </w:rPr>
        <w:t>、</w:t>
      </w:r>
      <w:r>
        <w:rPr>
          <w:sz w:val="24"/>
        </w:rPr>
        <w:t>技术骨干</w:t>
      </w:r>
      <w:r>
        <w:rPr>
          <w:rFonts w:hint="eastAsia"/>
          <w:sz w:val="24"/>
        </w:rPr>
        <w:t>、</w:t>
      </w:r>
      <w:r>
        <w:rPr>
          <w:sz w:val="24"/>
        </w:rPr>
        <w:t>一线工人代表及毕业生座谈</w:t>
      </w:r>
      <w:r>
        <w:rPr>
          <w:rFonts w:hint="eastAsia"/>
          <w:sz w:val="24"/>
        </w:rPr>
        <w:t>、组织讨论。</w:t>
      </w:r>
    </w:p>
    <w:p>
      <w:pPr>
        <w:spacing w:line="360" w:lineRule="auto"/>
        <w:ind w:firstLine="600" w:firstLineChars="250"/>
        <w:rPr>
          <w:sz w:val="24"/>
        </w:rPr>
      </w:pPr>
      <w:r>
        <w:rPr>
          <w:rFonts w:hint="eastAsia"/>
          <w:sz w:val="24"/>
        </w:rPr>
        <w:t>3．</w:t>
      </w:r>
      <w:r>
        <w:rPr>
          <w:sz w:val="24"/>
        </w:rPr>
        <w:t>同类型院校调研：了解应用化工技术专业设置、学生人数、教学情况、就业方向。</w:t>
      </w:r>
    </w:p>
    <w:p>
      <w:pPr>
        <w:spacing w:line="360" w:lineRule="auto"/>
        <w:ind w:firstLine="480" w:firstLineChars="200"/>
        <w:rPr>
          <w:sz w:val="24"/>
        </w:rPr>
      </w:pPr>
      <w:r>
        <w:rPr>
          <w:sz w:val="24"/>
        </w:rPr>
        <w:t>调研方法</w:t>
      </w:r>
      <w:r>
        <w:rPr>
          <w:rFonts w:hint="eastAsia"/>
          <w:sz w:val="24"/>
        </w:rPr>
        <w:t>：</w:t>
      </w:r>
      <w:r>
        <w:rPr>
          <w:sz w:val="24"/>
        </w:rPr>
        <w:t>走访调</w:t>
      </w:r>
      <w:r>
        <w:rPr>
          <w:rFonts w:hint="eastAsia"/>
          <w:sz w:val="24"/>
        </w:rPr>
        <w:t>研</w:t>
      </w:r>
      <w:r>
        <w:rPr>
          <w:sz w:val="24"/>
        </w:rPr>
        <w:t>、信息查询、专题研讨</w:t>
      </w:r>
      <w:r>
        <w:rPr>
          <w:rFonts w:hint="eastAsia"/>
          <w:sz w:val="24"/>
        </w:rPr>
        <w:t>。</w:t>
      </w:r>
    </w:p>
    <w:p>
      <w:pPr>
        <w:pStyle w:val="3"/>
        <w:ind w:firstLine="480" w:firstLineChars="150"/>
        <w:rPr>
          <w:b w:val="0"/>
        </w:rPr>
      </w:pPr>
      <w:bookmarkStart w:id="33" w:name="_Toc17278749"/>
      <w:bookmarkStart w:id="34" w:name="_Toc25754"/>
      <w:r>
        <w:rPr>
          <w:rFonts w:hint="eastAsia"/>
          <w:b w:val="0"/>
        </w:rPr>
        <w:t>二、专业人才需求调研</w:t>
      </w:r>
      <w:bookmarkEnd w:id="30"/>
      <w:bookmarkEnd w:id="31"/>
      <w:bookmarkEnd w:id="32"/>
      <w:bookmarkEnd w:id="33"/>
      <w:bookmarkEnd w:id="34"/>
    </w:p>
    <w:p>
      <w:pPr>
        <w:spacing w:line="360" w:lineRule="auto"/>
        <w:ind w:firstLine="300" w:firstLineChars="100"/>
        <w:rPr>
          <w:rFonts w:ascii="黑体" w:hAnsi="黑体" w:eastAsia="黑体" w:cs="黑体"/>
          <w:bCs/>
          <w:sz w:val="30"/>
          <w:szCs w:val="30"/>
        </w:rPr>
      </w:pPr>
      <w:r>
        <w:rPr>
          <w:rFonts w:hint="eastAsia" w:ascii="黑体" w:hAnsi="黑体" w:eastAsia="黑体" w:cs="黑体"/>
          <w:bCs/>
          <w:sz w:val="30"/>
          <w:szCs w:val="30"/>
        </w:rPr>
        <w:t>（一）行业发展社会背景与政策</w:t>
      </w:r>
    </w:p>
    <w:p>
      <w:pPr>
        <w:pStyle w:val="17"/>
        <w:shd w:val="clear" w:color="auto" w:fill="FFFFFF"/>
        <w:snapToGrid w:val="0"/>
        <w:spacing w:line="360" w:lineRule="auto"/>
        <w:ind w:firstLine="480" w:firstLineChars="200"/>
        <w:rPr>
          <w:rFonts w:ascii="Times New Roman" w:hAnsi="Times New Roman" w:cs="Times New Roman"/>
        </w:rPr>
      </w:pPr>
      <w:r>
        <w:rPr>
          <w:rFonts w:ascii="Times New Roman" w:hAnsi="Times New Roman" w:cs="Times New Roman"/>
        </w:rPr>
        <w:t>化学工业在各国的国民经济中占有重要地位，是许多国家的基础产业和支柱产业</w:t>
      </w:r>
      <w:r>
        <w:rPr>
          <w:rFonts w:hint="eastAsia" w:ascii="Times New Roman" w:hAnsi="Times New Roman" w:cs="Times New Roman"/>
        </w:rPr>
        <w:t>，</w:t>
      </w:r>
      <w:r>
        <w:rPr>
          <w:rFonts w:ascii="Times New Roman" w:hAnsi="Times New Roman" w:cs="Times New Roman"/>
        </w:rPr>
        <w:t>其渗透各个方面，是国民经济中不可或缺的重要组成部分</w:t>
      </w:r>
      <w:r>
        <w:rPr>
          <w:rFonts w:hint="eastAsia" w:ascii="Times New Roman" w:hAnsi="Times New Roman" w:cs="Times New Roman"/>
        </w:rPr>
        <w:t>。</w:t>
      </w:r>
      <w:r>
        <w:rPr>
          <w:rFonts w:ascii="Times New Roman" w:hAnsi="Times New Roman" w:cs="Times New Roman"/>
        </w:rPr>
        <w:t>化学工业的发展速度和规模对社会经济的各个部门有着直接影响，世界化工产品年产值已超过15000亿美元。化学工业发展走可持续发展道路对于人类经济、社会发展具有重要的现实意义。化工行业</w:t>
      </w:r>
      <w:r>
        <w:rPr>
          <w:rFonts w:hint="eastAsia" w:ascii="Times New Roman" w:hAnsi="Times New Roman" w:cs="Times New Roman"/>
        </w:rPr>
        <w:t>的</w:t>
      </w:r>
      <w:r>
        <w:rPr>
          <w:rFonts w:ascii="Times New Roman" w:hAnsi="Times New Roman" w:cs="Times New Roman"/>
        </w:rPr>
        <w:t>发展离不开人类人才的支持</w:t>
      </w:r>
      <w:r>
        <w:rPr>
          <w:rFonts w:hint="eastAsia" w:ascii="Times New Roman" w:hAnsi="Times New Roman" w:cs="Times New Roman"/>
        </w:rPr>
        <w:t>，</w:t>
      </w:r>
      <w:r>
        <w:rPr>
          <w:rFonts w:ascii="Times New Roman" w:hAnsi="Times New Roman" w:cs="Times New Roman"/>
        </w:rPr>
        <w:t>化工行业的发展将产生大量的人才需求</w:t>
      </w:r>
      <w:r>
        <w:rPr>
          <w:rFonts w:hint="eastAsia" w:ascii="Times New Roman" w:hAnsi="Times New Roman" w:cs="Times New Roman"/>
        </w:rPr>
        <w:t>，</w:t>
      </w:r>
      <w:r>
        <w:rPr>
          <w:rFonts w:ascii="Times New Roman" w:hAnsi="Times New Roman" w:cs="Times New Roman"/>
        </w:rPr>
        <w:t>且对人才提出更高的要求</w:t>
      </w:r>
      <w:r>
        <w:rPr>
          <w:rFonts w:hint="eastAsia" w:ascii="Times New Roman" w:hAnsi="Times New Roman" w:cs="Times New Roman"/>
        </w:rPr>
        <w:t>。现代化工生产是一个规模化、技术化、系统化、自动化程度非常高的行业，对人员要求较细的分工和突出的岗位针对性，工作过程相对复杂。长期以来，由于多种因素的影响，化工行业从业人员尤其是一线人员文化、知识和技能等水平不高，化工生产过程正由过去的劳动密集型向技术密集型迅速转化，生产单位急需大量符合现代化工发展要求的高素质技术技能人才。</w:t>
      </w:r>
    </w:p>
    <w:p>
      <w:pPr>
        <w:pStyle w:val="17"/>
        <w:shd w:val="clear" w:color="auto" w:fill="FFFFFF"/>
        <w:snapToGrid w:val="0"/>
        <w:spacing w:line="360" w:lineRule="auto"/>
        <w:ind w:firstLine="480" w:firstLineChars="200"/>
        <w:rPr>
          <w:rFonts w:ascii="Times New Roman" w:hAnsi="Times New Roman" w:cs="Times New Roman"/>
        </w:rPr>
      </w:pPr>
      <w:r>
        <w:rPr>
          <w:rFonts w:hint="eastAsia" w:ascii="Times New Roman" w:hAnsi="Times New Roman" w:cs="Times New Roman"/>
        </w:rPr>
        <w:t>依据《</w:t>
      </w:r>
      <w:r>
        <w:rPr>
          <w:rFonts w:ascii="Times New Roman" w:hAnsi="Times New Roman" w:cs="Times New Roman"/>
        </w:rPr>
        <w:t>山西省“十三五”化学工业发展规划</w:t>
      </w:r>
      <w:r>
        <w:rPr>
          <w:rFonts w:hint="eastAsia" w:ascii="Times New Roman" w:hAnsi="Times New Roman" w:cs="Times New Roman"/>
        </w:rPr>
        <w:t>》，</w:t>
      </w:r>
      <w:r>
        <w:rPr>
          <w:rFonts w:ascii="Times New Roman" w:hAnsi="Times New Roman" w:cs="Times New Roman"/>
        </w:rPr>
        <w:t>山西将重点发展煤化工、炼焦化产品深加工、盐化工、、化工新材料、化工装备制造、“互联网+化工”模式等产业，构建山西特色化学工业新体系，实现由原料制造向材料制造转变。到2020年全省化学工业规模以上企业年主营业务收入有望达到1500亿元，行业年转化利用煤炭超过5000万吨。到2020年，晋北现代煤化工基地初步建成，现代煤化工成为拉动</w:t>
      </w:r>
      <w:r>
        <w:rPr>
          <w:rFonts w:hint="eastAsia" w:ascii="Times New Roman" w:hAnsi="Times New Roman" w:cs="Times New Roman"/>
        </w:rPr>
        <w:t>我</w:t>
      </w:r>
      <w:r>
        <w:rPr>
          <w:rFonts w:ascii="Times New Roman" w:hAnsi="Times New Roman" w:cs="Times New Roman"/>
        </w:rPr>
        <w:t>省化学工业发展的新引擎;晋东、晋中(南)基地产业结构进一步优化，化肥、甲醇、炼焦化产品加工、乙炔化工等行业集中度进一步提高。重点发展的26个化工园区产品收入占全省80%以上</w:t>
      </w:r>
      <w:r>
        <w:rPr>
          <w:rFonts w:hint="eastAsia" w:ascii="Times New Roman" w:hAnsi="Times New Roman" w:cs="Times New Roman"/>
        </w:rPr>
        <w:t>，</w:t>
      </w:r>
      <w:r>
        <w:rPr>
          <w:rFonts w:ascii="Times New Roman" w:hAnsi="Times New Roman" w:cs="Times New Roman"/>
        </w:rPr>
        <w:t>全行业主营业务收入超100亿元企业10户。</w:t>
      </w:r>
      <w:r>
        <w:rPr>
          <w:rFonts w:hint="eastAsia" w:ascii="Times New Roman" w:hAnsi="Times New Roman" w:cs="Times New Roman"/>
        </w:rPr>
        <w:t>《“十三五”战略性新兴产业发展规划》指出，将重点支持省内大型煤炭企业的重点现代煤化工项目建设，包括煤制油、煤制烯烃、　煤制乙二醇、煤制芳烃方面，从而对现代煤化工产业基地再布局，科学有序稳妥发展现代煤化工。</w:t>
      </w:r>
      <w:r>
        <w:rPr>
          <w:rFonts w:ascii="Times New Roman" w:hAnsi="Times New Roman" w:cs="Times New Roman"/>
        </w:rPr>
        <w:t>晋城市以天泽、兰花等大企业大集团为龙头，以巴公、高平西部、北留周村等化工园区为载体，围绕</w:t>
      </w:r>
      <w:r>
        <w:rPr>
          <w:rFonts w:hint="eastAsia" w:ascii="Times New Roman" w:hAnsi="Times New Roman" w:cs="Times New Roman"/>
        </w:rPr>
        <w:t>“</w:t>
      </w:r>
      <w:r>
        <w:rPr>
          <w:rFonts w:ascii="Times New Roman" w:hAnsi="Times New Roman" w:cs="Times New Roman"/>
        </w:rPr>
        <w:t>肥、醇、醚、烃、油</w:t>
      </w:r>
      <w:r>
        <w:rPr>
          <w:rFonts w:hint="eastAsia" w:ascii="Times New Roman" w:hAnsi="Times New Roman" w:cs="Times New Roman"/>
        </w:rPr>
        <w:t>”</w:t>
      </w:r>
      <w:r>
        <w:rPr>
          <w:rFonts w:ascii="Times New Roman" w:hAnsi="Times New Roman" w:cs="Times New Roman"/>
        </w:rPr>
        <w:t>五条发展主线，拉长产业链条，增加附加值，形成</w:t>
      </w:r>
      <w:r>
        <w:rPr>
          <w:rFonts w:hint="eastAsia" w:ascii="Times New Roman" w:hAnsi="Times New Roman" w:cs="Times New Roman"/>
        </w:rPr>
        <w:t>了</w:t>
      </w:r>
      <w:r>
        <w:rPr>
          <w:rFonts w:ascii="Times New Roman" w:hAnsi="Times New Roman" w:cs="Times New Roman"/>
        </w:rPr>
        <w:t>煤、肥、电和醇、醚、烃及精细化工并举的格局。推进了兰花煤化工、晋煤集团合成油、天泽煤化工二期、金象煤化工一期</w:t>
      </w:r>
      <w:r>
        <w:rPr>
          <w:rFonts w:hint="eastAsia" w:ascii="Times New Roman" w:hAnsi="Times New Roman" w:cs="Times New Roman"/>
        </w:rPr>
        <w:t>、</w:t>
      </w:r>
      <w:r>
        <w:rPr>
          <w:rFonts w:ascii="Times New Roman" w:hAnsi="Times New Roman" w:cs="Times New Roman"/>
        </w:rPr>
        <w:t>高平化工年产5万吨糠醛系列产品</w:t>
      </w:r>
      <w:r>
        <w:rPr>
          <w:rFonts w:hint="eastAsia" w:ascii="Times New Roman" w:hAnsi="Times New Roman" w:cs="Times New Roman"/>
        </w:rPr>
        <w:t>、兰花己内酰胺、晋煤华昱高硫煤洁净利用</w:t>
      </w:r>
      <w:r>
        <w:rPr>
          <w:rFonts w:ascii="Times New Roman" w:hAnsi="Times New Roman" w:cs="Times New Roman"/>
        </w:rPr>
        <w:t>等项目建设</w:t>
      </w:r>
      <w:r>
        <w:rPr>
          <w:rFonts w:hint="eastAsia" w:ascii="Times New Roman" w:hAnsi="Times New Roman" w:cs="Times New Roman"/>
        </w:rPr>
        <w:t>，</w:t>
      </w:r>
      <w:r>
        <w:rPr>
          <w:rFonts w:ascii="Times New Roman" w:hAnsi="Times New Roman" w:cs="Times New Roman"/>
        </w:rPr>
        <w:t>且总投资100亿元的巴公园区气化升级改造暨产业结构调整项目</w:t>
      </w:r>
      <w:r>
        <w:rPr>
          <w:rFonts w:hint="eastAsia" w:ascii="Times New Roman" w:hAnsi="Times New Roman" w:cs="Times New Roman"/>
        </w:rPr>
        <w:t>2019年3月份</w:t>
      </w:r>
      <w:r>
        <w:rPr>
          <w:rFonts w:ascii="Times New Roman" w:hAnsi="Times New Roman" w:cs="Times New Roman"/>
        </w:rPr>
        <w:t>正式开工</w:t>
      </w:r>
      <w:r>
        <w:rPr>
          <w:rFonts w:hint="eastAsia" w:ascii="Times New Roman" w:hAnsi="Times New Roman" w:cs="Times New Roman"/>
        </w:rPr>
        <w:t>。这种良好背景环境下，企业用工数量将不断增加，将会促进</w:t>
      </w:r>
      <w:r>
        <w:rPr>
          <w:rFonts w:hint="eastAsia"/>
        </w:rPr>
        <w:t>我院应用化工技术专业的发展，为</w:t>
      </w:r>
      <w:r>
        <w:rPr>
          <w:rFonts w:hint="eastAsia" w:ascii="Times New Roman" w:hAnsi="Times New Roman" w:cs="Times New Roman"/>
        </w:rPr>
        <w:t>本专业毕业生的才华施展创造有利环境。</w:t>
      </w:r>
    </w:p>
    <w:p>
      <w:pPr>
        <w:spacing w:line="360" w:lineRule="auto"/>
        <w:ind w:firstLine="300" w:firstLineChars="100"/>
        <w:rPr>
          <w:rFonts w:ascii="黑体" w:hAnsi="黑体" w:eastAsia="黑体" w:cs="黑体"/>
          <w:bCs/>
          <w:sz w:val="30"/>
          <w:szCs w:val="30"/>
        </w:rPr>
      </w:pPr>
      <w:r>
        <w:rPr>
          <w:rFonts w:hint="eastAsia" w:ascii="黑体" w:hAnsi="黑体" w:eastAsia="黑体" w:cs="黑体"/>
          <w:bCs/>
          <w:sz w:val="30"/>
          <w:szCs w:val="30"/>
        </w:rPr>
        <w:t>（二）行业发展与人才需求</w:t>
      </w:r>
    </w:p>
    <w:p>
      <w:pPr>
        <w:spacing w:line="360" w:lineRule="auto"/>
        <w:ind w:firstLine="480" w:firstLineChars="200"/>
        <w:rPr>
          <w:kern w:val="0"/>
          <w:sz w:val="24"/>
        </w:rPr>
      </w:pPr>
      <w:r>
        <w:rPr>
          <w:rFonts w:hint="eastAsia"/>
          <w:kern w:val="0"/>
          <w:sz w:val="24"/>
        </w:rPr>
        <w:t>针</w:t>
      </w:r>
      <w:r>
        <w:rPr>
          <w:kern w:val="0"/>
          <w:sz w:val="24"/>
        </w:rPr>
        <w:t>对晋城周边典型的大型化工企业</w:t>
      </w:r>
      <w:r>
        <w:rPr>
          <w:rFonts w:hint="eastAsia"/>
          <w:kern w:val="0"/>
          <w:sz w:val="24"/>
        </w:rPr>
        <w:t>山西天泽煤化工集团股份公司和</w:t>
      </w:r>
      <w:r>
        <w:rPr>
          <w:kern w:val="0"/>
          <w:sz w:val="24"/>
        </w:rPr>
        <w:t>山西兰花科技创业股份有限公司下属</w:t>
      </w:r>
      <w:r>
        <w:rPr>
          <w:sz w:val="24"/>
        </w:rPr>
        <w:t>化工厂</w:t>
      </w:r>
      <w:r>
        <w:rPr>
          <w:rFonts w:hint="eastAsia"/>
          <w:sz w:val="24"/>
        </w:rPr>
        <w:t>，</w:t>
      </w:r>
      <w:r>
        <w:rPr>
          <w:sz w:val="24"/>
        </w:rPr>
        <w:t>以及一些私营小型化工企业</w:t>
      </w:r>
      <w:r>
        <w:rPr>
          <w:rFonts w:hint="eastAsia"/>
          <w:sz w:val="24"/>
        </w:rPr>
        <w:t>的</w:t>
      </w:r>
      <w:r>
        <w:rPr>
          <w:kern w:val="0"/>
          <w:sz w:val="24"/>
        </w:rPr>
        <w:t>调研</w:t>
      </w:r>
      <w:r>
        <w:rPr>
          <w:rFonts w:hint="eastAsia"/>
          <w:kern w:val="0"/>
          <w:sz w:val="24"/>
        </w:rPr>
        <w:t>，了解到对于大型化工企业来说，企业管理人员大多为本科及以上学历的工程师，管理人员比例均不超过企业员工总量的15%，生产性岗位人员占70%以上，</w:t>
      </w:r>
      <w:r>
        <w:rPr>
          <w:rFonts w:hint="eastAsia"/>
          <w:color w:val="000000" w:themeColor="text1"/>
          <w:kern w:val="0"/>
          <w:sz w:val="24"/>
        </w:rPr>
        <w:t>其中高中及中职学历约占50%，高职学历约为20%，高中以下学历还有15%。对于私营小型企业来说，高中以下学历的人员比例甚至占到了60%以上。不难发现</w:t>
      </w:r>
      <w:r>
        <w:rPr>
          <w:rFonts w:hint="eastAsia"/>
          <w:kern w:val="0"/>
          <w:sz w:val="24"/>
        </w:rPr>
        <w:t>化工人才的整体学历水平偏低，企业中职、高中学历工人的比例偏大。虽然受环保压力影响，一些化工企业必须限产，出现人员过剩现象。但是从长远利益来看。企业员工学历素质过低，是影响区域化工行业发展的主要原因。要想化工行业有竞争力，持续良性发展，化工企业未来人才需求是十分巨大的，高职学生有望占到企业用工总量的70%以上。</w:t>
      </w:r>
    </w:p>
    <w:p>
      <w:pPr>
        <w:spacing w:line="360" w:lineRule="auto"/>
        <w:ind w:firstLine="480" w:firstLineChars="200"/>
        <w:rPr>
          <w:kern w:val="0"/>
          <w:sz w:val="24"/>
        </w:rPr>
      </w:pPr>
      <w:r>
        <w:rPr>
          <w:rFonts w:hint="eastAsia"/>
          <w:kern w:val="0"/>
          <w:sz w:val="24"/>
        </w:rPr>
        <w:t>除此之外，企业基本期望毕业就职的高职生能具有较强的理论功底，表现出专业的水平，且有较强的适应能力，能吃苦耐劳，具有较好的职业道德，服从管理，忠于公司。但在企业对高职院校毕业生的看法中，普遍认为高职生专业理论功底弱、无专业水平，不能为企业带来新活力，其次是不勤奋好学，职业道德不高，公司管理吃力。</w:t>
      </w:r>
    </w:p>
    <w:p>
      <w:pPr>
        <w:spacing w:line="360" w:lineRule="auto"/>
        <w:ind w:firstLine="480" w:firstLineChars="200"/>
        <w:rPr>
          <w:kern w:val="0"/>
          <w:sz w:val="24"/>
        </w:rPr>
      </w:pPr>
      <w:r>
        <w:rPr>
          <w:rFonts w:hint="eastAsia"/>
          <w:kern w:val="0"/>
          <w:sz w:val="24"/>
        </w:rPr>
        <w:t>在企业要求化工类人才应具备的素质结构中，专业素质选项最高，为100%，其次是学习能力、思想道德素质、奉献精神和人文科学知识。由此可见，在化工行业中一定要具备一定的专业素质，才能投入到化工生产中去。</w:t>
      </w:r>
    </w:p>
    <w:p>
      <w:pPr>
        <w:spacing w:line="360" w:lineRule="auto"/>
        <w:ind w:firstLine="480" w:firstLineChars="200"/>
        <w:rPr>
          <w:kern w:val="0"/>
          <w:sz w:val="24"/>
        </w:rPr>
      </w:pPr>
      <w:r>
        <w:rPr>
          <w:rFonts w:hint="eastAsia"/>
          <w:kern w:val="0"/>
          <w:sz w:val="24"/>
        </w:rPr>
        <w:t>在企业要求化工类人才应具备的专业能力中，化工分析能力排于首位，其次分别是实验能力、化工设备操作能力、团队合作能力和工艺创新能力。</w:t>
      </w:r>
    </w:p>
    <w:p>
      <w:pPr>
        <w:spacing w:line="360" w:lineRule="auto"/>
        <w:ind w:firstLine="480" w:firstLineChars="200"/>
        <w:rPr>
          <w:kern w:val="0"/>
          <w:sz w:val="24"/>
        </w:rPr>
      </w:pPr>
      <w:r>
        <w:rPr>
          <w:rFonts w:hint="eastAsia"/>
          <w:kern w:val="0"/>
          <w:sz w:val="24"/>
        </w:rPr>
        <w:t>另外，企业反映现大量需要应用化工技术与自动控制双专业人才，且此类高职生的主要工作定位于生产一线。</w:t>
      </w:r>
    </w:p>
    <w:p>
      <w:pPr>
        <w:spacing w:line="360" w:lineRule="auto"/>
        <w:ind w:firstLine="450" w:firstLineChars="150"/>
        <w:rPr>
          <w:rFonts w:ascii="黑体" w:hAnsi="黑体" w:eastAsia="黑体" w:cs="黑体"/>
          <w:bCs/>
          <w:sz w:val="30"/>
          <w:szCs w:val="30"/>
        </w:rPr>
      </w:pPr>
      <w:r>
        <w:rPr>
          <w:rFonts w:hint="eastAsia" w:ascii="黑体" w:hAnsi="黑体" w:eastAsia="黑体" w:cs="黑体"/>
          <w:bCs/>
          <w:sz w:val="30"/>
          <w:szCs w:val="30"/>
        </w:rPr>
        <w:t>（三）区域专业对应的职业岗位分析</w:t>
      </w:r>
    </w:p>
    <w:p>
      <w:pPr>
        <w:spacing w:line="360" w:lineRule="auto"/>
        <w:ind w:left="120" w:leftChars="57" w:firstLine="480" w:firstLineChars="200"/>
        <w:rPr>
          <w:sz w:val="24"/>
        </w:rPr>
      </w:pPr>
      <w:r>
        <w:rPr>
          <w:rFonts w:hint="eastAsia"/>
          <w:sz w:val="24"/>
        </w:rPr>
        <w:t>通过采取现场调研、问卷调查、与企业管理人员、技术骨干、一线工人及往届毕业生座谈讨论等形式，对晋城周边典型的大型化工企业进行调研，确定应用化工技术专业毕业生面向的职业岗位主要包括：化工生产操作（工艺运行控制）、化工产品检验（化工分析）、化工设备操作与维护、</w:t>
      </w:r>
      <w:r>
        <w:rPr>
          <w:rFonts w:hint="eastAsia"/>
          <w:color w:val="000000" w:themeColor="text1"/>
          <w:sz w:val="24"/>
        </w:rPr>
        <w:t>化工仪表使用及维护</w:t>
      </w:r>
      <w:r>
        <w:rPr>
          <w:rFonts w:hint="eastAsia"/>
          <w:sz w:val="24"/>
        </w:rPr>
        <w:t>、车间管理等岗位。其中化工生产操作（工艺运行控制）、化工产品检验（化工分析）和化工设备操作与维护是目前企业的急需岗位。</w:t>
      </w:r>
    </w:p>
    <w:p>
      <w:pPr>
        <w:spacing w:line="360" w:lineRule="auto"/>
        <w:ind w:left="120" w:leftChars="57" w:firstLine="600" w:firstLineChars="250"/>
        <w:rPr>
          <w:sz w:val="24"/>
        </w:rPr>
      </w:pPr>
      <w:r>
        <w:rPr>
          <w:rFonts w:hint="eastAsia"/>
          <w:sz w:val="24"/>
        </w:rPr>
        <w:t>需要的核心能力主要有：生产的操作技能、分析仪器的使用操作能力、设备的使用和维护能力。需要的基础知识包括基础化学知识、化工原理、化工设备基础、化工仪表自动化、化工工艺、对新知识的理解能力等。</w:t>
      </w:r>
    </w:p>
    <w:p>
      <w:pPr>
        <w:spacing w:line="360" w:lineRule="auto"/>
        <w:ind w:left="599" w:leftChars="228" w:hanging="120" w:hangingChars="50"/>
        <w:rPr>
          <w:sz w:val="24"/>
        </w:rPr>
      </w:pPr>
      <w:r>
        <w:rPr>
          <w:rFonts w:hint="eastAsia"/>
          <w:sz w:val="24"/>
        </w:rPr>
        <w:t>各岗位对应用化工专业人才除了专业能力的要求外，还需具有良好的语言表</w:t>
      </w:r>
    </w:p>
    <w:p>
      <w:pPr>
        <w:spacing w:line="360" w:lineRule="auto"/>
        <w:ind w:left="120" w:leftChars="57"/>
        <w:rPr>
          <w:sz w:val="24"/>
        </w:rPr>
      </w:pPr>
      <w:r>
        <w:rPr>
          <w:rFonts w:hint="eastAsia"/>
          <w:sz w:val="24"/>
        </w:rPr>
        <w:t>达能力、组织协调能力、团队合作能力和交流沟通能力，要具有良好的心里素质，职业规范、质量意识、安全意识和环保意识。</w:t>
      </w:r>
    </w:p>
    <w:p>
      <w:pPr>
        <w:spacing w:line="360" w:lineRule="auto"/>
        <w:ind w:firstLine="300" w:firstLineChars="100"/>
        <w:rPr>
          <w:rFonts w:ascii="黑体" w:hAnsi="黑体" w:eastAsia="黑体" w:cs="黑体"/>
          <w:bCs/>
          <w:sz w:val="30"/>
          <w:szCs w:val="30"/>
        </w:rPr>
      </w:pPr>
      <w:r>
        <w:rPr>
          <w:rFonts w:hint="eastAsia" w:ascii="黑体" w:hAnsi="黑体" w:eastAsia="黑体" w:cs="黑体"/>
          <w:bCs/>
          <w:sz w:val="30"/>
          <w:szCs w:val="30"/>
        </w:rPr>
        <w:t>（四）人才结构分析</w:t>
      </w:r>
    </w:p>
    <w:p>
      <w:pPr>
        <w:spacing w:line="360" w:lineRule="auto"/>
        <w:ind w:firstLine="480" w:firstLineChars="200"/>
        <w:rPr>
          <w:sz w:val="24"/>
        </w:rPr>
      </w:pPr>
      <w:bookmarkStart w:id="35" w:name="_Toc339985610"/>
      <w:bookmarkStart w:id="36" w:name="_Toc341338639"/>
      <w:bookmarkStart w:id="37" w:name="_Toc339913809"/>
      <w:r>
        <w:rPr>
          <w:sz w:val="24"/>
        </w:rPr>
        <w:t>图</w:t>
      </w:r>
      <w:r>
        <w:rPr>
          <w:rFonts w:hint="eastAsia"/>
          <w:sz w:val="24"/>
        </w:rPr>
        <w:t>2.1为化工企业从业人员学历情况分析，从业人员中</w:t>
      </w:r>
      <w:r>
        <w:rPr>
          <w:rFonts w:hint="eastAsia"/>
          <w:kern w:val="0"/>
          <w:sz w:val="24"/>
        </w:rPr>
        <w:t>高中及中职学历的人数占到了45%以上，高职学历仅为22%左右，化工人才的整体学历水平偏低，是目前化工行业面临的主要问题之一。图2.2位化工企业岗位设置结构图。</w:t>
      </w:r>
      <w:r>
        <w:rPr>
          <w:sz w:val="24"/>
        </w:rPr>
        <w:t>图2.</w:t>
      </w:r>
      <w:r>
        <w:rPr>
          <w:rFonts w:hint="eastAsia"/>
          <w:sz w:val="24"/>
        </w:rPr>
        <w:t>3</w:t>
      </w:r>
      <w:r>
        <w:rPr>
          <w:sz w:val="24"/>
        </w:rPr>
        <w:t>为化工企业生产岗位人员配置比例图，从化工企业生产岗位设置来看，化工工艺操作人员数量占到了多数，分析检验与质量管理人员占比例较少，设备维修人员约为</w:t>
      </w:r>
      <w:r>
        <w:rPr>
          <w:rFonts w:hint="eastAsia"/>
          <w:sz w:val="24"/>
        </w:rPr>
        <w:t>25</w:t>
      </w:r>
      <w:r>
        <w:rPr>
          <w:sz w:val="24"/>
        </w:rPr>
        <w:t>%左右。图2.</w:t>
      </w:r>
      <w:r>
        <w:rPr>
          <w:rFonts w:hint="eastAsia"/>
          <w:sz w:val="24"/>
        </w:rPr>
        <w:t>4</w:t>
      </w:r>
      <w:r>
        <w:rPr>
          <w:sz w:val="24"/>
        </w:rPr>
        <w:t>为化工企业从业人员技能需求分析，化工企业对化工人才的</w:t>
      </w:r>
      <w:r>
        <w:rPr>
          <w:rFonts w:hint="eastAsia"/>
          <w:sz w:val="24"/>
        </w:rPr>
        <w:t>生产操作技能要求最高，其次是设备的使用和维护能力，分析仪器的使用操作能力。</w:t>
      </w:r>
    </w:p>
    <w:p>
      <w:pPr>
        <w:spacing w:line="360" w:lineRule="auto"/>
        <w:ind w:firstLine="480" w:firstLineChars="200"/>
        <w:rPr>
          <w:sz w:val="24"/>
        </w:rPr>
      </w:pPr>
      <w:r>
        <w:rPr>
          <w:sz w:val="24"/>
        </w:rPr>
        <w:drawing>
          <wp:inline distT="0" distB="0" distL="0" distR="0">
            <wp:extent cx="4572000" cy="2743200"/>
            <wp:effectExtent l="19050" t="0" r="19050" b="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360" w:lineRule="auto"/>
        <w:ind w:firstLine="480" w:firstLineChars="200"/>
        <w:jc w:val="center"/>
        <w:rPr>
          <w:sz w:val="24"/>
        </w:rPr>
      </w:pPr>
      <w:r>
        <w:rPr>
          <w:rFonts w:hint="eastAsia"/>
          <w:sz w:val="24"/>
        </w:rPr>
        <w:t>图2.1 化工企业从业人员学历情况分析</w:t>
      </w:r>
    </w:p>
    <w:p>
      <w:pPr>
        <w:spacing w:line="360" w:lineRule="auto"/>
        <w:ind w:firstLine="480" w:firstLineChars="200"/>
        <w:jc w:val="left"/>
        <w:rPr>
          <w:sz w:val="24"/>
        </w:rPr>
      </w:pPr>
      <w:r>
        <w:rPr>
          <w:sz w:val="24"/>
        </w:rPr>
        <w:drawing>
          <wp:inline distT="0" distB="0" distL="0" distR="0">
            <wp:extent cx="4572000" cy="2743200"/>
            <wp:effectExtent l="19050" t="0" r="19050" b="0"/>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360" w:lineRule="auto"/>
        <w:ind w:firstLine="480" w:firstLineChars="200"/>
        <w:jc w:val="center"/>
        <w:rPr>
          <w:sz w:val="24"/>
        </w:rPr>
      </w:pPr>
      <w:r>
        <w:rPr>
          <w:rFonts w:hint="eastAsia"/>
          <w:sz w:val="24"/>
        </w:rPr>
        <w:t>图2.2</w:t>
      </w:r>
      <w:r>
        <w:rPr>
          <w:rFonts w:hint="eastAsia"/>
          <w:kern w:val="0"/>
          <w:sz w:val="24"/>
        </w:rPr>
        <w:t>化工企业岗位设置结构图</w:t>
      </w:r>
    </w:p>
    <w:p>
      <w:pPr>
        <w:spacing w:line="360" w:lineRule="auto"/>
        <w:ind w:firstLine="420" w:firstLineChars="200"/>
      </w:pPr>
      <w:r>
        <w:drawing>
          <wp:inline distT="0" distB="0" distL="0" distR="0">
            <wp:extent cx="4572000" cy="2743200"/>
            <wp:effectExtent l="19050" t="0" r="19050" b="0"/>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360" w:lineRule="auto"/>
        <w:ind w:firstLine="480" w:firstLineChars="200"/>
        <w:jc w:val="center"/>
        <w:rPr>
          <w:sz w:val="24"/>
        </w:rPr>
      </w:pPr>
      <w:r>
        <w:rPr>
          <w:sz w:val="24"/>
        </w:rPr>
        <w:t>图2.</w:t>
      </w:r>
      <w:r>
        <w:rPr>
          <w:rFonts w:hint="eastAsia"/>
          <w:sz w:val="24"/>
        </w:rPr>
        <w:t>3</w:t>
      </w:r>
      <w:r>
        <w:rPr>
          <w:sz w:val="24"/>
        </w:rPr>
        <w:t>化工企业生产岗位人员配置比例图</w:t>
      </w:r>
    </w:p>
    <w:p>
      <w:pPr>
        <w:spacing w:line="360" w:lineRule="auto"/>
        <w:ind w:firstLine="480" w:firstLineChars="200"/>
        <w:rPr>
          <w:sz w:val="24"/>
        </w:rPr>
      </w:pPr>
      <w:r>
        <w:rPr>
          <w:sz w:val="24"/>
        </w:rPr>
        <w:drawing>
          <wp:inline distT="0" distB="0" distL="0" distR="0">
            <wp:extent cx="4572000" cy="2743200"/>
            <wp:effectExtent l="19050" t="0" r="19050" b="0"/>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360" w:lineRule="auto"/>
        <w:ind w:firstLine="480" w:firstLineChars="200"/>
        <w:jc w:val="center"/>
        <w:rPr>
          <w:sz w:val="24"/>
        </w:rPr>
      </w:pPr>
      <w:r>
        <w:rPr>
          <w:sz w:val="24"/>
        </w:rPr>
        <w:t>图2.</w:t>
      </w:r>
      <w:r>
        <w:rPr>
          <w:rFonts w:hint="eastAsia"/>
          <w:sz w:val="24"/>
        </w:rPr>
        <w:t>4</w:t>
      </w:r>
      <w:r>
        <w:rPr>
          <w:sz w:val="24"/>
        </w:rPr>
        <w:t xml:space="preserve"> 化工企业从业人员技能需求分析</w:t>
      </w:r>
    </w:p>
    <w:p>
      <w:pPr>
        <w:spacing w:line="360" w:lineRule="auto"/>
        <w:ind w:firstLine="480" w:firstLineChars="200"/>
        <w:rPr>
          <w:rFonts w:ascii="宋体" w:hAnsi="宋体"/>
          <w:sz w:val="24"/>
        </w:rPr>
      </w:pPr>
      <w:r>
        <w:rPr>
          <w:rFonts w:hint="eastAsia"/>
          <w:sz w:val="24"/>
        </w:rPr>
        <w:t>通过调研分析得知，目前化工行业人才结构存在以下问题：</w:t>
      </w:r>
    </w:p>
    <w:p>
      <w:pPr>
        <w:spacing w:line="360" w:lineRule="auto"/>
        <w:ind w:firstLine="360" w:firstLineChars="150"/>
        <w:rPr>
          <w:sz w:val="24"/>
        </w:rPr>
      </w:pPr>
      <w:r>
        <w:rPr>
          <w:rFonts w:hint="eastAsia"/>
          <w:sz w:val="24"/>
        </w:rPr>
        <w:t>1．从业人员整体文化素质水平不容乐观；</w:t>
      </w:r>
    </w:p>
    <w:p>
      <w:pPr>
        <w:spacing w:line="360" w:lineRule="auto"/>
        <w:ind w:firstLine="360" w:firstLineChars="150"/>
        <w:rPr>
          <w:sz w:val="24"/>
        </w:rPr>
      </w:pPr>
      <w:r>
        <w:rPr>
          <w:rFonts w:hint="eastAsia"/>
          <w:sz w:val="24"/>
        </w:rPr>
        <w:t>2．人才学历层次需要提高</w:t>
      </w:r>
    </w:p>
    <w:p>
      <w:pPr>
        <w:spacing w:line="360" w:lineRule="auto"/>
        <w:ind w:firstLine="360" w:firstLineChars="150"/>
        <w:rPr>
          <w:sz w:val="24"/>
        </w:rPr>
      </w:pPr>
      <w:r>
        <w:rPr>
          <w:rFonts w:hint="eastAsia"/>
          <w:sz w:val="24"/>
        </w:rPr>
        <w:t>3．高级技术人员严重不足；</w:t>
      </w:r>
    </w:p>
    <w:p>
      <w:pPr>
        <w:spacing w:line="360" w:lineRule="auto"/>
        <w:ind w:firstLine="360" w:firstLineChars="150"/>
        <w:rPr>
          <w:sz w:val="24"/>
        </w:rPr>
      </w:pPr>
      <w:r>
        <w:rPr>
          <w:rFonts w:hint="eastAsia"/>
          <w:sz w:val="24"/>
        </w:rPr>
        <w:t>4．从业人员培训欠佳，有待于加强。</w:t>
      </w:r>
    </w:p>
    <w:p>
      <w:pPr>
        <w:pStyle w:val="3"/>
        <w:ind w:firstLine="480" w:firstLineChars="150"/>
        <w:rPr>
          <w:b w:val="0"/>
        </w:rPr>
      </w:pPr>
      <w:bookmarkStart w:id="38" w:name="_Toc8087"/>
      <w:bookmarkStart w:id="39" w:name="_Toc17278750"/>
      <w:r>
        <w:rPr>
          <w:rFonts w:hint="eastAsia"/>
          <w:b w:val="0"/>
        </w:rPr>
        <w:t>三、专业现状调研</w:t>
      </w:r>
      <w:bookmarkEnd w:id="35"/>
      <w:bookmarkEnd w:id="36"/>
      <w:bookmarkEnd w:id="37"/>
      <w:bookmarkEnd w:id="38"/>
      <w:bookmarkEnd w:id="39"/>
    </w:p>
    <w:p>
      <w:pPr>
        <w:spacing w:line="360" w:lineRule="auto"/>
        <w:ind w:firstLine="300" w:firstLineChars="100"/>
        <w:rPr>
          <w:rFonts w:ascii="黑体" w:hAnsi="黑体" w:eastAsia="黑体" w:cs="黑体"/>
          <w:bCs/>
          <w:sz w:val="30"/>
          <w:szCs w:val="30"/>
        </w:rPr>
      </w:pPr>
      <w:r>
        <w:rPr>
          <w:rFonts w:hint="eastAsia" w:ascii="黑体" w:hAnsi="黑体" w:eastAsia="黑体" w:cs="黑体"/>
          <w:bCs/>
          <w:sz w:val="30"/>
          <w:szCs w:val="30"/>
        </w:rPr>
        <w:t>（一）教育专业点数布局与规模</w:t>
      </w:r>
    </w:p>
    <w:p>
      <w:pPr>
        <w:spacing w:line="360" w:lineRule="auto"/>
        <w:ind w:firstLine="480" w:firstLineChars="200"/>
        <w:rPr>
          <w:sz w:val="24"/>
        </w:rPr>
      </w:pPr>
      <w:r>
        <w:rPr>
          <w:sz w:val="24"/>
        </w:rPr>
        <w:t>根据教育部官方统计，截止到2018年，我国职业教育发展规模已达世界之首，全国共有职业院校1.17万所。中等职业教育和普通专科招生928.24万人，在校生达到2685.54万人。其中，全国中等职业教育学校1.03万所，高职（专科）院校1418所。中等职业教育招生559.41万人，在校生1551.84万人，招生和在校生分别占高中阶段教育的41.37%和39.47%；普通专科招生368.83万人，在校生1133.7万人，招生和在校生分别占普通本专科的46.63%和40.05%。全国职业院校共开设近千个专业、近10万个专业点</w:t>
      </w:r>
      <w:r>
        <w:rPr>
          <w:rFonts w:hint="eastAsia"/>
          <w:sz w:val="24"/>
        </w:rPr>
        <w:t>。据山西省职业教育网2019公布（表2.1），山西省独立设置的高职高专院校50所，2018年高职(专科)招生9.02万人，在校生26.26万人，规模占高等教育总规模的34.3%。全省中高职院校共开设3230个专业点，涉及农林水利、资源环境、交通运输、装备制造、信息技术、医药卫生、文化艺术、旅游服务等19个专业大类，基本覆盖我省经济社会发展所有领域。全省建设12所省级高职示范校，30所中等职业学校和5所高等职业院校进入国家示范校项目建设行列，国家级、省级重点中职学校分别达到58所和118所。</w:t>
      </w:r>
    </w:p>
    <w:p>
      <w:pPr>
        <w:spacing w:line="360" w:lineRule="auto"/>
        <w:ind w:firstLine="480" w:firstLineChars="200"/>
        <w:rPr>
          <w:sz w:val="24"/>
        </w:rPr>
      </w:pPr>
      <w:r>
        <w:rPr>
          <w:rFonts w:hint="eastAsia"/>
          <w:sz w:val="24"/>
        </w:rPr>
        <w:t>2015 年，山西省独立高职院校共设置1004 个专业点，校均 21 个专业点，布点数位居前五位的是晋中职业技术学院、山西职业技术学院、运城职业技术学院、晋城职业技术学院、山西建筑职业技术学院。其中，晋中职业技术学院布点最多为42个，占布点总数的4.18%；阳泉职业技术学院最少为6个，占布点总数的0.6%，详见表2.2。</w:t>
      </w:r>
    </w:p>
    <w:p>
      <w:pPr>
        <w:spacing w:line="360" w:lineRule="auto"/>
        <w:ind w:firstLine="2160" w:firstLineChars="900"/>
        <w:rPr>
          <w:sz w:val="24"/>
        </w:rPr>
      </w:pPr>
      <w:r>
        <w:rPr>
          <w:rFonts w:hint="eastAsia"/>
          <w:sz w:val="24"/>
        </w:rPr>
        <w:t>表2.1     山西省高职专业大类分布情况</w:t>
      </w:r>
    </w:p>
    <w:tbl>
      <w:tblPr>
        <w:tblStyle w:val="1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
        <w:gridCol w:w="1673"/>
        <w:gridCol w:w="1065"/>
        <w:gridCol w:w="1065"/>
        <w:gridCol w:w="1065"/>
        <w:gridCol w:w="1065"/>
        <w:gridCol w:w="1066"/>
        <w:gridCol w:w="1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heme="minorEastAsia" w:hAnsiTheme="minorEastAsia"/>
                <w:b/>
              </w:rPr>
            </w:pPr>
            <w:r>
              <w:rPr>
                <w:rFonts w:asciiTheme="minorEastAsia" w:hAnsiTheme="minorEastAsia"/>
                <w:b/>
              </w:rPr>
              <w:t>序号</w:t>
            </w:r>
          </w:p>
        </w:tc>
        <w:tc>
          <w:tcPr>
            <w:tcW w:w="1673" w:type="dxa"/>
          </w:tcPr>
          <w:p>
            <w:pPr>
              <w:spacing w:line="220" w:lineRule="atLeast"/>
              <w:jc w:val="center"/>
              <w:rPr>
                <w:rFonts w:asciiTheme="minorEastAsia" w:hAnsiTheme="minorEastAsia"/>
                <w:b/>
              </w:rPr>
            </w:pPr>
            <w:r>
              <w:rPr>
                <w:rFonts w:asciiTheme="minorEastAsia" w:hAnsiTheme="minorEastAsia"/>
                <w:b/>
              </w:rPr>
              <w:t>专业大类</w:t>
            </w:r>
          </w:p>
        </w:tc>
        <w:tc>
          <w:tcPr>
            <w:tcW w:w="1065" w:type="dxa"/>
          </w:tcPr>
          <w:p>
            <w:pPr>
              <w:spacing w:line="220" w:lineRule="atLeast"/>
              <w:jc w:val="center"/>
              <w:rPr>
                <w:rFonts w:asciiTheme="minorEastAsia" w:hAnsiTheme="minorEastAsia"/>
                <w:b/>
              </w:rPr>
            </w:pPr>
            <w:r>
              <w:rPr>
                <w:rFonts w:asciiTheme="minorEastAsia" w:hAnsiTheme="minorEastAsia"/>
                <w:b/>
              </w:rPr>
              <w:t>专业数</w:t>
            </w:r>
          </w:p>
        </w:tc>
        <w:tc>
          <w:tcPr>
            <w:tcW w:w="1065" w:type="dxa"/>
          </w:tcPr>
          <w:p>
            <w:pPr>
              <w:spacing w:line="220" w:lineRule="atLeast"/>
              <w:jc w:val="center"/>
              <w:rPr>
                <w:rFonts w:asciiTheme="minorEastAsia" w:hAnsiTheme="minorEastAsia"/>
                <w:b/>
              </w:rPr>
            </w:pPr>
            <w:r>
              <w:rPr>
                <w:rFonts w:asciiTheme="minorEastAsia" w:hAnsiTheme="minorEastAsia"/>
                <w:b/>
              </w:rPr>
              <w:t>比例</w:t>
            </w:r>
            <w:r>
              <w:rPr>
                <w:rFonts w:hint="eastAsia" w:asciiTheme="minorEastAsia" w:hAnsiTheme="minorEastAsia"/>
                <w:b/>
              </w:rPr>
              <w:t>（%）</w:t>
            </w:r>
          </w:p>
        </w:tc>
        <w:tc>
          <w:tcPr>
            <w:tcW w:w="1065" w:type="dxa"/>
          </w:tcPr>
          <w:p>
            <w:pPr>
              <w:spacing w:line="220" w:lineRule="atLeast"/>
              <w:jc w:val="center"/>
              <w:rPr>
                <w:rFonts w:asciiTheme="minorEastAsia" w:hAnsiTheme="minorEastAsia"/>
                <w:b/>
              </w:rPr>
            </w:pPr>
            <w:r>
              <w:rPr>
                <w:rFonts w:asciiTheme="minorEastAsia" w:hAnsiTheme="minorEastAsia"/>
                <w:b/>
              </w:rPr>
              <w:t>专业点数</w:t>
            </w:r>
          </w:p>
        </w:tc>
        <w:tc>
          <w:tcPr>
            <w:tcW w:w="1065" w:type="dxa"/>
          </w:tcPr>
          <w:p>
            <w:pPr>
              <w:spacing w:line="220" w:lineRule="atLeast"/>
              <w:jc w:val="center"/>
              <w:rPr>
                <w:rFonts w:asciiTheme="minorEastAsia" w:hAnsiTheme="minorEastAsia"/>
                <w:b/>
              </w:rPr>
            </w:pPr>
            <w:r>
              <w:rPr>
                <w:rFonts w:asciiTheme="minorEastAsia" w:hAnsiTheme="minorEastAsia"/>
                <w:b/>
              </w:rPr>
              <w:t>比例</w:t>
            </w:r>
            <w:r>
              <w:rPr>
                <w:rFonts w:hint="eastAsia" w:asciiTheme="minorEastAsia" w:hAnsiTheme="minorEastAsia"/>
                <w:b/>
              </w:rPr>
              <w:t>（%）</w:t>
            </w:r>
          </w:p>
        </w:tc>
        <w:tc>
          <w:tcPr>
            <w:tcW w:w="1066" w:type="dxa"/>
          </w:tcPr>
          <w:p>
            <w:pPr>
              <w:spacing w:line="220" w:lineRule="atLeast"/>
              <w:jc w:val="center"/>
              <w:rPr>
                <w:rFonts w:asciiTheme="minorEastAsia" w:hAnsiTheme="minorEastAsia"/>
                <w:b/>
              </w:rPr>
            </w:pPr>
            <w:r>
              <w:rPr>
                <w:rFonts w:asciiTheme="minorEastAsia" w:hAnsiTheme="minorEastAsia"/>
                <w:b/>
              </w:rPr>
              <w:t>开设院</w:t>
            </w:r>
          </w:p>
          <w:p>
            <w:pPr>
              <w:spacing w:line="220" w:lineRule="atLeast"/>
              <w:jc w:val="center"/>
              <w:rPr>
                <w:rFonts w:asciiTheme="minorEastAsia" w:hAnsiTheme="minorEastAsia"/>
                <w:b/>
              </w:rPr>
            </w:pPr>
            <w:r>
              <w:rPr>
                <w:rFonts w:asciiTheme="minorEastAsia" w:hAnsiTheme="minorEastAsia"/>
                <w:b/>
              </w:rPr>
              <w:t>校数</w:t>
            </w:r>
          </w:p>
        </w:tc>
        <w:tc>
          <w:tcPr>
            <w:tcW w:w="1066" w:type="dxa"/>
          </w:tcPr>
          <w:p>
            <w:pPr>
              <w:spacing w:line="220" w:lineRule="atLeast"/>
              <w:jc w:val="center"/>
              <w:rPr>
                <w:rFonts w:asciiTheme="minorEastAsia" w:hAnsiTheme="minorEastAsia"/>
                <w:b/>
              </w:rPr>
            </w:pPr>
            <w:r>
              <w:rPr>
                <w:rFonts w:asciiTheme="minorEastAsia" w:hAnsiTheme="minorEastAsia"/>
                <w:b/>
              </w:rPr>
              <w:t>比例</w:t>
            </w:r>
            <w:r>
              <w:rPr>
                <w:rFonts w:hint="eastAsia" w:asciiTheme="minorEastAsia" w:hAnsiTheme="minor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heme="minorEastAsia" w:hAnsiTheme="minorEastAsia"/>
              </w:rPr>
            </w:pPr>
            <w:r>
              <w:rPr>
                <w:rFonts w:hint="eastAsia" w:asciiTheme="minorEastAsia" w:hAnsiTheme="minorEastAsia"/>
              </w:rPr>
              <w:t>1</w:t>
            </w:r>
          </w:p>
        </w:tc>
        <w:tc>
          <w:tcPr>
            <w:tcW w:w="1673" w:type="dxa"/>
          </w:tcPr>
          <w:p>
            <w:pPr>
              <w:spacing w:line="220" w:lineRule="atLeast"/>
              <w:jc w:val="center"/>
              <w:rPr>
                <w:rFonts w:asciiTheme="minorEastAsia" w:hAnsiTheme="minorEastAsia"/>
              </w:rPr>
            </w:pPr>
            <w:r>
              <w:rPr>
                <w:rFonts w:asciiTheme="minorEastAsia" w:hAnsiTheme="minorEastAsia"/>
              </w:rPr>
              <w:t>农林牧渔</w:t>
            </w:r>
          </w:p>
        </w:tc>
        <w:tc>
          <w:tcPr>
            <w:tcW w:w="1065" w:type="dxa"/>
          </w:tcPr>
          <w:p>
            <w:pPr>
              <w:spacing w:line="220" w:lineRule="atLeast"/>
              <w:jc w:val="center"/>
              <w:rPr>
                <w:rFonts w:asciiTheme="minorEastAsia" w:hAnsiTheme="minorEastAsia"/>
              </w:rPr>
            </w:pPr>
            <w:r>
              <w:rPr>
                <w:rFonts w:hint="eastAsia" w:asciiTheme="minorEastAsia" w:hAnsiTheme="minorEastAsia"/>
              </w:rPr>
              <w:t>17</w:t>
            </w:r>
          </w:p>
        </w:tc>
        <w:tc>
          <w:tcPr>
            <w:tcW w:w="1065" w:type="dxa"/>
          </w:tcPr>
          <w:p>
            <w:pPr>
              <w:spacing w:line="220" w:lineRule="atLeast"/>
              <w:jc w:val="center"/>
              <w:rPr>
                <w:rFonts w:asciiTheme="minorEastAsia" w:hAnsiTheme="minorEastAsia"/>
              </w:rPr>
            </w:pPr>
            <w:r>
              <w:rPr>
                <w:rFonts w:hint="eastAsia" w:asciiTheme="minorEastAsia" w:hAnsiTheme="minorEastAsia"/>
              </w:rPr>
              <w:t>5.23</w:t>
            </w:r>
          </w:p>
        </w:tc>
        <w:tc>
          <w:tcPr>
            <w:tcW w:w="1065" w:type="dxa"/>
          </w:tcPr>
          <w:p>
            <w:pPr>
              <w:spacing w:line="220" w:lineRule="atLeast"/>
              <w:jc w:val="center"/>
              <w:rPr>
                <w:rFonts w:asciiTheme="minorEastAsia" w:hAnsiTheme="minorEastAsia"/>
              </w:rPr>
            </w:pPr>
            <w:r>
              <w:rPr>
                <w:rFonts w:hint="eastAsia" w:asciiTheme="minorEastAsia" w:hAnsiTheme="minorEastAsia"/>
              </w:rPr>
              <w:t>35</w:t>
            </w:r>
          </w:p>
        </w:tc>
        <w:tc>
          <w:tcPr>
            <w:tcW w:w="1065" w:type="dxa"/>
          </w:tcPr>
          <w:p>
            <w:pPr>
              <w:spacing w:line="220" w:lineRule="atLeast"/>
              <w:jc w:val="center"/>
              <w:rPr>
                <w:rFonts w:asciiTheme="minorEastAsia" w:hAnsiTheme="minorEastAsia"/>
              </w:rPr>
            </w:pPr>
            <w:r>
              <w:rPr>
                <w:rFonts w:hint="eastAsia" w:asciiTheme="minorEastAsia" w:hAnsiTheme="minorEastAsia"/>
              </w:rPr>
              <w:t>3.49</w:t>
            </w:r>
          </w:p>
        </w:tc>
        <w:tc>
          <w:tcPr>
            <w:tcW w:w="1066" w:type="dxa"/>
          </w:tcPr>
          <w:p>
            <w:pPr>
              <w:spacing w:line="220" w:lineRule="atLeast"/>
              <w:jc w:val="center"/>
              <w:rPr>
                <w:rFonts w:asciiTheme="minorEastAsia" w:hAnsiTheme="minorEastAsia"/>
              </w:rPr>
            </w:pPr>
            <w:r>
              <w:rPr>
                <w:rFonts w:hint="eastAsia" w:asciiTheme="minorEastAsia" w:hAnsiTheme="minorEastAsia"/>
              </w:rPr>
              <w:t>9</w:t>
            </w:r>
          </w:p>
        </w:tc>
        <w:tc>
          <w:tcPr>
            <w:tcW w:w="1066" w:type="dxa"/>
          </w:tcPr>
          <w:p>
            <w:pPr>
              <w:spacing w:line="220" w:lineRule="atLeast"/>
              <w:jc w:val="center"/>
              <w:rPr>
                <w:rFonts w:asciiTheme="minorEastAsia" w:hAnsiTheme="minorEastAsia"/>
              </w:rPr>
            </w:pPr>
            <w:r>
              <w:rPr>
                <w:rFonts w:hint="eastAsia" w:asciiTheme="minorEastAsia" w:hAnsiTheme="minorEastAsia"/>
              </w:rPr>
              <w:t>18.75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heme="minorEastAsia" w:hAnsiTheme="minorEastAsia"/>
              </w:rPr>
            </w:pPr>
            <w:r>
              <w:rPr>
                <w:rFonts w:hint="eastAsia" w:asciiTheme="minorEastAsia" w:hAnsiTheme="minorEastAsia"/>
              </w:rPr>
              <w:t>2</w:t>
            </w:r>
          </w:p>
        </w:tc>
        <w:tc>
          <w:tcPr>
            <w:tcW w:w="1673" w:type="dxa"/>
          </w:tcPr>
          <w:p>
            <w:pPr>
              <w:spacing w:line="220" w:lineRule="atLeast"/>
              <w:jc w:val="center"/>
              <w:rPr>
                <w:rFonts w:asciiTheme="minorEastAsia" w:hAnsiTheme="minorEastAsia"/>
              </w:rPr>
            </w:pPr>
            <w:r>
              <w:rPr>
                <w:rFonts w:asciiTheme="minorEastAsia" w:hAnsiTheme="minorEastAsia"/>
              </w:rPr>
              <w:t>交通运输</w:t>
            </w:r>
          </w:p>
        </w:tc>
        <w:tc>
          <w:tcPr>
            <w:tcW w:w="1065" w:type="dxa"/>
          </w:tcPr>
          <w:p>
            <w:pPr>
              <w:spacing w:line="220" w:lineRule="atLeast"/>
              <w:jc w:val="center"/>
              <w:rPr>
                <w:rFonts w:asciiTheme="minorEastAsia" w:hAnsiTheme="minorEastAsia"/>
              </w:rPr>
            </w:pPr>
            <w:r>
              <w:rPr>
                <w:rFonts w:hint="eastAsia" w:asciiTheme="minorEastAsia" w:hAnsiTheme="minorEastAsia"/>
              </w:rPr>
              <w:t>16</w:t>
            </w:r>
          </w:p>
        </w:tc>
        <w:tc>
          <w:tcPr>
            <w:tcW w:w="1065" w:type="dxa"/>
          </w:tcPr>
          <w:p>
            <w:pPr>
              <w:spacing w:line="220" w:lineRule="atLeast"/>
              <w:jc w:val="center"/>
              <w:rPr>
                <w:rFonts w:asciiTheme="minorEastAsia" w:hAnsiTheme="minorEastAsia"/>
              </w:rPr>
            </w:pPr>
            <w:r>
              <w:rPr>
                <w:rFonts w:hint="eastAsia" w:asciiTheme="minorEastAsia" w:hAnsiTheme="minorEastAsia"/>
              </w:rPr>
              <w:t>4.92</w:t>
            </w:r>
          </w:p>
        </w:tc>
        <w:tc>
          <w:tcPr>
            <w:tcW w:w="1065" w:type="dxa"/>
          </w:tcPr>
          <w:p>
            <w:pPr>
              <w:spacing w:line="220" w:lineRule="atLeast"/>
              <w:jc w:val="center"/>
              <w:rPr>
                <w:rFonts w:asciiTheme="minorEastAsia" w:hAnsiTheme="minorEastAsia"/>
              </w:rPr>
            </w:pPr>
            <w:r>
              <w:rPr>
                <w:rFonts w:hint="eastAsia" w:asciiTheme="minorEastAsia" w:hAnsiTheme="minorEastAsia"/>
              </w:rPr>
              <w:t>23</w:t>
            </w:r>
          </w:p>
        </w:tc>
        <w:tc>
          <w:tcPr>
            <w:tcW w:w="1065" w:type="dxa"/>
          </w:tcPr>
          <w:p>
            <w:pPr>
              <w:spacing w:line="220" w:lineRule="atLeast"/>
              <w:jc w:val="center"/>
              <w:rPr>
                <w:rFonts w:asciiTheme="minorEastAsia" w:hAnsiTheme="minorEastAsia"/>
              </w:rPr>
            </w:pPr>
            <w:r>
              <w:rPr>
                <w:rFonts w:hint="eastAsia" w:asciiTheme="minorEastAsia" w:hAnsiTheme="minorEastAsia"/>
              </w:rPr>
              <w:t>2.29</w:t>
            </w:r>
          </w:p>
        </w:tc>
        <w:tc>
          <w:tcPr>
            <w:tcW w:w="1066" w:type="dxa"/>
          </w:tcPr>
          <w:p>
            <w:pPr>
              <w:spacing w:line="220" w:lineRule="atLeast"/>
              <w:jc w:val="center"/>
              <w:rPr>
                <w:rFonts w:asciiTheme="minorEastAsia" w:hAnsiTheme="minorEastAsia"/>
              </w:rPr>
            </w:pPr>
            <w:r>
              <w:rPr>
                <w:rFonts w:hint="eastAsia" w:asciiTheme="minorEastAsia" w:hAnsiTheme="minorEastAsia"/>
              </w:rPr>
              <w:t>13</w:t>
            </w:r>
          </w:p>
        </w:tc>
        <w:tc>
          <w:tcPr>
            <w:tcW w:w="1066" w:type="dxa"/>
          </w:tcPr>
          <w:p>
            <w:pPr>
              <w:spacing w:line="220" w:lineRule="atLeast"/>
              <w:jc w:val="center"/>
              <w:rPr>
                <w:rFonts w:asciiTheme="minorEastAsia" w:hAnsiTheme="minorEastAsia"/>
              </w:rPr>
            </w:pPr>
            <w:r>
              <w:rPr>
                <w:rFonts w:hint="eastAsia" w:asciiTheme="minorEastAsia" w:hAnsiTheme="minorEastAsia"/>
              </w:rPr>
              <w:t>27.08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heme="minorEastAsia" w:hAnsiTheme="minorEastAsia"/>
              </w:rPr>
            </w:pPr>
            <w:r>
              <w:rPr>
                <w:rFonts w:hint="eastAsia" w:asciiTheme="minorEastAsia" w:hAnsiTheme="minorEastAsia"/>
              </w:rPr>
              <w:t>3</w:t>
            </w:r>
          </w:p>
        </w:tc>
        <w:tc>
          <w:tcPr>
            <w:tcW w:w="1673" w:type="dxa"/>
          </w:tcPr>
          <w:p>
            <w:pPr>
              <w:spacing w:line="220" w:lineRule="atLeast"/>
              <w:jc w:val="center"/>
              <w:rPr>
                <w:rFonts w:asciiTheme="minorEastAsia" w:hAnsiTheme="minorEastAsia"/>
              </w:rPr>
            </w:pPr>
            <w:r>
              <w:rPr>
                <w:rFonts w:asciiTheme="minorEastAsia" w:hAnsiTheme="minorEastAsia"/>
              </w:rPr>
              <w:t>生化与药品</w:t>
            </w:r>
          </w:p>
        </w:tc>
        <w:tc>
          <w:tcPr>
            <w:tcW w:w="1065" w:type="dxa"/>
          </w:tcPr>
          <w:p>
            <w:pPr>
              <w:spacing w:line="220" w:lineRule="atLeast"/>
              <w:jc w:val="center"/>
              <w:rPr>
                <w:rFonts w:asciiTheme="minorEastAsia" w:hAnsiTheme="minorEastAsia"/>
              </w:rPr>
            </w:pPr>
            <w:r>
              <w:rPr>
                <w:rFonts w:hint="eastAsia" w:asciiTheme="minorEastAsia" w:hAnsiTheme="minorEastAsia"/>
              </w:rPr>
              <w:t>11</w:t>
            </w:r>
          </w:p>
        </w:tc>
        <w:tc>
          <w:tcPr>
            <w:tcW w:w="1065" w:type="dxa"/>
          </w:tcPr>
          <w:p>
            <w:pPr>
              <w:spacing w:line="220" w:lineRule="atLeast"/>
              <w:jc w:val="center"/>
              <w:rPr>
                <w:rFonts w:asciiTheme="minorEastAsia" w:hAnsiTheme="minorEastAsia"/>
              </w:rPr>
            </w:pPr>
            <w:r>
              <w:rPr>
                <w:rFonts w:hint="eastAsia" w:asciiTheme="minorEastAsia" w:hAnsiTheme="minorEastAsia"/>
              </w:rPr>
              <w:t>3.38</w:t>
            </w:r>
          </w:p>
        </w:tc>
        <w:tc>
          <w:tcPr>
            <w:tcW w:w="1065" w:type="dxa"/>
          </w:tcPr>
          <w:p>
            <w:pPr>
              <w:spacing w:line="220" w:lineRule="atLeast"/>
              <w:jc w:val="center"/>
              <w:rPr>
                <w:rFonts w:asciiTheme="minorEastAsia" w:hAnsiTheme="minorEastAsia"/>
              </w:rPr>
            </w:pPr>
            <w:r>
              <w:rPr>
                <w:rFonts w:hint="eastAsia" w:asciiTheme="minorEastAsia" w:hAnsiTheme="minorEastAsia"/>
              </w:rPr>
              <w:t>27</w:t>
            </w:r>
          </w:p>
        </w:tc>
        <w:tc>
          <w:tcPr>
            <w:tcW w:w="1065" w:type="dxa"/>
          </w:tcPr>
          <w:p>
            <w:pPr>
              <w:spacing w:line="220" w:lineRule="atLeast"/>
              <w:jc w:val="center"/>
              <w:rPr>
                <w:rFonts w:asciiTheme="minorEastAsia" w:hAnsiTheme="minorEastAsia"/>
              </w:rPr>
            </w:pPr>
            <w:r>
              <w:rPr>
                <w:rFonts w:hint="eastAsia" w:asciiTheme="minorEastAsia" w:hAnsiTheme="minorEastAsia"/>
              </w:rPr>
              <w:t>2.69</w:t>
            </w:r>
          </w:p>
        </w:tc>
        <w:tc>
          <w:tcPr>
            <w:tcW w:w="1066" w:type="dxa"/>
          </w:tcPr>
          <w:p>
            <w:pPr>
              <w:spacing w:line="220" w:lineRule="atLeast"/>
              <w:jc w:val="center"/>
              <w:rPr>
                <w:rFonts w:asciiTheme="minorEastAsia" w:hAnsiTheme="minorEastAsia"/>
              </w:rPr>
            </w:pPr>
            <w:r>
              <w:rPr>
                <w:rFonts w:hint="eastAsia" w:asciiTheme="minorEastAsia" w:hAnsiTheme="minorEastAsia"/>
              </w:rPr>
              <w:t>10</w:t>
            </w:r>
          </w:p>
        </w:tc>
        <w:tc>
          <w:tcPr>
            <w:tcW w:w="1066" w:type="dxa"/>
          </w:tcPr>
          <w:p>
            <w:pPr>
              <w:spacing w:line="220" w:lineRule="atLeast"/>
              <w:jc w:val="center"/>
              <w:rPr>
                <w:rFonts w:asciiTheme="minorEastAsia" w:hAnsiTheme="minorEastAsia"/>
              </w:rPr>
            </w:pPr>
            <w:r>
              <w:rPr>
                <w:rFonts w:hint="eastAsia" w:asciiTheme="minorEastAsia" w:hAnsiTheme="minorEastAsia"/>
              </w:rPr>
              <w:t>20.83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heme="minorEastAsia" w:hAnsiTheme="minorEastAsia"/>
              </w:rPr>
            </w:pPr>
            <w:r>
              <w:rPr>
                <w:rFonts w:hint="eastAsia" w:asciiTheme="minorEastAsia" w:hAnsiTheme="minorEastAsia"/>
              </w:rPr>
              <w:t>4</w:t>
            </w:r>
          </w:p>
        </w:tc>
        <w:tc>
          <w:tcPr>
            <w:tcW w:w="1673" w:type="dxa"/>
          </w:tcPr>
          <w:p>
            <w:pPr>
              <w:spacing w:line="220" w:lineRule="atLeast"/>
              <w:jc w:val="center"/>
              <w:rPr>
                <w:rFonts w:asciiTheme="minorEastAsia" w:hAnsiTheme="minorEastAsia"/>
              </w:rPr>
            </w:pPr>
            <w:r>
              <w:rPr>
                <w:rFonts w:asciiTheme="minorEastAsia" w:hAnsiTheme="minorEastAsia"/>
              </w:rPr>
              <w:t>资源开发与测绘</w:t>
            </w:r>
          </w:p>
        </w:tc>
        <w:tc>
          <w:tcPr>
            <w:tcW w:w="1065" w:type="dxa"/>
          </w:tcPr>
          <w:p>
            <w:pPr>
              <w:spacing w:line="220" w:lineRule="atLeast"/>
              <w:jc w:val="center"/>
              <w:rPr>
                <w:rFonts w:asciiTheme="minorEastAsia" w:hAnsiTheme="minorEastAsia"/>
              </w:rPr>
            </w:pPr>
            <w:r>
              <w:rPr>
                <w:rFonts w:hint="eastAsia" w:asciiTheme="minorEastAsia" w:hAnsiTheme="minorEastAsia"/>
              </w:rPr>
              <w:t>23</w:t>
            </w:r>
          </w:p>
        </w:tc>
        <w:tc>
          <w:tcPr>
            <w:tcW w:w="1065" w:type="dxa"/>
          </w:tcPr>
          <w:p>
            <w:pPr>
              <w:spacing w:line="220" w:lineRule="atLeast"/>
              <w:jc w:val="center"/>
              <w:rPr>
                <w:rFonts w:asciiTheme="minorEastAsia" w:hAnsiTheme="minorEastAsia"/>
              </w:rPr>
            </w:pPr>
            <w:r>
              <w:rPr>
                <w:rFonts w:hint="eastAsia" w:asciiTheme="minorEastAsia" w:hAnsiTheme="minorEastAsia"/>
              </w:rPr>
              <w:t>7.08</w:t>
            </w:r>
          </w:p>
        </w:tc>
        <w:tc>
          <w:tcPr>
            <w:tcW w:w="1065" w:type="dxa"/>
          </w:tcPr>
          <w:p>
            <w:pPr>
              <w:spacing w:line="220" w:lineRule="atLeast"/>
              <w:jc w:val="center"/>
              <w:rPr>
                <w:rFonts w:asciiTheme="minorEastAsia" w:hAnsiTheme="minorEastAsia"/>
              </w:rPr>
            </w:pPr>
            <w:r>
              <w:rPr>
                <w:rFonts w:hint="eastAsia" w:asciiTheme="minorEastAsia" w:hAnsiTheme="minorEastAsia"/>
              </w:rPr>
              <w:t>74</w:t>
            </w:r>
          </w:p>
        </w:tc>
        <w:tc>
          <w:tcPr>
            <w:tcW w:w="1065" w:type="dxa"/>
          </w:tcPr>
          <w:p>
            <w:pPr>
              <w:spacing w:line="220" w:lineRule="atLeast"/>
              <w:jc w:val="center"/>
              <w:rPr>
                <w:rFonts w:asciiTheme="minorEastAsia" w:hAnsiTheme="minorEastAsia"/>
              </w:rPr>
            </w:pPr>
            <w:r>
              <w:rPr>
                <w:rFonts w:hint="eastAsia" w:asciiTheme="minorEastAsia" w:hAnsiTheme="minorEastAsia"/>
              </w:rPr>
              <w:t>7.37</w:t>
            </w:r>
          </w:p>
        </w:tc>
        <w:tc>
          <w:tcPr>
            <w:tcW w:w="1066" w:type="dxa"/>
          </w:tcPr>
          <w:p>
            <w:pPr>
              <w:spacing w:line="220" w:lineRule="atLeast"/>
              <w:jc w:val="center"/>
              <w:rPr>
                <w:rFonts w:asciiTheme="minorEastAsia" w:hAnsiTheme="minorEastAsia"/>
              </w:rPr>
            </w:pPr>
            <w:r>
              <w:rPr>
                <w:rFonts w:hint="eastAsia" w:asciiTheme="minorEastAsia" w:hAnsiTheme="minorEastAsia"/>
              </w:rPr>
              <w:t>19</w:t>
            </w:r>
          </w:p>
        </w:tc>
        <w:tc>
          <w:tcPr>
            <w:tcW w:w="1066" w:type="dxa"/>
          </w:tcPr>
          <w:p>
            <w:pPr>
              <w:spacing w:line="220" w:lineRule="atLeast"/>
              <w:jc w:val="center"/>
              <w:rPr>
                <w:rFonts w:asciiTheme="minorEastAsia" w:hAnsiTheme="minorEastAsia"/>
              </w:rPr>
            </w:pPr>
            <w:r>
              <w:rPr>
                <w:rFonts w:hint="eastAsia" w:asciiTheme="minorEastAsia" w:hAnsiTheme="minorEastAsia"/>
              </w:rPr>
              <w:t>39.58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heme="minorEastAsia" w:hAnsiTheme="minorEastAsia"/>
              </w:rPr>
            </w:pPr>
            <w:r>
              <w:rPr>
                <w:rFonts w:hint="eastAsia" w:asciiTheme="minorEastAsia" w:hAnsiTheme="minorEastAsia"/>
              </w:rPr>
              <w:t>5</w:t>
            </w:r>
          </w:p>
        </w:tc>
        <w:tc>
          <w:tcPr>
            <w:tcW w:w="1673" w:type="dxa"/>
          </w:tcPr>
          <w:p>
            <w:pPr>
              <w:spacing w:line="220" w:lineRule="atLeast"/>
              <w:jc w:val="center"/>
              <w:rPr>
                <w:rFonts w:asciiTheme="minorEastAsia" w:hAnsiTheme="minorEastAsia"/>
              </w:rPr>
            </w:pPr>
            <w:r>
              <w:rPr>
                <w:rFonts w:asciiTheme="minorEastAsia" w:hAnsiTheme="minorEastAsia"/>
              </w:rPr>
              <w:t>材料</w:t>
            </w:r>
            <w:r>
              <w:rPr>
                <w:rFonts w:hint="eastAsia" w:asciiTheme="minorEastAsia" w:hAnsiTheme="minorEastAsia"/>
              </w:rPr>
              <w:t>与</w:t>
            </w:r>
            <w:r>
              <w:rPr>
                <w:rFonts w:asciiTheme="minorEastAsia" w:hAnsiTheme="minorEastAsia"/>
              </w:rPr>
              <w:t>能源</w:t>
            </w:r>
          </w:p>
        </w:tc>
        <w:tc>
          <w:tcPr>
            <w:tcW w:w="1065" w:type="dxa"/>
          </w:tcPr>
          <w:p>
            <w:pPr>
              <w:spacing w:line="220" w:lineRule="atLeast"/>
              <w:jc w:val="center"/>
              <w:rPr>
                <w:rFonts w:asciiTheme="minorEastAsia" w:hAnsiTheme="minorEastAsia"/>
              </w:rPr>
            </w:pPr>
            <w:r>
              <w:rPr>
                <w:rFonts w:hint="eastAsia" w:asciiTheme="minorEastAsia" w:hAnsiTheme="minorEastAsia"/>
              </w:rPr>
              <w:t>20</w:t>
            </w:r>
          </w:p>
        </w:tc>
        <w:tc>
          <w:tcPr>
            <w:tcW w:w="1065" w:type="dxa"/>
          </w:tcPr>
          <w:p>
            <w:pPr>
              <w:spacing w:line="220" w:lineRule="atLeast"/>
              <w:jc w:val="center"/>
              <w:rPr>
                <w:rFonts w:asciiTheme="minorEastAsia" w:hAnsiTheme="minorEastAsia"/>
              </w:rPr>
            </w:pPr>
            <w:r>
              <w:rPr>
                <w:rFonts w:hint="eastAsia" w:asciiTheme="minorEastAsia" w:hAnsiTheme="minorEastAsia"/>
              </w:rPr>
              <w:t>6.15</w:t>
            </w:r>
          </w:p>
        </w:tc>
        <w:tc>
          <w:tcPr>
            <w:tcW w:w="1065" w:type="dxa"/>
          </w:tcPr>
          <w:p>
            <w:pPr>
              <w:spacing w:line="220" w:lineRule="atLeast"/>
              <w:jc w:val="center"/>
              <w:rPr>
                <w:rFonts w:asciiTheme="minorEastAsia" w:hAnsiTheme="minorEastAsia"/>
              </w:rPr>
            </w:pPr>
            <w:r>
              <w:rPr>
                <w:rFonts w:hint="eastAsia" w:asciiTheme="minorEastAsia" w:hAnsiTheme="minorEastAsia"/>
              </w:rPr>
              <w:t>32</w:t>
            </w:r>
          </w:p>
        </w:tc>
        <w:tc>
          <w:tcPr>
            <w:tcW w:w="1065" w:type="dxa"/>
          </w:tcPr>
          <w:p>
            <w:pPr>
              <w:spacing w:line="220" w:lineRule="atLeast"/>
              <w:jc w:val="center"/>
              <w:rPr>
                <w:rFonts w:asciiTheme="minorEastAsia" w:hAnsiTheme="minorEastAsia"/>
              </w:rPr>
            </w:pPr>
            <w:r>
              <w:rPr>
                <w:rFonts w:hint="eastAsia" w:asciiTheme="minorEastAsia" w:hAnsiTheme="minorEastAsia"/>
              </w:rPr>
              <w:t>3.19</w:t>
            </w:r>
          </w:p>
        </w:tc>
        <w:tc>
          <w:tcPr>
            <w:tcW w:w="1066" w:type="dxa"/>
          </w:tcPr>
          <w:p>
            <w:pPr>
              <w:spacing w:line="220" w:lineRule="atLeast"/>
              <w:jc w:val="center"/>
              <w:rPr>
                <w:rFonts w:asciiTheme="minorEastAsia" w:hAnsiTheme="minorEastAsia"/>
              </w:rPr>
            </w:pPr>
            <w:r>
              <w:rPr>
                <w:rFonts w:hint="eastAsia" w:asciiTheme="minorEastAsia" w:hAnsiTheme="minorEastAsia"/>
              </w:rPr>
              <w:t>12</w:t>
            </w:r>
          </w:p>
        </w:tc>
        <w:tc>
          <w:tcPr>
            <w:tcW w:w="1066" w:type="dxa"/>
          </w:tcPr>
          <w:p>
            <w:pPr>
              <w:spacing w:line="220" w:lineRule="atLeast"/>
              <w:jc w:val="center"/>
              <w:rPr>
                <w:rFonts w:asciiTheme="minorEastAsia" w:hAnsiTheme="minorEastAsia"/>
              </w:rPr>
            </w:pPr>
            <w:r>
              <w:rPr>
                <w:rFonts w:hint="eastAsia" w:asciiTheme="minorEastAsia" w:hAnsiTheme="minorEastAsia"/>
              </w:rPr>
              <w:t>25.00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heme="minorEastAsia" w:hAnsiTheme="minorEastAsia"/>
              </w:rPr>
            </w:pPr>
            <w:r>
              <w:rPr>
                <w:rFonts w:hint="eastAsia" w:asciiTheme="minorEastAsia" w:hAnsiTheme="minorEastAsia"/>
              </w:rPr>
              <w:t>6</w:t>
            </w:r>
          </w:p>
        </w:tc>
        <w:tc>
          <w:tcPr>
            <w:tcW w:w="1673" w:type="dxa"/>
          </w:tcPr>
          <w:p>
            <w:pPr>
              <w:spacing w:line="220" w:lineRule="atLeast"/>
              <w:jc w:val="center"/>
              <w:rPr>
                <w:rFonts w:asciiTheme="minorEastAsia" w:hAnsiTheme="minorEastAsia"/>
              </w:rPr>
            </w:pPr>
            <w:r>
              <w:rPr>
                <w:rFonts w:asciiTheme="minorEastAsia" w:hAnsiTheme="minorEastAsia"/>
              </w:rPr>
              <w:t>土建</w:t>
            </w:r>
          </w:p>
        </w:tc>
        <w:tc>
          <w:tcPr>
            <w:tcW w:w="1065" w:type="dxa"/>
          </w:tcPr>
          <w:p>
            <w:pPr>
              <w:spacing w:line="220" w:lineRule="atLeast"/>
              <w:jc w:val="center"/>
              <w:rPr>
                <w:rFonts w:asciiTheme="minorEastAsia" w:hAnsiTheme="minorEastAsia"/>
              </w:rPr>
            </w:pPr>
            <w:r>
              <w:rPr>
                <w:rFonts w:hint="eastAsia" w:asciiTheme="minorEastAsia" w:hAnsiTheme="minorEastAsia"/>
              </w:rPr>
              <w:t>25</w:t>
            </w:r>
          </w:p>
        </w:tc>
        <w:tc>
          <w:tcPr>
            <w:tcW w:w="1065" w:type="dxa"/>
          </w:tcPr>
          <w:p>
            <w:pPr>
              <w:spacing w:line="220" w:lineRule="atLeast"/>
              <w:jc w:val="center"/>
              <w:rPr>
                <w:rFonts w:asciiTheme="minorEastAsia" w:hAnsiTheme="minorEastAsia"/>
              </w:rPr>
            </w:pPr>
            <w:r>
              <w:rPr>
                <w:rFonts w:hint="eastAsia" w:asciiTheme="minorEastAsia" w:hAnsiTheme="minorEastAsia"/>
              </w:rPr>
              <w:t>7.69</w:t>
            </w:r>
          </w:p>
        </w:tc>
        <w:tc>
          <w:tcPr>
            <w:tcW w:w="1065" w:type="dxa"/>
          </w:tcPr>
          <w:p>
            <w:pPr>
              <w:spacing w:line="220" w:lineRule="atLeast"/>
              <w:jc w:val="center"/>
              <w:rPr>
                <w:rFonts w:asciiTheme="minorEastAsia" w:hAnsiTheme="minorEastAsia"/>
              </w:rPr>
            </w:pPr>
            <w:r>
              <w:rPr>
                <w:rFonts w:hint="eastAsia" w:asciiTheme="minorEastAsia" w:hAnsiTheme="minorEastAsia"/>
              </w:rPr>
              <w:t>92</w:t>
            </w:r>
          </w:p>
        </w:tc>
        <w:tc>
          <w:tcPr>
            <w:tcW w:w="1065" w:type="dxa"/>
          </w:tcPr>
          <w:p>
            <w:pPr>
              <w:spacing w:line="220" w:lineRule="atLeast"/>
              <w:jc w:val="center"/>
              <w:rPr>
                <w:rFonts w:asciiTheme="minorEastAsia" w:hAnsiTheme="minorEastAsia"/>
              </w:rPr>
            </w:pPr>
            <w:r>
              <w:rPr>
                <w:rFonts w:hint="eastAsia" w:asciiTheme="minorEastAsia" w:hAnsiTheme="minorEastAsia"/>
              </w:rPr>
              <w:t>9.16</w:t>
            </w:r>
          </w:p>
        </w:tc>
        <w:tc>
          <w:tcPr>
            <w:tcW w:w="1066" w:type="dxa"/>
          </w:tcPr>
          <w:p>
            <w:pPr>
              <w:spacing w:line="220" w:lineRule="atLeast"/>
              <w:jc w:val="center"/>
              <w:rPr>
                <w:rFonts w:asciiTheme="minorEastAsia" w:hAnsiTheme="minorEastAsia"/>
              </w:rPr>
            </w:pPr>
            <w:r>
              <w:rPr>
                <w:rFonts w:hint="eastAsia" w:asciiTheme="minorEastAsia" w:hAnsiTheme="minorEastAsia"/>
              </w:rPr>
              <w:t>25</w:t>
            </w:r>
          </w:p>
        </w:tc>
        <w:tc>
          <w:tcPr>
            <w:tcW w:w="1066" w:type="dxa"/>
          </w:tcPr>
          <w:p>
            <w:pPr>
              <w:spacing w:line="220" w:lineRule="atLeast"/>
              <w:jc w:val="center"/>
              <w:rPr>
                <w:rFonts w:asciiTheme="minorEastAsia" w:hAnsiTheme="minorEastAsia"/>
              </w:rPr>
            </w:pPr>
            <w:r>
              <w:rPr>
                <w:rFonts w:hint="eastAsia" w:asciiTheme="minorEastAsia" w:hAnsiTheme="minorEastAsia"/>
              </w:rPr>
              <w:t>52.08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heme="minorEastAsia" w:hAnsiTheme="minorEastAsia"/>
              </w:rPr>
            </w:pPr>
            <w:r>
              <w:rPr>
                <w:rFonts w:hint="eastAsia" w:asciiTheme="minorEastAsia" w:hAnsiTheme="minorEastAsia"/>
              </w:rPr>
              <w:t>7</w:t>
            </w:r>
          </w:p>
        </w:tc>
        <w:tc>
          <w:tcPr>
            <w:tcW w:w="1673" w:type="dxa"/>
          </w:tcPr>
          <w:p>
            <w:pPr>
              <w:spacing w:line="220" w:lineRule="atLeast"/>
              <w:jc w:val="center"/>
              <w:rPr>
                <w:rFonts w:asciiTheme="minorEastAsia" w:hAnsiTheme="minorEastAsia"/>
              </w:rPr>
            </w:pPr>
            <w:r>
              <w:rPr>
                <w:rFonts w:asciiTheme="minorEastAsia" w:hAnsiTheme="minorEastAsia"/>
              </w:rPr>
              <w:t>水利</w:t>
            </w:r>
          </w:p>
        </w:tc>
        <w:tc>
          <w:tcPr>
            <w:tcW w:w="1065" w:type="dxa"/>
          </w:tcPr>
          <w:p>
            <w:pPr>
              <w:spacing w:line="220" w:lineRule="atLeast"/>
              <w:jc w:val="center"/>
              <w:rPr>
                <w:rFonts w:asciiTheme="minorEastAsia" w:hAnsiTheme="minorEastAsia"/>
              </w:rPr>
            </w:pPr>
            <w:r>
              <w:rPr>
                <w:rFonts w:hint="eastAsia" w:asciiTheme="minorEastAsia" w:hAnsiTheme="minorEastAsia"/>
              </w:rPr>
              <w:t>9</w:t>
            </w:r>
          </w:p>
        </w:tc>
        <w:tc>
          <w:tcPr>
            <w:tcW w:w="1065" w:type="dxa"/>
          </w:tcPr>
          <w:p>
            <w:pPr>
              <w:spacing w:line="220" w:lineRule="atLeast"/>
              <w:jc w:val="center"/>
              <w:rPr>
                <w:rFonts w:asciiTheme="minorEastAsia" w:hAnsiTheme="minorEastAsia"/>
              </w:rPr>
            </w:pPr>
            <w:r>
              <w:rPr>
                <w:rFonts w:hint="eastAsia" w:asciiTheme="minorEastAsia" w:hAnsiTheme="minorEastAsia"/>
              </w:rPr>
              <w:t>2.77</w:t>
            </w:r>
          </w:p>
        </w:tc>
        <w:tc>
          <w:tcPr>
            <w:tcW w:w="1065" w:type="dxa"/>
          </w:tcPr>
          <w:p>
            <w:pPr>
              <w:spacing w:line="220" w:lineRule="atLeast"/>
              <w:jc w:val="center"/>
              <w:rPr>
                <w:rFonts w:asciiTheme="minorEastAsia" w:hAnsiTheme="minorEastAsia"/>
              </w:rPr>
            </w:pPr>
            <w:r>
              <w:rPr>
                <w:rFonts w:hint="eastAsia" w:asciiTheme="minorEastAsia" w:hAnsiTheme="minorEastAsia"/>
              </w:rPr>
              <w:t>9</w:t>
            </w:r>
          </w:p>
        </w:tc>
        <w:tc>
          <w:tcPr>
            <w:tcW w:w="1065" w:type="dxa"/>
          </w:tcPr>
          <w:p>
            <w:pPr>
              <w:spacing w:line="220" w:lineRule="atLeast"/>
              <w:jc w:val="center"/>
              <w:rPr>
                <w:rFonts w:asciiTheme="minorEastAsia" w:hAnsiTheme="minorEastAsia"/>
              </w:rPr>
            </w:pPr>
            <w:r>
              <w:rPr>
                <w:rFonts w:hint="eastAsia" w:asciiTheme="minorEastAsia" w:hAnsiTheme="minorEastAsia"/>
              </w:rPr>
              <w:t>0.90</w:t>
            </w:r>
          </w:p>
        </w:tc>
        <w:tc>
          <w:tcPr>
            <w:tcW w:w="1066" w:type="dxa"/>
          </w:tcPr>
          <w:p>
            <w:pPr>
              <w:spacing w:line="220" w:lineRule="atLeast"/>
              <w:jc w:val="center"/>
              <w:rPr>
                <w:rFonts w:asciiTheme="minorEastAsia" w:hAnsiTheme="minorEastAsia"/>
              </w:rPr>
            </w:pPr>
            <w:r>
              <w:rPr>
                <w:rFonts w:hint="eastAsia" w:asciiTheme="minorEastAsia" w:hAnsiTheme="minorEastAsia"/>
              </w:rPr>
              <w:t>1</w:t>
            </w:r>
          </w:p>
        </w:tc>
        <w:tc>
          <w:tcPr>
            <w:tcW w:w="1066" w:type="dxa"/>
          </w:tcPr>
          <w:p>
            <w:pPr>
              <w:spacing w:line="220" w:lineRule="atLeast"/>
              <w:jc w:val="center"/>
              <w:rPr>
                <w:rFonts w:asciiTheme="minorEastAsia" w:hAnsiTheme="minorEastAsia"/>
              </w:rPr>
            </w:pPr>
            <w:r>
              <w:rPr>
                <w:rFonts w:hint="eastAsia" w:asciiTheme="minorEastAsia" w:hAnsiTheme="minorEastAsia"/>
              </w:rPr>
              <w:t>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heme="minorEastAsia" w:hAnsiTheme="minorEastAsia"/>
              </w:rPr>
            </w:pPr>
            <w:r>
              <w:rPr>
                <w:rFonts w:hint="eastAsia" w:asciiTheme="minorEastAsia" w:hAnsiTheme="minorEastAsia"/>
              </w:rPr>
              <w:t>8</w:t>
            </w:r>
          </w:p>
        </w:tc>
        <w:tc>
          <w:tcPr>
            <w:tcW w:w="1673" w:type="dxa"/>
          </w:tcPr>
          <w:p>
            <w:pPr>
              <w:spacing w:line="220" w:lineRule="atLeast"/>
              <w:jc w:val="center"/>
              <w:rPr>
                <w:rFonts w:asciiTheme="minorEastAsia" w:hAnsiTheme="minorEastAsia"/>
              </w:rPr>
            </w:pPr>
            <w:r>
              <w:rPr>
                <w:rFonts w:asciiTheme="minorEastAsia" w:hAnsiTheme="minorEastAsia"/>
              </w:rPr>
              <w:t>制造</w:t>
            </w:r>
          </w:p>
        </w:tc>
        <w:tc>
          <w:tcPr>
            <w:tcW w:w="1065" w:type="dxa"/>
          </w:tcPr>
          <w:p>
            <w:pPr>
              <w:spacing w:line="220" w:lineRule="atLeast"/>
              <w:jc w:val="center"/>
              <w:rPr>
                <w:rFonts w:asciiTheme="minorEastAsia" w:hAnsiTheme="minorEastAsia"/>
              </w:rPr>
            </w:pPr>
            <w:r>
              <w:rPr>
                <w:rFonts w:hint="eastAsia" w:asciiTheme="minorEastAsia" w:hAnsiTheme="minorEastAsia"/>
              </w:rPr>
              <w:t>25</w:t>
            </w:r>
          </w:p>
        </w:tc>
        <w:tc>
          <w:tcPr>
            <w:tcW w:w="1065" w:type="dxa"/>
          </w:tcPr>
          <w:p>
            <w:pPr>
              <w:spacing w:line="220" w:lineRule="atLeast"/>
              <w:jc w:val="center"/>
              <w:rPr>
                <w:rFonts w:asciiTheme="minorEastAsia" w:hAnsiTheme="minorEastAsia"/>
              </w:rPr>
            </w:pPr>
            <w:r>
              <w:rPr>
                <w:rFonts w:hint="eastAsia" w:asciiTheme="minorEastAsia" w:hAnsiTheme="minorEastAsia"/>
              </w:rPr>
              <w:t>7.69</w:t>
            </w:r>
          </w:p>
        </w:tc>
        <w:tc>
          <w:tcPr>
            <w:tcW w:w="1065" w:type="dxa"/>
          </w:tcPr>
          <w:p>
            <w:pPr>
              <w:spacing w:line="220" w:lineRule="atLeast"/>
              <w:jc w:val="center"/>
              <w:rPr>
                <w:rFonts w:asciiTheme="minorEastAsia" w:hAnsiTheme="minorEastAsia"/>
              </w:rPr>
            </w:pPr>
            <w:r>
              <w:rPr>
                <w:rFonts w:hint="eastAsia" w:asciiTheme="minorEastAsia" w:hAnsiTheme="minorEastAsia"/>
              </w:rPr>
              <w:t>112</w:t>
            </w:r>
          </w:p>
        </w:tc>
        <w:tc>
          <w:tcPr>
            <w:tcW w:w="1065" w:type="dxa"/>
          </w:tcPr>
          <w:p>
            <w:pPr>
              <w:spacing w:line="220" w:lineRule="atLeast"/>
              <w:jc w:val="center"/>
              <w:rPr>
                <w:rFonts w:asciiTheme="minorEastAsia" w:hAnsiTheme="minorEastAsia"/>
              </w:rPr>
            </w:pPr>
            <w:r>
              <w:rPr>
                <w:rFonts w:hint="eastAsia" w:asciiTheme="minorEastAsia" w:hAnsiTheme="minorEastAsia"/>
              </w:rPr>
              <w:t>11.16</w:t>
            </w:r>
          </w:p>
        </w:tc>
        <w:tc>
          <w:tcPr>
            <w:tcW w:w="1066" w:type="dxa"/>
          </w:tcPr>
          <w:p>
            <w:pPr>
              <w:spacing w:line="220" w:lineRule="atLeast"/>
              <w:jc w:val="center"/>
              <w:rPr>
                <w:rFonts w:asciiTheme="minorEastAsia" w:hAnsiTheme="minorEastAsia"/>
              </w:rPr>
            </w:pPr>
            <w:r>
              <w:rPr>
                <w:rFonts w:hint="eastAsia" w:asciiTheme="minorEastAsia" w:hAnsiTheme="minorEastAsia"/>
              </w:rPr>
              <w:t>24</w:t>
            </w:r>
          </w:p>
        </w:tc>
        <w:tc>
          <w:tcPr>
            <w:tcW w:w="1066" w:type="dxa"/>
          </w:tcPr>
          <w:p>
            <w:pPr>
              <w:spacing w:line="220" w:lineRule="atLeast"/>
              <w:jc w:val="center"/>
              <w:rPr>
                <w:rFonts w:asciiTheme="minorEastAsia" w:hAnsiTheme="minorEastAsia"/>
              </w:rPr>
            </w:pPr>
            <w:r>
              <w:rPr>
                <w:rFonts w:hint="eastAsia" w:asciiTheme="minorEastAsia" w:hAnsiTheme="minorEastAsia"/>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heme="minorEastAsia" w:hAnsiTheme="minorEastAsia"/>
              </w:rPr>
            </w:pPr>
            <w:r>
              <w:rPr>
                <w:rFonts w:hint="eastAsia" w:asciiTheme="minorEastAsia" w:hAnsiTheme="minorEastAsia"/>
              </w:rPr>
              <w:t>9</w:t>
            </w:r>
          </w:p>
        </w:tc>
        <w:tc>
          <w:tcPr>
            <w:tcW w:w="1673" w:type="dxa"/>
          </w:tcPr>
          <w:p>
            <w:pPr>
              <w:spacing w:line="220" w:lineRule="atLeast"/>
              <w:jc w:val="center"/>
              <w:rPr>
                <w:rFonts w:asciiTheme="minorEastAsia" w:hAnsiTheme="minorEastAsia"/>
              </w:rPr>
            </w:pPr>
            <w:r>
              <w:rPr>
                <w:rFonts w:asciiTheme="minorEastAsia" w:hAnsiTheme="minorEastAsia"/>
              </w:rPr>
              <w:t>电子信息</w:t>
            </w:r>
          </w:p>
        </w:tc>
        <w:tc>
          <w:tcPr>
            <w:tcW w:w="1065" w:type="dxa"/>
          </w:tcPr>
          <w:p>
            <w:pPr>
              <w:spacing w:line="220" w:lineRule="atLeast"/>
              <w:jc w:val="center"/>
              <w:rPr>
                <w:rFonts w:asciiTheme="minorEastAsia" w:hAnsiTheme="minorEastAsia"/>
              </w:rPr>
            </w:pPr>
            <w:r>
              <w:rPr>
                <w:rFonts w:hint="eastAsia" w:asciiTheme="minorEastAsia" w:hAnsiTheme="minorEastAsia"/>
              </w:rPr>
              <w:t>28</w:t>
            </w:r>
          </w:p>
        </w:tc>
        <w:tc>
          <w:tcPr>
            <w:tcW w:w="1065" w:type="dxa"/>
          </w:tcPr>
          <w:p>
            <w:pPr>
              <w:spacing w:line="220" w:lineRule="atLeast"/>
              <w:jc w:val="center"/>
              <w:rPr>
                <w:rFonts w:asciiTheme="minorEastAsia" w:hAnsiTheme="minorEastAsia"/>
              </w:rPr>
            </w:pPr>
            <w:r>
              <w:rPr>
                <w:rFonts w:hint="eastAsia" w:asciiTheme="minorEastAsia" w:hAnsiTheme="minorEastAsia"/>
              </w:rPr>
              <w:t>8.62</w:t>
            </w:r>
          </w:p>
        </w:tc>
        <w:tc>
          <w:tcPr>
            <w:tcW w:w="1065" w:type="dxa"/>
          </w:tcPr>
          <w:p>
            <w:pPr>
              <w:spacing w:line="220" w:lineRule="atLeast"/>
              <w:jc w:val="center"/>
              <w:rPr>
                <w:rFonts w:asciiTheme="minorEastAsia" w:hAnsiTheme="minorEastAsia"/>
              </w:rPr>
            </w:pPr>
            <w:r>
              <w:rPr>
                <w:rFonts w:hint="eastAsia" w:asciiTheme="minorEastAsia" w:hAnsiTheme="minorEastAsia"/>
              </w:rPr>
              <w:t>116</w:t>
            </w:r>
          </w:p>
        </w:tc>
        <w:tc>
          <w:tcPr>
            <w:tcW w:w="1065" w:type="dxa"/>
          </w:tcPr>
          <w:p>
            <w:pPr>
              <w:spacing w:line="220" w:lineRule="atLeast"/>
              <w:jc w:val="center"/>
              <w:rPr>
                <w:rFonts w:asciiTheme="minorEastAsia" w:hAnsiTheme="minorEastAsia"/>
              </w:rPr>
            </w:pPr>
            <w:r>
              <w:rPr>
                <w:rFonts w:hint="eastAsia" w:asciiTheme="minorEastAsia" w:hAnsiTheme="minorEastAsia"/>
              </w:rPr>
              <w:t>11.55</w:t>
            </w:r>
          </w:p>
        </w:tc>
        <w:tc>
          <w:tcPr>
            <w:tcW w:w="1066" w:type="dxa"/>
          </w:tcPr>
          <w:p>
            <w:pPr>
              <w:spacing w:line="220" w:lineRule="atLeast"/>
              <w:jc w:val="center"/>
              <w:rPr>
                <w:rFonts w:asciiTheme="minorEastAsia" w:hAnsiTheme="minorEastAsia"/>
              </w:rPr>
            </w:pPr>
            <w:r>
              <w:rPr>
                <w:rFonts w:hint="eastAsia" w:asciiTheme="minorEastAsia" w:hAnsiTheme="minorEastAsia"/>
              </w:rPr>
              <w:t>37</w:t>
            </w:r>
          </w:p>
        </w:tc>
        <w:tc>
          <w:tcPr>
            <w:tcW w:w="1066" w:type="dxa"/>
          </w:tcPr>
          <w:p>
            <w:pPr>
              <w:spacing w:line="220" w:lineRule="atLeast"/>
              <w:jc w:val="center"/>
              <w:rPr>
                <w:rFonts w:asciiTheme="minorEastAsia" w:hAnsiTheme="minorEastAsia"/>
              </w:rPr>
            </w:pPr>
            <w:r>
              <w:rPr>
                <w:rFonts w:hint="eastAsia" w:asciiTheme="minorEastAsia" w:hAnsiTheme="minorEastAsia"/>
              </w:rPr>
              <w:t>77.08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heme="minorEastAsia" w:hAnsiTheme="minorEastAsia"/>
              </w:rPr>
            </w:pPr>
            <w:r>
              <w:rPr>
                <w:rFonts w:hint="eastAsia" w:asciiTheme="minorEastAsia" w:hAnsiTheme="minorEastAsia"/>
              </w:rPr>
              <w:t>10</w:t>
            </w:r>
          </w:p>
        </w:tc>
        <w:tc>
          <w:tcPr>
            <w:tcW w:w="1673" w:type="dxa"/>
          </w:tcPr>
          <w:p>
            <w:pPr>
              <w:spacing w:line="220" w:lineRule="atLeast"/>
              <w:jc w:val="center"/>
              <w:rPr>
                <w:rFonts w:asciiTheme="minorEastAsia" w:hAnsiTheme="minorEastAsia"/>
              </w:rPr>
            </w:pPr>
            <w:r>
              <w:rPr>
                <w:rFonts w:asciiTheme="minorEastAsia" w:hAnsiTheme="minorEastAsia"/>
              </w:rPr>
              <w:t>环保</w:t>
            </w:r>
            <w:r>
              <w:rPr>
                <w:rFonts w:hint="eastAsia" w:asciiTheme="minorEastAsia" w:hAnsiTheme="minorEastAsia"/>
              </w:rPr>
              <w:t>、</w:t>
            </w:r>
            <w:r>
              <w:rPr>
                <w:rFonts w:asciiTheme="minorEastAsia" w:hAnsiTheme="minorEastAsia"/>
              </w:rPr>
              <w:t>气象与安全</w:t>
            </w:r>
          </w:p>
        </w:tc>
        <w:tc>
          <w:tcPr>
            <w:tcW w:w="1065" w:type="dxa"/>
          </w:tcPr>
          <w:p>
            <w:pPr>
              <w:spacing w:line="220" w:lineRule="atLeast"/>
              <w:jc w:val="center"/>
              <w:rPr>
                <w:rFonts w:asciiTheme="minorEastAsia" w:hAnsiTheme="minorEastAsia"/>
              </w:rPr>
            </w:pPr>
            <w:r>
              <w:rPr>
                <w:rFonts w:hint="eastAsia" w:asciiTheme="minorEastAsia" w:hAnsiTheme="minorEastAsia"/>
              </w:rPr>
              <w:t>4</w:t>
            </w:r>
          </w:p>
        </w:tc>
        <w:tc>
          <w:tcPr>
            <w:tcW w:w="1065" w:type="dxa"/>
          </w:tcPr>
          <w:p>
            <w:pPr>
              <w:spacing w:line="220" w:lineRule="atLeast"/>
              <w:jc w:val="center"/>
              <w:rPr>
                <w:rFonts w:asciiTheme="minorEastAsia" w:hAnsiTheme="minorEastAsia"/>
              </w:rPr>
            </w:pPr>
            <w:r>
              <w:rPr>
                <w:rFonts w:hint="eastAsia" w:asciiTheme="minorEastAsia" w:hAnsiTheme="minorEastAsia"/>
              </w:rPr>
              <w:t>1.23</w:t>
            </w:r>
          </w:p>
        </w:tc>
        <w:tc>
          <w:tcPr>
            <w:tcW w:w="1065" w:type="dxa"/>
          </w:tcPr>
          <w:p>
            <w:pPr>
              <w:spacing w:line="220" w:lineRule="atLeast"/>
              <w:jc w:val="center"/>
              <w:rPr>
                <w:rFonts w:asciiTheme="minorEastAsia" w:hAnsiTheme="minorEastAsia"/>
              </w:rPr>
            </w:pPr>
            <w:r>
              <w:rPr>
                <w:rFonts w:hint="eastAsia" w:asciiTheme="minorEastAsia" w:hAnsiTheme="minorEastAsia"/>
              </w:rPr>
              <w:t>9</w:t>
            </w:r>
          </w:p>
        </w:tc>
        <w:tc>
          <w:tcPr>
            <w:tcW w:w="1065" w:type="dxa"/>
          </w:tcPr>
          <w:p>
            <w:pPr>
              <w:spacing w:line="220" w:lineRule="atLeast"/>
              <w:jc w:val="center"/>
              <w:rPr>
                <w:rFonts w:asciiTheme="minorEastAsia" w:hAnsiTheme="minorEastAsia"/>
              </w:rPr>
            </w:pPr>
            <w:r>
              <w:rPr>
                <w:rFonts w:hint="eastAsia" w:asciiTheme="minorEastAsia" w:hAnsiTheme="minorEastAsia"/>
              </w:rPr>
              <w:t>0.90</w:t>
            </w:r>
          </w:p>
        </w:tc>
        <w:tc>
          <w:tcPr>
            <w:tcW w:w="1066" w:type="dxa"/>
          </w:tcPr>
          <w:p>
            <w:pPr>
              <w:spacing w:line="220" w:lineRule="atLeast"/>
              <w:jc w:val="center"/>
              <w:rPr>
                <w:rFonts w:asciiTheme="minorEastAsia" w:hAnsiTheme="minorEastAsia"/>
              </w:rPr>
            </w:pPr>
            <w:r>
              <w:rPr>
                <w:rFonts w:hint="eastAsia" w:asciiTheme="minorEastAsia" w:hAnsiTheme="minorEastAsia"/>
              </w:rPr>
              <w:t>8</w:t>
            </w:r>
          </w:p>
        </w:tc>
        <w:tc>
          <w:tcPr>
            <w:tcW w:w="1066" w:type="dxa"/>
          </w:tcPr>
          <w:p>
            <w:pPr>
              <w:spacing w:line="220" w:lineRule="atLeast"/>
              <w:jc w:val="center"/>
              <w:rPr>
                <w:rFonts w:asciiTheme="minorEastAsia" w:hAnsiTheme="minorEastAsia"/>
              </w:rPr>
            </w:pPr>
            <w:r>
              <w:rPr>
                <w:rFonts w:hint="eastAsia" w:asciiTheme="minorEastAsia" w:hAnsiTheme="minorEastAsia"/>
              </w:rPr>
              <w:t>16.67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heme="minorEastAsia" w:hAnsiTheme="minorEastAsia"/>
              </w:rPr>
            </w:pPr>
            <w:r>
              <w:rPr>
                <w:rFonts w:hint="eastAsia" w:asciiTheme="minorEastAsia" w:hAnsiTheme="minorEastAsia"/>
              </w:rPr>
              <w:t>11</w:t>
            </w:r>
          </w:p>
        </w:tc>
        <w:tc>
          <w:tcPr>
            <w:tcW w:w="1673" w:type="dxa"/>
          </w:tcPr>
          <w:p>
            <w:pPr>
              <w:spacing w:line="220" w:lineRule="atLeast"/>
              <w:jc w:val="center"/>
              <w:rPr>
                <w:rFonts w:asciiTheme="minorEastAsia" w:hAnsiTheme="minorEastAsia"/>
              </w:rPr>
            </w:pPr>
            <w:r>
              <w:rPr>
                <w:rFonts w:asciiTheme="minorEastAsia" w:hAnsiTheme="minorEastAsia"/>
              </w:rPr>
              <w:t>轻纺食品</w:t>
            </w:r>
          </w:p>
        </w:tc>
        <w:tc>
          <w:tcPr>
            <w:tcW w:w="1065" w:type="dxa"/>
          </w:tcPr>
          <w:p>
            <w:pPr>
              <w:spacing w:line="220" w:lineRule="atLeast"/>
              <w:jc w:val="center"/>
              <w:rPr>
                <w:rFonts w:asciiTheme="minorEastAsia" w:hAnsiTheme="minorEastAsia"/>
              </w:rPr>
            </w:pPr>
            <w:r>
              <w:rPr>
                <w:rFonts w:hint="eastAsia" w:asciiTheme="minorEastAsia" w:hAnsiTheme="minorEastAsia"/>
              </w:rPr>
              <w:t>8</w:t>
            </w:r>
          </w:p>
        </w:tc>
        <w:tc>
          <w:tcPr>
            <w:tcW w:w="1065" w:type="dxa"/>
          </w:tcPr>
          <w:p>
            <w:pPr>
              <w:spacing w:line="220" w:lineRule="atLeast"/>
              <w:jc w:val="center"/>
              <w:rPr>
                <w:rFonts w:asciiTheme="minorEastAsia" w:hAnsiTheme="minorEastAsia"/>
              </w:rPr>
            </w:pPr>
            <w:r>
              <w:rPr>
                <w:rFonts w:hint="eastAsia" w:asciiTheme="minorEastAsia" w:hAnsiTheme="minorEastAsia"/>
              </w:rPr>
              <w:t>2.46</w:t>
            </w:r>
          </w:p>
        </w:tc>
        <w:tc>
          <w:tcPr>
            <w:tcW w:w="1065" w:type="dxa"/>
          </w:tcPr>
          <w:p>
            <w:pPr>
              <w:spacing w:line="220" w:lineRule="atLeast"/>
              <w:jc w:val="center"/>
              <w:rPr>
                <w:rFonts w:asciiTheme="minorEastAsia" w:hAnsiTheme="minorEastAsia"/>
              </w:rPr>
            </w:pPr>
            <w:r>
              <w:rPr>
                <w:rFonts w:hint="eastAsia" w:asciiTheme="minorEastAsia" w:hAnsiTheme="minorEastAsia"/>
              </w:rPr>
              <w:t>18</w:t>
            </w:r>
          </w:p>
        </w:tc>
        <w:tc>
          <w:tcPr>
            <w:tcW w:w="1065" w:type="dxa"/>
          </w:tcPr>
          <w:p>
            <w:pPr>
              <w:spacing w:line="220" w:lineRule="atLeast"/>
              <w:jc w:val="center"/>
              <w:rPr>
                <w:rFonts w:asciiTheme="minorEastAsia" w:hAnsiTheme="minorEastAsia"/>
              </w:rPr>
            </w:pPr>
            <w:r>
              <w:rPr>
                <w:rFonts w:hint="eastAsia" w:asciiTheme="minorEastAsia" w:hAnsiTheme="minorEastAsia"/>
              </w:rPr>
              <w:t>1.79</w:t>
            </w:r>
          </w:p>
        </w:tc>
        <w:tc>
          <w:tcPr>
            <w:tcW w:w="1066" w:type="dxa"/>
          </w:tcPr>
          <w:p>
            <w:pPr>
              <w:spacing w:line="220" w:lineRule="atLeast"/>
              <w:jc w:val="center"/>
              <w:rPr>
                <w:rFonts w:asciiTheme="minorEastAsia" w:hAnsiTheme="minorEastAsia"/>
              </w:rPr>
            </w:pPr>
            <w:r>
              <w:rPr>
                <w:rFonts w:hint="eastAsia" w:asciiTheme="minorEastAsia" w:hAnsiTheme="minorEastAsia"/>
              </w:rPr>
              <w:t>9</w:t>
            </w:r>
          </w:p>
        </w:tc>
        <w:tc>
          <w:tcPr>
            <w:tcW w:w="1066" w:type="dxa"/>
          </w:tcPr>
          <w:p>
            <w:pPr>
              <w:spacing w:line="220" w:lineRule="atLeast"/>
              <w:jc w:val="center"/>
              <w:rPr>
                <w:rFonts w:asciiTheme="minorEastAsia" w:hAnsiTheme="minorEastAsia"/>
              </w:rPr>
            </w:pPr>
            <w:r>
              <w:rPr>
                <w:rFonts w:hint="eastAsia" w:asciiTheme="minorEastAsia" w:hAnsiTheme="minorEastAsia"/>
              </w:rPr>
              <w:t>18.75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heme="minorEastAsia" w:hAnsiTheme="minorEastAsia"/>
              </w:rPr>
            </w:pPr>
            <w:r>
              <w:rPr>
                <w:rFonts w:hint="eastAsia" w:asciiTheme="minorEastAsia" w:hAnsiTheme="minorEastAsia"/>
              </w:rPr>
              <w:t>12</w:t>
            </w:r>
          </w:p>
        </w:tc>
        <w:tc>
          <w:tcPr>
            <w:tcW w:w="1673" w:type="dxa"/>
          </w:tcPr>
          <w:p>
            <w:pPr>
              <w:spacing w:line="220" w:lineRule="atLeast"/>
              <w:jc w:val="center"/>
              <w:rPr>
                <w:rFonts w:asciiTheme="minorEastAsia" w:hAnsiTheme="minorEastAsia"/>
              </w:rPr>
            </w:pPr>
            <w:r>
              <w:rPr>
                <w:rFonts w:asciiTheme="minorEastAsia" w:hAnsiTheme="minorEastAsia"/>
              </w:rPr>
              <w:t>财经</w:t>
            </w:r>
          </w:p>
        </w:tc>
        <w:tc>
          <w:tcPr>
            <w:tcW w:w="1065" w:type="dxa"/>
          </w:tcPr>
          <w:p>
            <w:pPr>
              <w:spacing w:line="220" w:lineRule="atLeast"/>
              <w:jc w:val="center"/>
              <w:rPr>
                <w:rFonts w:asciiTheme="minorEastAsia" w:hAnsiTheme="minorEastAsia"/>
              </w:rPr>
            </w:pPr>
            <w:r>
              <w:rPr>
                <w:rFonts w:hint="eastAsia" w:asciiTheme="minorEastAsia" w:hAnsiTheme="minorEastAsia"/>
              </w:rPr>
              <w:t>27</w:t>
            </w:r>
          </w:p>
        </w:tc>
        <w:tc>
          <w:tcPr>
            <w:tcW w:w="1065" w:type="dxa"/>
          </w:tcPr>
          <w:p>
            <w:pPr>
              <w:spacing w:line="220" w:lineRule="atLeast"/>
              <w:jc w:val="center"/>
              <w:rPr>
                <w:rFonts w:asciiTheme="minorEastAsia" w:hAnsiTheme="minorEastAsia"/>
              </w:rPr>
            </w:pPr>
            <w:r>
              <w:rPr>
                <w:rFonts w:hint="eastAsia" w:asciiTheme="minorEastAsia" w:hAnsiTheme="minorEastAsia"/>
              </w:rPr>
              <w:t>8.31</w:t>
            </w:r>
          </w:p>
        </w:tc>
        <w:tc>
          <w:tcPr>
            <w:tcW w:w="1065" w:type="dxa"/>
          </w:tcPr>
          <w:p>
            <w:pPr>
              <w:spacing w:line="220" w:lineRule="atLeast"/>
              <w:jc w:val="center"/>
              <w:rPr>
                <w:rFonts w:asciiTheme="minorEastAsia" w:hAnsiTheme="minorEastAsia"/>
              </w:rPr>
            </w:pPr>
            <w:r>
              <w:rPr>
                <w:rFonts w:hint="eastAsia" w:asciiTheme="minorEastAsia" w:hAnsiTheme="minorEastAsia"/>
              </w:rPr>
              <w:t>145</w:t>
            </w:r>
          </w:p>
        </w:tc>
        <w:tc>
          <w:tcPr>
            <w:tcW w:w="1065" w:type="dxa"/>
          </w:tcPr>
          <w:p>
            <w:pPr>
              <w:spacing w:line="220" w:lineRule="atLeast"/>
              <w:jc w:val="center"/>
              <w:rPr>
                <w:rFonts w:asciiTheme="minorEastAsia" w:hAnsiTheme="minorEastAsia"/>
              </w:rPr>
            </w:pPr>
            <w:r>
              <w:rPr>
                <w:rFonts w:hint="eastAsia" w:asciiTheme="minorEastAsia" w:hAnsiTheme="minorEastAsia"/>
              </w:rPr>
              <w:t>14.44</w:t>
            </w:r>
          </w:p>
        </w:tc>
        <w:tc>
          <w:tcPr>
            <w:tcW w:w="1066" w:type="dxa"/>
          </w:tcPr>
          <w:p>
            <w:pPr>
              <w:spacing w:line="220" w:lineRule="atLeast"/>
              <w:jc w:val="center"/>
              <w:rPr>
                <w:rFonts w:asciiTheme="minorEastAsia" w:hAnsiTheme="minorEastAsia"/>
              </w:rPr>
            </w:pPr>
            <w:r>
              <w:rPr>
                <w:rFonts w:hint="eastAsia" w:asciiTheme="minorEastAsia" w:hAnsiTheme="minorEastAsia"/>
              </w:rPr>
              <w:t>38</w:t>
            </w:r>
          </w:p>
        </w:tc>
        <w:tc>
          <w:tcPr>
            <w:tcW w:w="1066" w:type="dxa"/>
          </w:tcPr>
          <w:p>
            <w:pPr>
              <w:spacing w:line="220" w:lineRule="atLeast"/>
              <w:jc w:val="center"/>
              <w:rPr>
                <w:rFonts w:asciiTheme="minorEastAsia" w:hAnsiTheme="minorEastAsia"/>
              </w:rPr>
            </w:pPr>
            <w:r>
              <w:rPr>
                <w:rFonts w:hint="eastAsia" w:asciiTheme="minorEastAsia" w:hAnsiTheme="minorEastAsia"/>
              </w:rPr>
              <w:t>79.17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heme="minorEastAsia" w:hAnsiTheme="minorEastAsia"/>
              </w:rPr>
            </w:pPr>
            <w:r>
              <w:rPr>
                <w:rFonts w:hint="eastAsia" w:asciiTheme="minorEastAsia" w:hAnsiTheme="minorEastAsia"/>
              </w:rPr>
              <w:t>13</w:t>
            </w:r>
          </w:p>
        </w:tc>
        <w:tc>
          <w:tcPr>
            <w:tcW w:w="1673" w:type="dxa"/>
          </w:tcPr>
          <w:p>
            <w:pPr>
              <w:spacing w:line="220" w:lineRule="atLeast"/>
              <w:jc w:val="center"/>
              <w:rPr>
                <w:rFonts w:asciiTheme="minorEastAsia" w:hAnsiTheme="minorEastAsia"/>
              </w:rPr>
            </w:pPr>
            <w:r>
              <w:rPr>
                <w:rFonts w:asciiTheme="minorEastAsia" w:hAnsiTheme="minorEastAsia"/>
              </w:rPr>
              <w:t>医药卫生</w:t>
            </w:r>
          </w:p>
        </w:tc>
        <w:tc>
          <w:tcPr>
            <w:tcW w:w="1065" w:type="dxa"/>
          </w:tcPr>
          <w:p>
            <w:pPr>
              <w:spacing w:line="220" w:lineRule="atLeast"/>
              <w:jc w:val="center"/>
              <w:rPr>
                <w:rFonts w:asciiTheme="minorEastAsia" w:hAnsiTheme="minorEastAsia"/>
              </w:rPr>
            </w:pPr>
            <w:r>
              <w:rPr>
                <w:rFonts w:hint="eastAsia" w:asciiTheme="minorEastAsia" w:hAnsiTheme="minorEastAsia"/>
              </w:rPr>
              <w:t>12</w:t>
            </w:r>
          </w:p>
        </w:tc>
        <w:tc>
          <w:tcPr>
            <w:tcW w:w="1065" w:type="dxa"/>
          </w:tcPr>
          <w:p>
            <w:pPr>
              <w:spacing w:line="220" w:lineRule="atLeast"/>
              <w:jc w:val="center"/>
              <w:rPr>
                <w:rFonts w:asciiTheme="minorEastAsia" w:hAnsiTheme="minorEastAsia"/>
              </w:rPr>
            </w:pPr>
            <w:r>
              <w:rPr>
                <w:rFonts w:hint="eastAsia" w:asciiTheme="minorEastAsia" w:hAnsiTheme="minorEastAsia"/>
              </w:rPr>
              <w:t>3.69</w:t>
            </w:r>
          </w:p>
        </w:tc>
        <w:tc>
          <w:tcPr>
            <w:tcW w:w="1065" w:type="dxa"/>
          </w:tcPr>
          <w:p>
            <w:pPr>
              <w:spacing w:line="220" w:lineRule="atLeast"/>
              <w:jc w:val="center"/>
              <w:rPr>
                <w:rFonts w:asciiTheme="minorEastAsia" w:hAnsiTheme="minorEastAsia"/>
              </w:rPr>
            </w:pPr>
            <w:r>
              <w:rPr>
                <w:rFonts w:hint="eastAsia" w:asciiTheme="minorEastAsia" w:hAnsiTheme="minorEastAsia"/>
              </w:rPr>
              <w:t>35</w:t>
            </w:r>
          </w:p>
        </w:tc>
        <w:tc>
          <w:tcPr>
            <w:tcW w:w="1065" w:type="dxa"/>
          </w:tcPr>
          <w:p>
            <w:pPr>
              <w:spacing w:line="220" w:lineRule="atLeast"/>
              <w:jc w:val="center"/>
              <w:rPr>
                <w:rFonts w:asciiTheme="minorEastAsia" w:hAnsiTheme="minorEastAsia"/>
              </w:rPr>
            </w:pPr>
            <w:r>
              <w:rPr>
                <w:rFonts w:hint="eastAsia" w:asciiTheme="minorEastAsia" w:hAnsiTheme="minorEastAsia"/>
              </w:rPr>
              <w:t>3.49</w:t>
            </w:r>
          </w:p>
        </w:tc>
        <w:tc>
          <w:tcPr>
            <w:tcW w:w="1066" w:type="dxa"/>
          </w:tcPr>
          <w:p>
            <w:pPr>
              <w:spacing w:line="220" w:lineRule="atLeast"/>
              <w:jc w:val="center"/>
              <w:rPr>
                <w:rFonts w:asciiTheme="minorEastAsia" w:hAnsiTheme="minorEastAsia"/>
              </w:rPr>
            </w:pPr>
            <w:r>
              <w:rPr>
                <w:rFonts w:hint="eastAsia" w:asciiTheme="minorEastAsia" w:hAnsiTheme="minorEastAsia"/>
              </w:rPr>
              <w:t>6</w:t>
            </w:r>
          </w:p>
        </w:tc>
        <w:tc>
          <w:tcPr>
            <w:tcW w:w="1066" w:type="dxa"/>
          </w:tcPr>
          <w:p>
            <w:pPr>
              <w:spacing w:line="220" w:lineRule="atLeast"/>
              <w:jc w:val="center"/>
              <w:rPr>
                <w:rFonts w:asciiTheme="minorEastAsia" w:hAnsiTheme="minorEastAsia"/>
              </w:rPr>
            </w:pPr>
            <w:r>
              <w:rPr>
                <w:rFonts w:hint="eastAsia" w:asciiTheme="minorEastAsia" w:hAnsiTheme="minorEastAsia"/>
              </w:rPr>
              <w:t>12.50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heme="minorEastAsia" w:hAnsiTheme="minorEastAsia"/>
              </w:rPr>
            </w:pPr>
            <w:r>
              <w:rPr>
                <w:rFonts w:hint="eastAsia" w:asciiTheme="minorEastAsia" w:hAnsiTheme="minorEastAsia"/>
              </w:rPr>
              <w:t>14</w:t>
            </w:r>
          </w:p>
        </w:tc>
        <w:tc>
          <w:tcPr>
            <w:tcW w:w="1673" w:type="dxa"/>
          </w:tcPr>
          <w:p>
            <w:pPr>
              <w:spacing w:line="220" w:lineRule="atLeast"/>
              <w:jc w:val="center"/>
              <w:rPr>
                <w:rFonts w:asciiTheme="minorEastAsia" w:hAnsiTheme="minorEastAsia"/>
              </w:rPr>
            </w:pPr>
            <w:r>
              <w:rPr>
                <w:rFonts w:asciiTheme="minorEastAsia" w:hAnsiTheme="minorEastAsia"/>
              </w:rPr>
              <w:t>旅游</w:t>
            </w:r>
          </w:p>
        </w:tc>
        <w:tc>
          <w:tcPr>
            <w:tcW w:w="1065" w:type="dxa"/>
          </w:tcPr>
          <w:p>
            <w:pPr>
              <w:spacing w:line="220" w:lineRule="atLeast"/>
              <w:jc w:val="center"/>
              <w:rPr>
                <w:rFonts w:asciiTheme="minorEastAsia" w:hAnsiTheme="minorEastAsia"/>
              </w:rPr>
            </w:pPr>
            <w:r>
              <w:rPr>
                <w:rFonts w:hint="eastAsia" w:asciiTheme="minorEastAsia" w:hAnsiTheme="minorEastAsia"/>
              </w:rPr>
              <w:t>12</w:t>
            </w:r>
          </w:p>
        </w:tc>
        <w:tc>
          <w:tcPr>
            <w:tcW w:w="1065" w:type="dxa"/>
          </w:tcPr>
          <w:p>
            <w:pPr>
              <w:spacing w:line="220" w:lineRule="atLeast"/>
              <w:jc w:val="center"/>
              <w:rPr>
                <w:rFonts w:asciiTheme="minorEastAsia" w:hAnsiTheme="minorEastAsia"/>
              </w:rPr>
            </w:pPr>
            <w:r>
              <w:rPr>
                <w:rFonts w:hint="eastAsia" w:asciiTheme="minorEastAsia" w:hAnsiTheme="minorEastAsia"/>
              </w:rPr>
              <w:t>3.69</w:t>
            </w:r>
          </w:p>
        </w:tc>
        <w:tc>
          <w:tcPr>
            <w:tcW w:w="1065" w:type="dxa"/>
          </w:tcPr>
          <w:p>
            <w:pPr>
              <w:spacing w:line="220" w:lineRule="atLeast"/>
              <w:jc w:val="center"/>
              <w:rPr>
                <w:rFonts w:asciiTheme="minorEastAsia" w:hAnsiTheme="minorEastAsia"/>
              </w:rPr>
            </w:pPr>
            <w:r>
              <w:rPr>
                <w:rFonts w:hint="eastAsia" w:asciiTheme="minorEastAsia" w:hAnsiTheme="minorEastAsia"/>
              </w:rPr>
              <w:t>67</w:t>
            </w:r>
          </w:p>
        </w:tc>
        <w:tc>
          <w:tcPr>
            <w:tcW w:w="1065" w:type="dxa"/>
          </w:tcPr>
          <w:p>
            <w:pPr>
              <w:spacing w:line="220" w:lineRule="atLeast"/>
              <w:jc w:val="center"/>
              <w:rPr>
                <w:rFonts w:asciiTheme="minorEastAsia" w:hAnsiTheme="minorEastAsia"/>
              </w:rPr>
            </w:pPr>
            <w:r>
              <w:rPr>
                <w:rFonts w:hint="eastAsia" w:asciiTheme="minorEastAsia" w:hAnsiTheme="minorEastAsia"/>
              </w:rPr>
              <w:t>6.67</w:t>
            </w:r>
          </w:p>
        </w:tc>
        <w:tc>
          <w:tcPr>
            <w:tcW w:w="1066" w:type="dxa"/>
          </w:tcPr>
          <w:p>
            <w:pPr>
              <w:spacing w:line="220" w:lineRule="atLeast"/>
              <w:jc w:val="center"/>
              <w:rPr>
                <w:rFonts w:asciiTheme="minorEastAsia" w:hAnsiTheme="minorEastAsia"/>
              </w:rPr>
            </w:pPr>
            <w:r>
              <w:rPr>
                <w:rFonts w:hint="eastAsia" w:asciiTheme="minorEastAsia" w:hAnsiTheme="minorEastAsia"/>
              </w:rPr>
              <w:t>29</w:t>
            </w:r>
          </w:p>
        </w:tc>
        <w:tc>
          <w:tcPr>
            <w:tcW w:w="1066" w:type="dxa"/>
          </w:tcPr>
          <w:p>
            <w:pPr>
              <w:spacing w:line="220" w:lineRule="atLeast"/>
              <w:jc w:val="center"/>
              <w:rPr>
                <w:rFonts w:asciiTheme="minorEastAsia" w:hAnsiTheme="minorEastAsia"/>
              </w:rPr>
            </w:pPr>
            <w:r>
              <w:rPr>
                <w:rFonts w:hint="eastAsia" w:asciiTheme="minorEastAsia" w:hAnsiTheme="minorEastAsia"/>
              </w:rPr>
              <w:t>60.42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heme="minorEastAsia" w:hAnsiTheme="minorEastAsia"/>
              </w:rPr>
            </w:pPr>
            <w:r>
              <w:rPr>
                <w:rFonts w:hint="eastAsia" w:asciiTheme="minorEastAsia" w:hAnsiTheme="minorEastAsia"/>
              </w:rPr>
              <w:t>15</w:t>
            </w:r>
          </w:p>
        </w:tc>
        <w:tc>
          <w:tcPr>
            <w:tcW w:w="1673" w:type="dxa"/>
          </w:tcPr>
          <w:p>
            <w:pPr>
              <w:spacing w:line="220" w:lineRule="atLeast"/>
              <w:jc w:val="center"/>
              <w:rPr>
                <w:rFonts w:asciiTheme="minorEastAsia" w:hAnsiTheme="minorEastAsia"/>
              </w:rPr>
            </w:pPr>
            <w:r>
              <w:rPr>
                <w:rFonts w:asciiTheme="minorEastAsia" w:hAnsiTheme="minorEastAsia"/>
              </w:rPr>
              <w:t>公共事业</w:t>
            </w:r>
          </w:p>
        </w:tc>
        <w:tc>
          <w:tcPr>
            <w:tcW w:w="1065" w:type="dxa"/>
          </w:tcPr>
          <w:p>
            <w:pPr>
              <w:spacing w:line="220" w:lineRule="atLeast"/>
              <w:jc w:val="center"/>
              <w:rPr>
                <w:rFonts w:asciiTheme="minorEastAsia" w:hAnsiTheme="minorEastAsia"/>
              </w:rPr>
            </w:pPr>
            <w:r>
              <w:rPr>
                <w:rFonts w:hint="eastAsia" w:asciiTheme="minorEastAsia" w:hAnsiTheme="minorEastAsia"/>
              </w:rPr>
              <w:t>7</w:t>
            </w:r>
          </w:p>
        </w:tc>
        <w:tc>
          <w:tcPr>
            <w:tcW w:w="1065" w:type="dxa"/>
          </w:tcPr>
          <w:p>
            <w:pPr>
              <w:spacing w:line="220" w:lineRule="atLeast"/>
              <w:jc w:val="center"/>
              <w:rPr>
                <w:rFonts w:asciiTheme="minorEastAsia" w:hAnsiTheme="minorEastAsia"/>
              </w:rPr>
            </w:pPr>
            <w:r>
              <w:rPr>
                <w:rFonts w:hint="eastAsia" w:asciiTheme="minorEastAsia" w:hAnsiTheme="minorEastAsia"/>
              </w:rPr>
              <w:t>2.15</w:t>
            </w:r>
          </w:p>
        </w:tc>
        <w:tc>
          <w:tcPr>
            <w:tcW w:w="1065" w:type="dxa"/>
          </w:tcPr>
          <w:p>
            <w:pPr>
              <w:spacing w:line="220" w:lineRule="atLeast"/>
              <w:jc w:val="center"/>
              <w:rPr>
                <w:rFonts w:asciiTheme="minorEastAsia" w:hAnsiTheme="minorEastAsia"/>
              </w:rPr>
            </w:pPr>
            <w:r>
              <w:rPr>
                <w:rFonts w:hint="eastAsia" w:asciiTheme="minorEastAsia" w:hAnsiTheme="minorEastAsia"/>
              </w:rPr>
              <w:t>9</w:t>
            </w:r>
          </w:p>
        </w:tc>
        <w:tc>
          <w:tcPr>
            <w:tcW w:w="1065" w:type="dxa"/>
          </w:tcPr>
          <w:p>
            <w:pPr>
              <w:spacing w:line="220" w:lineRule="atLeast"/>
              <w:jc w:val="center"/>
              <w:rPr>
                <w:rFonts w:asciiTheme="minorEastAsia" w:hAnsiTheme="minorEastAsia"/>
              </w:rPr>
            </w:pPr>
            <w:r>
              <w:rPr>
                <w:rFonts w:hint="eastAsia" w:asciiTheme="minorEastAsia" w:hAnsiTheme="minorEastAsia"/>
              </w:rPr>
              <w:t>0.90</w:t>
            </w:r>
          </w:p>
        </w:tc>
        <w:tc>
          <w:tcPr>
            <w:tcW w:w="1066" w:type="dxa"/>
          </w:tcPr>
          <w:p>
            <w:pPr>
              <w:spacing w:line="220" w:lineRule="atLeast"/>
              <w:jc w:val="center"/>
              <w:rPr>
                <w:rFonts w:asciiTheme="minorEastAsia" w:hAnsiTheme="minorEastAsia"/>
              </w:rPr>
            </w:pPr>
            <w:r>
              <w:rPr>
                <w:rFonts w:hint="eastAsia" w:asciiTheme="minorEastAsia" w:hAnsiTheme="minorEastAsia"/>
              </w:rPr>
              <w:t>7</w:t>
            </w:r>
          </w:p>
        </w:tc>
        <w:tc>
          <w:tcPr>
            <w:tcW w:w="1066" w:type="dxa"/>
          </w:tcPr>
          <w:p>
            <w:pPr>
              <w:spacing w:line="220" w:lineRule="atLeast"/>
              <w:jc w:val="center"/>
              <w:rPr>
                <w:rFonts w:asciiTheme="minorEastAsia" w:hAnsiTheme="minorEastAsia"/>
              </w:rPr>
            </w:pPr>
            <w:r>
              <w:rPr>
                <w:rFonts w:hint="eastAsia" w:asciiTheme="minorEastAsia" w:hAnsiTheme="minorEastAsia"/>
              </w:rPr>
              <w:t>15.58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heme="minorEastAsia" w:hAnsiTheme="minorEastAsia"/>
              </w:rPr>
            </w:pPr>
            <w:r>
              <w:rPr>
                <w:rFonts w:hint="eastAsia" w:asciiTheme="minorEastAsia" w:hAnsiTheme="minorEastAsia"/>
              </w:rPr>
              <w:t>16</w:t>
            </w:r>
          </w:p>
        </w:tc>
        <w:tc>
          <w:tcPr>
            <w:tcW w:w="1673" w:type="dxa"/>
          </w:tcPr>
          <w:p>
            <w:pPr>
              <w:spacing w:line="220" w:lineRule="atLeast"/>
              <w:jc w:val="center"/>
              <w:rPr>
                <w:rFonts w:asciiTheme="minorEastAsia" w:hAnsiTheme="minorEastAsia"/>
              </w:rPr>
            </w:pPr>
            <w:r>
              <w:rPr>
                <w:rFonts w:asciiTheme="minorEastAsia" w:hAnsiTheme="minorEastAsia"/>
              </w:rPr>
              <w:t>文化教育</w:t>
            </w:r>
          </w:p>
        </w:tc>
        <w:tc>
          <w:tcPr>
            <w:tcW w:w="1065" w:type="dxa"/>
          </w:tcPr>
          <w:p>
            <w:pPr>
              <w:spacing w:line="220" w:lineRule="atLeast"/>
              <w:jc w:val="center"/>
              <w:rPr>
                <w:rFonts w:asciiTheme="minorEastAsia" w:hAnsiTheme="minorEastAsia"/>
              </w:rPr>
            </w:pPr>
            <w:r>
              <w:rPr>
                <w:rFonts w:hint="eastAsia" w:asciiTheme="minorEastAsia" w:hAnsiTheme="minorEastAsia"/>
              </w:rPr>
              <w:t>37</w:t>
            </w:r>
          </w:p>
        </w:tc>
        <w:tc>
          <w:tcPr>
            <w:tcW w:w="1065" w:type="dxa"/>
          </w:tcPr>
          <w:p>
            <w:pPr>
              <w:spacing w:line="220" w:lineRule="atLeast"/>
              <w:jc w:val="center"/>
              <w:rPr>
                <w:rFonts w:asciiTheme="minorEastAsia" w:hAnsiTheme="minorEastAsia"/>
              </w:rPr>
            </w:pPr>
            <w:r>
              <w:rPr>
                <w:rFonts w:hint="eastAsia" w:asciiTheme="minorEastAsia" w:hAnsiTheme="minorEastAsia"/>
              </w:rPr>
              <w:t>11.38</w:t>
            </w:r>
          </w:p>
        </w:tc>
        <w:tc>
          <w:tcPr>
            <w:tcW w:w="1065" w:type="dxa"/>
          </w:tcPr>
          <w:p>
            <w:pPr>
              <w:spacing w:line="220" w:lineRule="atLeast"/>
              <w:jc w:val="center"/>
              <w:rPr>
                <w:rFonts w:asciiTheme="minorEastAsia" w:hAnsiTheme="minorEastAsia"/>
              </w:rPr>
            </w:pPr>
            <w:r>
              <w:rPr>
                <w:rFonts w:hint="eastAsia" w:asciiTheme="minorEastAsia" w:hAnsiTheme="minorEastAsia"/>
              </w:rPr>
              <w:t>106</w:t>
            </w:r>
          </w:p>
        </w:tc>
        <w:tc>
          <w:tcPr>
            <w:tcW w:w="1065" w:type="dxa"/>
          </w:tcPr>
          <w:p>
            <w:pPr>
              <w:spacing w:line="220" w:lineRule="atLeast"/>
              <w:jc w:val="center"/>
              <w:rPr>
                <w:rFonts w:asciiTheme="minorEastAsia" w:hAnsiTheme="minorEastAsia"/>
              </w:rPr>
            </w:pPr>
            <w:r>
              <w:rPr>
                <w:rFonts w:hint="eastAsia" w:asciiTheme="minorEastAsia" w:hAnsiTheme="minorEastAsia"/>
              </w:rPr>
              <w:t>10.56</w:t>
            </w:r>
          </w:p>
        </w:tc>
        <w:tc>
          <w:tcPr>
            <w:tcW w:w="1066" w:type="dxa"/>
          </w:tcPr>
          <w:p>
            <w:pPr>
              <w:spacing w:line="220" w:lineRule="atLeast"/>
              <w:jc w:val="center"/>
              <w:rPr>
                <w:rFonts w:asciiTheme="minorEastAsia" w:hAnsiTheme="minorEastAsia"/>
              </w:rPr>
            </w:pPr>
            <w:r>
              <w:rPr>
                <w:rFonts w:hint="eastAsia" w:asciiTheme="minorEastAsia" w:hAnsiTheme="minorEastAsia"/>
              </w:rPr>
              <w:t>26</w:t>
            </w:r>
          </w:p>
        </w:tc>
        <w:tc>
          <w:tcPr>
            <w:tcW w:w="1066" w:type="dxa"/>
          </w:tcPr>
          <w:p>
            <w:pPr>
              <w:spacing w:line="220" w:lineRule="atLeast"/>
              <w:jc w:val="center"/>
              <w:rPr>
                <w:rFonts w:asciiTheme="minorEastAsia" w:hAnsiTheme="minorEastAsia"/>
              </w:rPr>
            </w:pPr>
            <w:r>
              <w:rPr>
                <w:rFonts w:hint="eastAsia" w:asciiTheme="minorEastAsia" w:hAnsiTheme="minorEastAsia"/>
              </w:rPr>
              <w:t>54.17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heme="minorEastAsia" w:hAnsiTheme="minorEastAsia"/>
              </w:rPr>
            </w:pPr>
            <w:r>
              <w:rPr>
                <w:rFonts w:hint="eastAsia" w:asciiTheme="minorEastAsia" w:hAnsiTheme="minorEastAsia"/>
              </w:rPr>
              <w:t>17</w:t>
            </w:r>
          </w:p>
        </w:tc>
        <w:tc>
          <w:tcPr>
            <w:tcW w:w="1673" w:type="dxa"/>
          </w:tcPr>
          <w:p>
            <w:pPr>
              <w:spacing w:line="220" w:lineRule="atLeast"/>
              <w:jc w:val="center"/>
              <w:rPr>
                <w:rFonts w:asciiTheme="minorEastAsia" w:hAnsiTheme="minorEastAsia"/>
              </w:rPr>
            </w:pPr>
            <w:r>
              <w:rPr>
                <w:rFonts w:asciiTheme="minorEastAsia" w:hAnsiTheme="minorEastAsia"/>
              </w:rPr>
              <w:t>艺术设计传媒</w:t>
            </w:r>
          </w:p>
        </w:tc>
        <w:tc>
          <w:tcPr>
            <w:tcW w:w="1065" w:type="dxa"/>
          </w:tcPr>
          <w:p>
            <w:pPr>
              <w:spacing w:line="220" w:lineRule="atLeast"/>
              <w:jc w:val="center"/>
              <w:rPr>
                <w:rFonts w:asciiTheme="minorEastAsia" w:hAnsiTheme="minorEastAsia"/>
              </w:rPr>
            </w:pPr>
            <w:r>
              <w:rPr>
                <w:rFonts w:hint="eastAsia" w:asciiTheme="minorEastAsia" w:hAnsiTheme="minorEastAsia"/>
              </w:rPr>
              <w:t>29</w:t>
            </w:r>
          </w:p>
        </w:tc>
        <w:tc>
          <w:tcPr>
            <w:tcW w:w="1065" w:type="dxa"/>
          </w:tcPr>
          <w:p>
            <w:pPr>
              <w:spacing w:line="220" w:lineRule="atLeast"/>
              <w:jc w:val="center"/>
              <w:rPr>
                <w:rFonts w:asciiTheme="minorEastAsia" w:hAnsiTheme="minorEastAsia"/>
              </w:rPr>
            </w:pPr>
            <w:r>
              <w:rPr>
                <w:rFonts w:hint="eastAsia" w:asciiTheme="minorEastAsia" w:hAnsiTheme="minorEastAsia"/>
              </w:rPr>
              <w:t>8.92</w:t>
            </w:r>
          </w:p>
        </w:tc>
        <w:tc>
          <w:tcPr>
            <w:tcW w:w="1065" w:type="dxa"/>
          </w:tcPr>
          <w:p>
            <w:pPr>
              <w:spacing w:line="220" w:lineRule="atLeast"/>
              <w:jc w:val="center"/>
              <w:rPr>
                <w:rFonts w:asciiTheme="minorEastAsia" w:hAnsiTheme="minorEastAsia"/>
              </w:rPr>
            </w:pPr>
            <w:r>
              <w:rPr>
                <w:rFonts w:hint="eastAsia" w:asciiTheme="minorEastAsia" w:hAnsiTheme="minorEastAsia"/>
              </w:rPr>
              <w:t>76</w:t>
            </w:r>
          </w:p>
        </w:tc>
        <w:tc>
          <w:tcPr>
            <w:tcW w:w="1065" w:type="dxa"/>
          </w:tcPr>
          <w:p>
            <w:pPr>
              <w:spacing w:line="220" w:lineRule="atLeast"/>
              <w:jc w:val="center"/>
              <w:rPr>
                <w:rFonts w:asciiTheme="minorEastAsia" w:hAnsiTheme="minorEastAsia"/>
              </w:rPr>
            </w:pPr>
            <w:r>
              <w:rPr>
                <w:rFonts w:hint="eastAsia" w:asciiTheme="minorEastAsia" w:hAnsiTheme="minorEastAsia"/>
              </w:rPr>
              <w:t>7.57</w:t>
            </w:r>
          </w:p>
        </w:tc>
        <w:tc>
          <w:tcPr>
            <w:tcW w:w="1066" w:type="dxa"/>
          </w:tcPr>
          <w:p>
            <w:pPr>
              <w:spacing w:line="220" w:lineRule="atLeast"/>
              <w:jc w:val="center"/>
              <w:rPr>
                <w:rFonts w:asciiTheme="minorEastAsia" w:hAnsiTheme="minorEastAsia"/>
              </w:rPr>
            </w:pPr>
            <w:r>
              <w:rPr>
                <w:rFonts w:hint="eastAsia" w:asciiTheme="minorEastAsia" w:hAnsiTheme="minorEastAsia"/>
              </w:rPr>
              <w:t>28</w:t>
            </w:r>
          </w:p>
        </w:tc>
        <w:tc>
          <w:tcPr>
            <w:tcW w:w="1066" w:type="dxa"/>
          </w:tcPr>
          <w:p>
            <w:pPr>
              <w:spacing w:line="220" w:lineRule="atLeast"/>
              <w:jc w:val="center"/>
              <w:rPr>
                <w:rFonts w:asciiTheme="minorEastAsia" w:hAnsiTheme="minorEastAsia"/>
              </w:rPr>
            </w:pPr>
            <w:r>
              <w:rPr>
                <w:rFonts w:hint="eastAsia" w:asciiTheme="minorEastAsia" w:hAnsiTheme="minorEastAsia"/>
              </w:rPr>
              <w:t>58.33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heme="minorEastAsia" w:hAnsiTheme="minorEastAsia"/>
              </w:rPr>
            </w:pPr>
            <w:r>
              <w:rPr>
                <w:rFonts w:hint="eastAsia" w:asciiTheme="minorEastAsia" w:hAnsiTheme="minorEastAsia"/>
              </w:rPr>
              <w:t>18</w:t>
            </w:r>
          </w:p>
        </w:tc>
        <w:tc>
          <w:tcPr>
            <w:tcW w:w="1673" w:type="dxa"/>
          </w:tcPr>
          <w:p>
            <w:pPr>
              <w:spacing w:line="220" w:lineRule="atLeast"/>
              <w:jc w:val="center"/>
              <w:rPr>
                <w:rFonts w:asciiTheme="minorEastAsia" w:hAnsiTheme="minorEastAsia"/>
              </w:rPr>
            </w:pPr>
            <w:r>
              <w:rPr>
                <w:rFonts w:asciiTheme="minorEastAsia" w:hAnsiTheme="minorEastAsia"/>
              </w:rPr>
              <w:t>公安</w:t>
            </w:r>
          </w:p>
        </w:tc>
        <w:tc>
          <w:tcPr>
            <w:tcW w:w="1065" w:type="dxa"/>
          </w:tcPr>
          <w:p>
            <w:pPr>
              <w:spacing w:line="220" w:lineRule="atLeast"/>
              <w:jc w:val="center"/>
              <w:rPr>
                <w:rFonts w:asciiTheme="minorEastAsia" w:hAnsiTheme="minorEastAsia"/>
              </w:rPr>
            </w:pPr>
            <w:r>
              <w:rPr>
                <w:rFonts w:hint="eastAsia" w:asciiTheme="minorEastAsia" w:hAnsiTheme="minorEastAsia"/>
              </w:rPr>
              <w:t>11</w:t>
            </w:r>
          </w:p>
        </w:tc>
        <w:tc>
          <w:tcPr>
            <w:tcW w:w="1065" w:type="dxa"/>
          </w:tcPr>
          <w:p>
            <w:pPr>
              <w:spacing w:line="220" w:lineRule="atLeast"/>
              <w:jc w:val="center"/>
              <w:rPr>
                <w:rFonts w:asciiTheme="minorEastAsia" w:hAnsiTheme="minorEastAsia"/>
              </w:rPr>
            </w:pPr>
            <w:r>
              <w:rPr>
                <w:rFonts w:hint="eastAsia" w:asciiTheme="minorEastAsia" w:hAnsiTheme="minorEastAsia"/>
              </w:rPr>
              <w:t>3.38</w:t>
            </w:r>
          </w:p>
        </w:tc>
        <w:tc>
          <w:tcPr>
            <w:tcW w:w="1065" w:type="dxa"/>
          </w:tcPr>
          <w:p>
            <w:pPr>
              <w:spacing w:line="220" w:lineRule="atLeast"/>
              <w:jc w:val="center"/>
              <w:rPr>
                <w:rFonts w:asciiTheme="minorEastAsia" w:hAnsiTheme="minorEastAsia"/>
              </w:rPr>
            </w:pPr>
            <w:r>
              <w:rPr>
                <w:rFonts w:hint="eastAsia" w:asciiTheme="minorEastAsia" w:hAnsiTheme="minorEastAsia"/>
              </w:rPr>
              <w:t>12</w:t>
            </w:r>
          </w:p>
        </w:tc>
        <w:tc>
          <w:tcPr>
            <w:tcW w:w="1065" w:type="dxa"/>
          </w:tcPr>
          <w:p>
            <w:pPr>
              <w:spacing w:line="220" w:lineRule="atLeast"/>
              <w:jc w:val="center"/>
              <w:rPr>
                <w:rFonts w:asciiTheme="minorEastAsia" w:hAnsiTheme="minorEastAsia"/>
              </w:rPr>
            </w:pPr>
            <w:r>
              <w:rPr>
                <w:rFonts w:hint="eastAsia" w:asciiTheme="minorEastAsia" w:hAnsiTheme="minorEastAsia"/>
              </w:rPr>
              <w:t>1.20</w:t>
            </w:r>
          </w:p>
        </w:tc>
        <w:tc>
          <w:tcPr>
            <w:tcW w:w="1066" w:type="dxa"/>
          </w:tcPr>
          <w:p>
            <w:pPr>
              <w:spacing w:line="220" w:lineRule="atLeast"/>
              <w:jc w:val="center"/>
              <w:rPr>
                <w:rFonts w:asciiTheme="minorEastAsia" w:hAnsiTheme="minorEastAsia"/>
              </w:rPr>
            </w:pPr>
            <w:r>
              <w:rPr>
                <w:rFonts w:hint="eastAsia" w:asciiTheme="minorEastAsia" w:hAnsiTheme="minorEastAsia"/>
              </w:rPr>
              <w:t>1</w:t>
            </w:r>
          </w:p>
        </w:tc>
        <w:tc>
          <w:tcPr>
            <w:tcW w:w="1066" w:type="dxa"/>
          </w:tcPr>
          <w:p>
            <w:pPr>
              <w:spacing w:line="220" w:lineRule="atLeast"/>
              <w:jc w:val="center"/>
              <w:rPr>
                <w:rFonts w:asciiTheme="minorEastAsia" w:hAnsiTheme="minorEastAsia"/>
              </w:rPr>
            </w:pPr>
            <w:r>
              <w:rPr>
                <w:rFonts w:hint="eastAsia" w:asciiTheme="minorEastAsia" w:hAnsiTheme="minorEastAsia"/>
              </w:rPr>
              <w:t>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7" w:type="dxa"/>
          </w:tcPr>
          <w:p>
            <w:pPr>
              <w:spacing w:line="220" w:lineRule="atLeast"/>
              <w:jc w:val="center"/>
              <w:rPr>
                <w:rFonts w:asciiTheme="minorEastAsia" w:hAnsiTheme="minorEastAsia"/>
              </w:rPr>
            </w:pPr>
            <w:r>
              <w:rPr>
                <w:rFonts w:hint="eastAsia" w:asciiTheme="minorEastAsia" w:hAnsiTheme="minorEastAsia"/>
              </w:rPr>
              <w:t>19</w:t>
            </w:r>
          </w:p>
        </w:tc>
        <w:tc>
          <w:tcPr>
            <w:tcW w:w="1673" w:type="dxa"/>
          </w:tcPr>
          <w:p>
            <w:pPr>
              <w:spacing w:line="220" w:lineRule="atLeast"/>
              <w:jc w:val="center"/>
              <w:rPr>
                <w:rFonts w:asciiTheme="minorEastAsia" w:hAnsiTheme="minorEastAsia"/>
              </w:rPr>
            </w:pPr>
            <w:r>
              <w:rPr>
                <w:rFonts w:asciiTheme="minorEastAsia" w:hAnsiTheme="minorEastAsia"/>
              </w:rPr>
              <w:t>法律</w:t>
            </w:r>
          </w:p>
        </w:tc>
        <w:tc>
          <w:tcPr>
            <w:tcW w:w="1065" w:type="dxa"/>
          </w:tcPr>
          <w:p>
            <w:pPr>
              <w:spacing w:line="220" w:lineRule="atLeast"/>
              <w:jc w:val="center"/>
              <w:rPr>
                <w:rFonts w:asciiTheme="minorEastAsia" w:hAnsiTheme="minorEastAsia"/>
              </w:rPr>
            </w:pPr>
            <w:r>
              <w:rPr>
                <w:rFonts w:hint="eastAsia" w:asciiTheme="minorEastAsia" w:hAnsiTheme="minorEastAsia"/>
              </w:rPr>
              <w:t>5</w:t>
            </w:r>
          </w:p>
        </w:tc>
        <w:tc>
          <w:tcPr>
            <w:tcW w:w="1065" w:type="dxa"/>
          </w:tcPr>
          <w:p>
            <w:pPr>
              <w:spacing w:line="220" w:lineRule="atLeast"/>
              <w:jc w:val="center"/>
              <w:rPr>
                <w:rFonts w:asciiTheme="minorEastAsia" w:hAnsiTheme="minorEastAsia"/>
              </w:rPr>
            </w:pPr>
            <w:r>
              <w:rPr>
                <w:rFonts w:hint="eastAsia" w:asciiTheme="minorEastAsia" w:hAnsiTheme="minorEastAsia"/>
              </w:rPr>
              <w:t>1.54</w:t>
            </w:r>
          </w:p>
        </w:tc>
        <w:tc>
          <w:tcPr>
            <w:tcW w:w="1065" w:type="dxa"/>
          </w:tcPr>
          <w:p>
            <w:pPr>
              <w:spacing w:line="220" w:lineRule="atLeast"/>
              <w:jc w:val="center"/>
              <w:rPr>
                <w:rFonts w:asciiTheme="minorEastAsia" w:hAnsiTheme="minorEastAsia"/>
              </w:rPr>
            </w:pPr>
            <w:r>
              <w:rPr>
                <w:rFonts w:hint="eastAsia" w:asciiTheme="minorEastAsia" w:hAnsiTheme="minorEastAsia"/>
              </w:rPr>
              <w:t>7</w:t>
            </w:r>
          </w:p>
        </w:tc>
        <w:tc>
          <w:tcPr>
            <w:tcW w:w="1065" w:type="dxa"/>
          </w:tcPr>
          <w:p>
            <w:pPr>
              <w:spacing w:line="220" w:lineRule="atLeast"/>
              <w:jc w:val="center"/>
              <w:rPr>
                <w:rFonts w:asciiTheme="minorEastAsia" w:hAnsiTheme="minorEastAsia"/>
              </w:rPr>
            </w:pPr>
            <w:r>
              <w:rPr>
                <w:rFonts w:hint="eastAsia" w:asciiTheme="minorEastAsia" w:hAnsiTheme="minorEastAsia"/>
              </w:rPr>
              <w:t>0.70</w:t>
            </w:r>
          </w:p>
        </w:tc>
        <w:tc>
          <w:tcPr>
            <w:tcW w:w="1066" w:type="dxa"/>
          </w:tcPr>
          <w:p>
            <w:pPr>
              <w:spacing w:line="220" w:lineRule="atLeast"/>
              <w:jc w:val="center"/>
              <w:rPr>
                <w:rFonts w:asciiTheme="minorEastAsia" w:hAnsiTheme="minorEastAsia"/>
              </w:rPr>
            </w:pPr>
            <w:r>
              <w:rPr>
                <w:rFonts w:hint="eastAsia" w:asciiTheme="minorEastAsia" w:hAnsiTheme="minorEastAsia"/>
              </w:rPr>
              <w:t>5</w:t>
            </w:r>
          </w:p>
        </w:tc>
        <w:tc>
          <w:tcPr>
            <w:tcW w:w="1066" w:type="dxa"/>
          </w:tcPr>
          <w:p>
            <w:pPr>
              <w:spacing w:line="220" w:lineRule="atLeast"/>
              <w:jc w:val="center"/>
              <w:rPr>
                <w:rFonts w:asciiTheme="minorEastAsia" w:hAnsiTheme="minorEastAsia"/>
              </w:rPr>
            </w:pPr>
            <w:r>
              <w:rPr>
                <w:rFonts w:hint="eastAsia" w:asciiTheme="minorEastAsia" w:hAnsiTheme="minorEastAsia"/>
              </w:rPr>
              <w:t>10.42</w:t>
            </w:r>
          </w:p>
        </w:tc>
      </w:tr>
    </w:tbl>
    <w:p>
      <w:pPr>
        <w:spacing w:line="360" w:lineRule="auto"/>
        <w:ind w:firstLine="1680" w:firstLineChars="700"/>
        <w:rPr>
          <w:sz w:val="24"/>
        </w:rPr>
      </w:pPr>
    </w:p>
    <w:p>
      <w:pPr>
        <w:spacing w:line="360" w:lineRule="auto"/>
        <w:ind w:firstLine="2400" w:firstLineChars="1000"/>
        <w:rPr>
          <w:sz w:val="24"/>
        </w:rPr>
      </w:pPr>
      <w:r>
        <w:rPr>
          <w:rFonts w:hint="eastAsia"/>
          <w:sz w:val="24"/>
        </w:rPr>
        <w:t>表2.2山西省高职专业院校分布情况</w:t>
      </w:r>
    </w:p>
    <w:tbl>
      <w:tblPr>
        <w:tblStyle w:val="18"/>
        <w:tblpPr w:leftFromText="180" w:rightFromText="180" w:vertAnchor="text" w:horzAnchor="page" w:tblpXSpec="center" w:tblpY="505"/>
        <w:tblOverlap w:val="never"/>
        <w:tblW w:w="77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3196"/>
        <w:gridCol w:w="992"/>
        <w:gridCol w:w="993"/>
        <w:gridCol w:w="99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b/>
              </w:rPr>
            </w:pPr>
            <w:r>
              <w:rPr>
                <w:rFonts w:asciiTheme="minorEastAsia" w:hAnsiTheme="minorEastAsia"/>
                <w:b/>
              </w:rPr>
              <w:t>序号</w:t>
            </w:r>
          </w:p>
        </w:tc>
        <w:tc>
          <w:tcPr>
            <w:tcW w:w="3196" w:type="dxa"/>
          </w:tcPr>
          <w:p>
            <w:pPr>
              <w:spacing w:line="220" w:lineRule="atLeast"/>
              <w:jc w:val="center"/>
              <w:rPr>
                <w:rFonts w:asciiTheme="minorEastAsia" w:hAnsiTheme="minorEastAsia"/>
                <w:b/>
              </w:rPr>
            </w:pPr>
            <w:r>
              <w:rPr>
                <w:rFonts w:asciiTheme="minorEastAsia" w:hAnsiTheme="minorEastAsia"/>
                <w:b/>
              </w:rPr>
              <w:t>学校名称</w:t>
            </w:r>
          </w:p>
        </w:tc>
        <w:tc>
          <w:tcPr>
            <w:tcW w:w="992" w:type="dxa"/>
          </w:tcPr>
          <w:p>
            <w:pPr>
              <w:spacing w:line="220" w:lineRule="atLeast"/>
              <w:jc w:val="center"/>
              <w:rPr>
                <w:rFonts w:asciiTheme="minorEastAsia" w:hAnsiTheme="minorEastAsia"/>
                <w:b/>
              </w:rPr>
            </w:pPr>
            <w:r>
              <w:rPr>
                <w:rFonts w:asciiTheme="minorEastAsia" w:hAnsiTheme="minorEastAsia"/>
                <w:b/>
              </w:rPr>
              <w:t>专业</w:t>
            </w:r>
          </w:p>
          <w:p>
            <w:pPr>
              <w:spacing w:line="220" w:lineRule="atLeast"/>
              <w:jc w:val="center"/>
              <w:rPr>
                <w:rFonts w:asciiTheme="minorEastAsia" w:hAnsiTheme="minorEastAsia"/>
                <w:b/>
              </w:rPr>
            </w:pPr>
            <w:r>
              <w:rPr>
                <w:rFonts w:asciiTheme="minorEastAsia" w:hAnsiTheme="minorEastAsia"/>
                <w:b/>
              </w:rPr>
              <w:t>点数</w:t>
            </w:r>
          </w:p>
        </w:tc>
        <w:tc>
          <w:tcPr>
            <w:tcW w:w="993" w:type="dxa"/>
          </w:tcPr>
          <w:p>
            <w:pPr>
              <w:spacing w:line="220" w:lineRule="atLeast"/>
              <w:jc w:val="center"/>
              <w:rPr>
                <w:rFonts w:asciiTheme="minorEastAsia" w:hAnsiTheme="minorEastAsia"/>
                <w:b/>
              </w:rPr>
            </w:pPr>
            <w:r>
              <w:rPr>
                <w:rFonts w:asciiTheme="minorEastAsia" w:hAnsiTheme="minorEastAsia"/>
                <w:b/>
              </w:rPr>
              <w:t>比例</w:t>
            </w:r>
            <w:r>
              <w:rPr>
                <w:rFonts w:hint="eastAsia" w:asciiTheme="minorEastAsia" w:hAnsiTheme="minorEastAsia"/>
                <w:b/>
              </w:rPr>
              <w:t>（%）</w:t>
            </w:r>
          </w:p>
        </w:tc>
        <w:tc>
          <w:tcPr>
            <w:tcW w:w="992" w:type="dxa"/>
          </w:tcPr>
          <w:p>
            <w:pPr>
              <w:spacing w:line="220" w:lineRule="atLeast"/>
              <w:jc w:val="center"/>
              <w:rPr>
                <w:rFonts w:asciiTheme="minorEastAsia" w:hAnsiTheme="minorEastAsia"/>
                <w:b/>
              </w:rPr>
            </w:pPr>
            <w:r>
              <w:rPr>
                <w:rFonts w:asciiTheme="minorEastAsia" w:hAnsiTheme="minorEastAsia"/>
                <w:b/>
              </w:rPr>
              <w:t>专业数</w:t>
            </w:r>
          </w:p>
        </w:tc>
        <w:tc>
          <w:tcPr>
            <w:tcW w:w="1134" w:type="dxa"/>
          </w:tcPr>
          <w:p>
            <w:pPr>
              <w:spacing w:line="220" w:lineRule="atLeast"/>
              <w:jc w:val="center"/>
              <w:rPr>
                <w:rFonts w:asciiTheme="minorEastAsia" w:hAnsiTheme="minorEastAsia"/>
                <w:b/>
              </w:rPr>
            </w:pPr>
            <w:r>
              <w:rPr>
                <w:rFonts w:asciiTheme="minorEastAsia" w:hAnsiTheme="minorEastAsia"/>
                <w:b/>
              </w:rPr>
              <w:t>比例</w:t>
            </w:r>
            <w:r>
              <w:rPr>
                <w:rFonts w:hint="eastAsia" w:asciiTheme="minorEastAsia" w:hAnsiTheme="minor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1</w:t>
            </w:r>
          </w:p>
        </w:tc>
        <w:tc>
          <w:tcPr>
            <w:tcW w:w="3196" w:type="dxa"/>
          </w:tcPr>
          <w:p>
            <w:pPr>
              <w:spacing w:line="220" w:lineRule="atLeast"/>
              <w:jc w:val="center"/>
              <w:rPr>
                <w:rFonts w:asciiTheme="minorEastAsia" w:hAnsiTheme="minorEastAsia"/>
              </w:rPr>
            </w:pPr>
            <w:r>
              <w:rPr>
                <w:rFonts w:asciiTheme="minorEastAsia" w:hAnsiTheme="minorEastAsia"/>
              </w:rPr>
              <w:t>晋中职业技术学院</w:t>
            </w:r>
          </w:p>
        </w:tc>
        <w:tc>
          <w:tcPr>
            <w:tcW w:w="992" w:type="dxa"/>
          </w:tcPr>
          <w:p>
            <w:pPr>
              <w:spacing w:line="220" w:lineRule="atLeast"/>
              <w:jc w:val="center"/>
              <w:rPr>
                <w:rFonts w:asciiTheme="minorEastAsia" w:hAnsiTheme="minorEastAsia"/>
              </w:rPr>
            </w:pPr>
            <w:r>
              <w:rPr>
                <w:rFonts w:hint="eastAsia" w:asciiTheme="minorEastAsia" w:hAnsiTheme="minorEastAsia"/>
              </w:rPr>
              <w:t>42</w:t>
            </w:r>
          </w:p>
        </w:tc>
        <w:tc>
          <w:tcPr>
            <w:tcW w:w="993" w:type="dxa"/>
          </w:tcPr>
          <w:p>
            <w:pPr>
              <w:spacing w:line="220" w:lineRule="atLeast"/>
              <w:jc w:val="center"/>
              <w:rPr>
                <w:rFonts w:asciiTheme="minorEastAsia" w:hAnsiTheme="minorEastAsia"/>
              </w:rPr>
            </w:pPr>
            <w:r>
              <w:rPr>
                <w:rFonts w:hint="eastAsia" w:asciiTheme="minorEastAsia" w:hAnsiTheme="minorEastAsia"/>
              </w:rPr>
              <w:t>4.18</w:t>
            </w:r>
          </w:p>
        </w:tc>
        <w:tc>
          <w:tcPr>
            <w:tcW w:w="992" w:type="dxa"/>
          </w:tcPr>
          <w:p>
            <w:pPr>
              <w:spacing w:line="220" w:lineRule="atLeast"/>
              <w:jc w:val="center"/>
              <w:rPr>
                <w:rFonts w:asciiTheme="minorEastAsia" w:hAnsiTheme="minorEastAsia"/>
              </w:rPr>
            </w:pPr>
            <w:r>
              <w:rPr>
                <w:rFonts w:hint="eastAsia" w:asciiTheme="minorEastAsia" w:hAnsiTheme="minorEastAsia"/>
              </w:rPr>
              <w:t>42</w:t>
            </w:r>
          </w:p>
        </w:tc>
        <w:tc>
          <w:tcPr>
            <w:tcW w:w="1134" w:type="dxa"/>
          </w:tcPr>
          <w:p>
            <w:pPr>
              <w:spacing w:line="220" w:lineRule="atLeast"/>
              <w:jc w:val="center"/>
              <w:rPr>
                <w:rFonts w:asciiTheme="minorEastAsia" w:hAnsiTheme="minorEastAsia"/>
              </w:rPr>
            </w:pPr>
            <w:r>
              <w:rPr>
                <w:rFonts w:hint="eastAsia" w:asciiTheme="minorEastAsia" w:hAnsiTheme="minorEastAsia"/>
              </w:rPr>
              <w:t>12.92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2</w:t>
            </w:r>
          </w:p>
        </w:tc>
        <w:tc>
          <w:tcPr>
            <w:tcW w:w="3196" w:type="dxa"/>
          </w:tcPr>
          <w:p>
            <w:pPr>
              <w:spacing w:line="220" w:lineRule="atLeast"/>
              <w:jc w:val="center"/>
              <w:rPr>
                <w:rFonts w:asciiTheme="minorEastAsia" w:hAnsiTheme="minorEastAsia"/>
              </w:rPr>
            </w:pPr>
            <w:r>
              <w:rPr>
                <w:rFonts w:asciiTheme="minorEastAsia" w:hAnsiTheme="minorEastAsia"/>
              </w:rPr>
              <w:t>山西职业技术</w:t>
            </w:r>
            <w:r>
              <w:rPr>
                <w:rFonts w:hint="eastAsia" w:asciiTheme="minorEastAsia" w:hAnsiTheme="minorEastAsia"/>
              </w:rPr>
              <w:t>学院</w:t>
            </w:r>
          </w:p>
        </w:tc>
        <w:tc>
          <w:tcPr>
            <w:tcW w:w="992" w:type="dxa"/>
          </w:tcPr>
          <w:p>
            <w:pPr>
              <w:spacing w:line="220" w:lineRule="atLeast"/>
              <w:jc w:val="center"/>
              <w:rPr>
                <w:rFonts w:asciiTheme="minorEastAsia" w:hAnsiTheme="minorEastAsia"/>
              </w:rPr>
            </w:pPr>
            <w:r>
              <w:rPr>
                <w:rFonts w:hint="eastAsia" w:asciiTheme="minorEastAsia" w:hAnsiTheme="minorEastAsia"/>
              </w:rPr>
              <w:t>39</w:t>
            </w:r>
          </w:p>
        </w:tc>
        <w:tc>
          <w:tcPr>
            <w:tcW w:w="993" w:type="dxa"/>
          </w:tcPr>
          <w:p>
            <w:pPr>
              <w:spacing w:line="220" w:lineRule="atLeast"/>
              <w:jc w:val="center"/>
              <w:rPr>
                <w:rFonts w:asciiTheme="minorEastAsia" w:hAnsiTheme="minorEastAsia"/>
              </w:rPr>
            </w:pPr>
            <w:r>
              <w:rPr>
                <w:rFonts w:hint="eastAsia" w:asciiTheme="minorEastAsia" w:hAnsiTheme="minorEastAsia"/>
              </w:rPr>
              <w:t>3.88</w:t>
            </w:r>
          </w:p>
        </w:tc>
        <w:tc>
          <w:tcPr>
            <w:tcW w:w="992" w:type="dxa"/>
          </w:tcPr>
          <w:p>
            <w:pPr>
              <w:spacing w:line="220" w:lineRule="atLeast"/>
              <w:jc w:val="center"/>
              <w:rPr>
                <w:rFonts w:asciiTheme="minorEastAsia" w:hAnsiTheme="minorEastAsia"/>
              </w:rPr>
            </w:pPr>
            <w:r>
              <w:rPr>
                <w:rFonts w:hint="eastAsia" w:asciiTheme="minorEastAsia" w:hAnsiTheme="minorEastAsia"/>
              </w:rPr>
              <w:t>34</w:t>
            </w:r>
          </w:p>
        </w:tc>
        <w:tc>
          <w:tcPr>
            <w:tcW w:w="1134" w:type="dxa"/>
          </w:tcPr>
          <w:p>
            <w:pPr>
              <w:spacing w:line="220" w:lineRule="atLeast"/>
              <w:jc w:val="center"/>
              <w:rPr>
                <w:rFonts w:asciiTheme="minorEastAsia" w:hAnsiTheme="minorEastAsia"/>
              </w:rPr>
            </w:pPr>
            <w:r>
              <w:rPr>
                <w:rFonts w:hint="eastAsia" w:asciiTheme="minorEastAsia" w:hAnsiTheme="minorEastAsia"/>
              </w:rPr>
              <w:t>10.46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3</w:t>
            </w:r>
          </w:p>
        </w:tc>
        <w:tc>
          <w:tcPr>
            <w:tcW w:w="3196" w:type="dxa"/>
          </w:tcPr>
          <w:p>
            <w:pPr>
              <w:spacing w:line="220" w:lineRule="atLeast"/>
              <w:jc w:val="center"/>
              <w:rPr>
                <w:rFonts w:asciiTheme="minorEastAsia" w:hAnsiTheme="minorEastAsia"/>
              </w:rPr>
            </w:pPr>
            <w:r>
              <w:rPr>
                <w:rFonts w:asciiTheme="minorEastAsia" w:hAnsiTheme="minorEastAsia"/>
              </w:rPr>
              <w:t>运城职业技术学院</w:t>
            </w:r>
          </w:p>
        </w:tc>
        <w:tc>
          <w:tcPr>
            <w:tcW w:w="992" w:type="dxa"/>
          </w:tcPr>
          <w:p>
            <w:pPr>
              <w:spacing w:line="220" w:lineRule="atLeast"/>
              <w:jc w:val="center"/>
              <w:rPr>
                <w:rFonts w:asciiTheme="minorEastAsia" w:hAnsiTheme="minorEastAsia"/>
              </w:rPr>
            </w:pPr>
            <w:r>
              <w:rPr>
                <w:rFonts w:hint="eastAsia" w:asciiTheme="minorEastAsia" w:hAnsiTheme="minorEastAsia"/>
              </w:rPr>
              <w:t>37</w:t>
            </w:r>
          </w:p>
        </w:tc>
        <w:tc>
          <w:tcPr>
            <w:tcW w:w="993" w:type="dxa"/>
          </w:tcPr>
          <w:p>
            <w:pPr>
              <w:spacing w:line="220" w:lineRule="atLeast"/>
              <w:jc w:val="center"/>
              <w:rPr>
                <w:rFonts w:asciiTheme="minorEastAsia" w:hAnsiTheme="minorEastAsia"/>
              </w:rPr>
            </w:pPr>
            <w:r>
              <w:rPr>
                <w:rFonts w:hint="eastAsia" w:asciiTheme="minorEastAsia" w:hAnsiTheme="minorEastAsia"/>
              </w:rPr>
              <w:t>3.69</w:t>
            </w:r>
          </w:p>
        </w:tc>
        <w:tc>
          <w:tcPr>
            <w:tcW w:w="992" w:type="dxa"/>
          </w:tcPr>
          <w:p>
            <w:pPr>
              <w:spacing w:line="220" w:lineRule="atLeast"/>
              <w:jc w:val="center"/>
              <w:rPr>
                <w:rFonts w:asciiTheme="minorEastAsia" w:hAnsiTheme="minorEastAsia"/>
              </w:rPr>
            </w:pPr>
            <w:r>
              <w:rPr>
                <w:rFonts w:hint="eastAsia" w:asciiTheme="minorEastAsia" w:hAnsiTheme="minorEastAsia"/>
              </w:rPr>
              <w:t>36</w:t>
            </w:r>
          </w:p>
        </w:tc>
        <w:tc>
          <w:tcPr>
            <w:tcW w:w="1134" w:type="dxa"/>
          </w:tcPr>
          <w:p>
            <w:pPr>
              <w:spacing w:line="220" w:lineRule="atLeast"/>
              <w:jc w:val="center"/>
              <w:rPr>
                <w:rFonts w:asciiTheme="minorEastAsia" w:hAnsiTheme="minorEastAsia"/>
              </w:rPr>
            </w:pPr>
            <w:r>
              <w:rPr>
                <w:rFonts w:hint="eastAsia" w:asciiTheme="minorEastAsia" w:hAnsiTheme="minorEastAsia"/>
              </w:rPr>
              <w:t>11.08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4</w:t>
            </w:r>
          </w:p>
        </w:tc>
        <w:tc>
          <w:tcPr>
            <w:tcW w:w="3196" w:type="dxa"/>
          </w:tcPr>
          <w:p>
            <w:pPr>
              <w:spacing w:line="220" w:lineRule="atLeast"/>
              <w:jc w:val="center"/>
              <w:rPr>
                <w:rFonts w:asciiTheme="minorEastAsia" w:hAnsiTheme="minorEastAsia"/>
              </w:rPr>
            </w:pPr>
            <w:r>
              <w:rPr>
                <w:rFonts w:asciiTheme="minorEastAsia" w:hAnsiTheme="minorEastAsia"/>
              </w:rPr>
              <w:t>晋城职业技术学院</w:t>
            </w:r>
          </w:p>
        </w:tc>
        <w:tc>
          <w:tcPr>
            <w:tcW w:w="992" w:type="dxa"/>
          </w:tcPr>
          <w:p>
            <w:pPr>
              <w:spacing w:line="220" w:lineRule="atLeast"/>
              <w:jc w:val="center"/>
              <w:rPr>
                <w:rFonts w:asciiTheme="minorEastAsia" w:hAnsiTheme="minorEastAsia"/>
              </w:rPr>
            </w:pPr>
            <w:r>
              <w:rPr>
                <w:rFonts w:hint="eastAsia" w:asciiTheme="minorEastAsia" w:hAnsiTheme="minorEastAsia"/>
              </w:rPr>
              <w:t>37</w:t>
            </w:r>
          </w:p>
        </w:tc>
        <w:tc>
          <w:tcPr>
            <w:tcW w:w="993" w:type="dxa"/>
          </w:tcPr>
          <w:p>
            <w:pPr>
              <w:spacing w:line="220" w:lineRule="atLeast"/>
              <w:jc w:val="center"/>
              <w:rPr>
                <w:rFonts w:asciiTheme="minorEastAsia" w:hAnsiTheme="minorEastAsia"/>
              </w:rPr>
            </w:pPr>
            <w:r>
              <w:rPr>
                <w:rFonts w:hint="eastAsia" w:asciiTheme="minorEastAsia" w:hAnsiTheme="minorEastAsia"/>
              </w:rPr>
              <w:t>3.69</w:t>
            </w:r>
          </w:p>
        </w:tc>
        <w:tc>
          <w:tcPr>
            <w:tcW w:w="992" w:type="dxa"/>
          </w:tcPr>
          <w:p>
            <w:pPr>
              <w:spacing w:line="220" w:lineRule="atLeast"/>
              <w:jc w:val="center"/>
              <w:rPr>
                <w:rFonts w:asciiTheme="minorEastAsia" w:hAnsiTheme="minorEastAsia"/>
              </w:rPr>
            </w:pPr>
            <w:r>
              <w:rPr>
                <w:rFonts w:hint="eastAsia" w:asciiTheme="minorEastAsia" w:hAnsiTheme="minorEastAsia"/>
              </w:rPr>
              <w:t>35</w:t>
            </w:r>
          </w:p>
        </w:tc>
        <w:tc>
          <w:tcPr>
            <w:tcW w:w="1134" w:type="dxa"/>
          </w:tcPr>
          <w:p>
            <w:pPr>
              <w:spacing w:line="220" w:lineRule="atLeast"/>
              <w:jc w:val="center"/>
              <w:rPr>
                <w:rFonts w:asciiTheme="minorEastAsia" w:hAnsiTheme="minorEastAsia"/>
              </w:rPr>
            </w:pPr>
            <w:r>
              <w:rPr>
                <w:rFonts w:hint="eastAsia" w:asciiTheme="minorEastAsia" w:hAnsiTheme="minorEastAsia"/>
              </w:rPr>
              <w:t>10.77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5</w:t>
            </w:r>
          </w:p>
        </w:tc>
        <w:tc>
          <w:tcPr>
            <w:tcW w:w="3196" w:type="dxa"/>
          </w:tcPr>
          <w:p>
            <w:pPr>
              <w:spacing w:line="220" w:lineRule="atLeast"/>
              <w:jc w:val="center"/>
              <w:rPr>
                <w:rFonts w:asciiTheme="minorEastAsia" w:hAnsiTheme="minorEastAsia"/>
              </w:rPr>
            </w:pPr>
            <w:r>
              <w:rPr>
                <w:rFonts w:asciiTheme="minorEastAsia" w:hAnsiTheme="minorEastAsia"/>
              </w:rPr>
              <w:t>山西建筑职业技术学院</w:t>
            </w:r>
          </w:p>
        </w:tc>
        <w:tc>
          <w:tcPr>
            <w:tcW w:w="992" w:type="dxa"/>
          </w:tcPr>
          <w:p>
            <w:pPr>
              <w:spacing w:line="220" w:lineRule="atLeast"/>
              <w:jc w:val="center"/>
              <w:rPr>
                <w:rFonts w:asciiTheme="minorEastAsia" w:hAnsiTheme="minorEastAsia"/>
              </w:rPr>
            </w:pPr>
            <w:r>
              <w:rPr>
                <w:rFonts w:hint="eastAsia" w:asciiTheme="minorEastAsia" w:hAnsiTheme="minorEastAsia"/>
              </w:rPr>
              <w:t>36</w:t>
            </w:r>
          </w:p>
        </w:tc>
        <w:tc>
          <w:tcPr>
            <w:tcW w:w="993" w:type="dxa"/>
          </w:tcPr>
          <w:p>
            <w:pPr>
              <w:spacing w:line="220" w:lineRule="atLeast"/>
              <w:jc w:val="center"/>
              <w:rPr>
                <w:rFonts w:asciiTheme="minorEastAsia" w:hAnsiTheme="minorEastAsia"/>
              </w:rPr>
            </w:pPr>
            <w:r>
              <w:rPr>
                <w:rFonts w:hint="eastAsia" w:asciiTheme="minorEastAsia" w:hAnsiTheme="minorEastAsia"/>
              </w:rPr>
              <w:t>3.59</w:t>
            </w:r>
          </w:p>
        </w:tc>
        <w:tc>
          <w:tcPr>
            <w:tcW w:w="992" w:type="dxa"/>
          </w:tcPr>
          <w:p>
            <w:pPr>
              <w:spacing w:line="220" w:lineRule="atLeast"/>
              <w:jc w:val="center"/>
              <w:rPr>
                <w:rFonts w:asciiTheme="minorEastAsia" w:hAnsiTheme="minorEastAsia"/>
              </w:rPr>
            </w:pPr>
            <w:r>
              <w:rPr>
                <w:rFonts w:hint="eastAsia" w:asciiTheme="minorEastAsia" w:hAnsiTheme="minorEastAsia"/>
              </w:rPr>
              <w:t>31</w:t>
            </w:r>
          </w:p>
        </w:tc>
        <w:tc>
          <w:tcPr>
            <w:tcW w:w="1134" w:type="dxa"/>
          </w:tcPr>
          <w:p>
            <w:pPr>
              <w:spacing w:line="220" w:lineRule="atLeast"/>
              <w:jc w:val="center"/>
              <w:rPr>
                <w:rFonts w:asciiTheme="minorEastAsia" w:hAnsiTheme="minorEastAsia"/>
              </w:rPr>
            </w:pPr>
            <w:r>
              <w:rPr>
                <w:rFonts w:hint="eastAsia" w:asciiTheme="minorEastAsia" w:hAnsiTheme="minorEastAsia"/>
              </w:rPr>
              <w:t>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6</w:t>
            </w:r>
          </w:p>
        </w:tc>
        <w:tc>
          <w:tcPr>
            <w:tcW w:w="3196" w:type="dxa"/>
          </w:tcPr>
          <w:p>
            <w:pPr>
              <w:spacing w:line="220" w:lineRule="atLeast"/>
              <w:jc w:val="center"/>
              <w:rPr>
                <w:rFonts w:asciiTheme="minorEastAsia" w:hAnsiTheme="minorEastAsia"/>
              </w:rPr>
            </w:pPr>
            <w:r>
              <w:rPr>
                <w:rFonts w:asciiTheme="minorEastAsia" w:hAnsiTheme="minorEastAsia"/>
              </w:rPr>
              <w:t>山西煤炭职业技术学院</w:t>
            </w:r>
          </w:p>
        </w:tc>
        <w:tc>
          <w:tcPr>
            <w:tcW w:w="992" w:type="dxa"/>
          </w:tcPr>
          <w:p>
            <w:pPr>
              <w:spacing w:line="220" w:lineRule="atLeast"/>
              <w:jc w:val="center"/>
              <w:rPr>
                <w:rFonts w:asciiTheme="minorEastAsia" w:hAnsiTheme="minorEastAsia"/>
              </w:rPr>
            </w:pPr>
            <w:r>
              <w:rPr>
                <w:rFonts w:hint="eastAsia" w:asciiTheme="minorEastAsia" w:hAnsiTheme="minorEastAsia"/>
              </w:rPr>
              <w:t>36</w:t>
            </w:r>
          </w:p>
        </w:tc>
        <w:tc>
          <w:tcPr>
            <w:tcW w:w="993" w:type="dxa"/>
          </w:tcPr>
          <w:p>
            <w:pPr>
              <w:spacing w:line="220" w:lineRule="atLeast"/>
              <w:jc w:val="center"/>
              <w:rPr>
                <w:rFonts w:asciiTheme="minorEastAsia" w:hAnsiTheme="minorEastAsia"/>
              </w:rPr>
            </w:pPr>
            <w:r>
              <w:rPr>
                <w:rFonts w:hint="eastAsia" w:asciiTheme="minorEastAsia" w:hAnsiTheme="minorEastAsia"/>
              </w:rPr>
              <w:t>3.59</w:t>
            </w:r>
          </w:p>
        </w:tc>
        <w:tc>
          <w:tcPr>
            <w:tcW w:w="992" w:type="dxa"/>
          </w:tcPr>
          <w:p>
            <w:pPr>
              <w:spacing w:line="220" w:lineRule="atLeast"/>
              <w:jc w:val="center"/>
              <w:rPr>
                <w:rFonts w:asciiTheme="minorEastAsia" w:hAnsiTheme="minorEastAsia"/>
              </w:rPr>
            </w:pPr>
            <w:r>
              <w:rPr>
                <w:rFonts w:hint="eastAsia" w:asciiTheme="minorEastAsia" w:hAnsiTheme="minorEastAsia"/>
              </w:rPr>
              <w:t>30</w:t>
            </w:r>
          </w:p>
        </w:tc>
        <w:tc>
          <w:tcPr>
            <w:tcW w:w="1134" w:type="dxa"/>
          </w:tcPr>
          <w:p>
            <w:pPr>
              <w:spacing w:line="220" w:lineRule="atLeast"/>
              <w:jc w:val="center"/>
              <w:rPr>
                <w:rFonts w:asciiTheme="minorEastAsia" w:hAnsiTheme="minorEastAsia"/>
              </w:rPr>
            </w:pPr>
            <w:r>
              <w:rPr>
                <w:rFonts w:hint="eastAsia" w:asciiTheme="minorEastAsia" w:hAnsiTheme="minorEastAsia"/>
              </w:rPr>
              <w:t>9.23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7</w:t>
            </w:r>
          </w:p>
        </w:tc>
        <w:tc>
          <w:tcPr>
            <w:tcW w:w="3196" w:type="dxa"/>
          </w:tcPr>
          <w:p>
            <w:pPr>
              <w:spacing w:line="220" w:lineRule="atLeast"/>
              <w:jc w:val="center"/>
              <w:rPr>
                <w:rFonts w:asciiTheme="minorEastAsia" w:hAnsiTheme="minorEastAsia"/>
              </w:rPr>
            </w:pPr>
            <w:r>
              <w:rPr>
                <w:rFonts w:asciiTheme="minorEastAsia" w:hAnsiTheme="minorEastAsia"/>
              </w:rPr>
              <w:t>长治职业技术学院</w:t>
            </w:r>
          </w:p>
        </w:tc>
        <w:tc>
          <w:tcPr>
            <w:tcW w:w="992" w:type="dxa"/>
          </w:tcPr>
          <w:p>
            <w:pPr>
              <w:spacing w:line="220" w:lineRule="atLeast"/>
              <w:jc w:val="center"/>
              <w:rPr>
                <w:rFonts w:asciiTheme="minorEastAsia" w:hAnsiTheme="minorEastAsia"/>
              </w:rPr>
            </w:pPr>
            <w:r>
              <w:rPr>
                <w:rFonts w:hint="eastAsia" w:asciiTheme="minorEastAsia" w:hAnsiTheme="minorEastAsia"/>
              </w:rPr>
              <w:t>30</w:t>
            </w:r>
          </w:p>
        </w:tc>
        <w:tc>
          <w:tcPr>
            <w:tcW w:w="993" w:type="dxa"/>
          </w:tcPr>
          <w:p>
            <w:pPr>
              <w:spacing w:line="220" w:lineRule="atLeast"/>
              <w:jc w:val="center"/>
              <w:rPr>
                <w:rFonts w:asciiTheme="minorEastAsia" w:hAnsiTheme="minorEastAsia"/>
              </w:rPr>
            </w:pPr>
            <w:r>
              <w:rPr>
                <w:rFonts w:hint="eastAsia" w:asciiTheme="minorEastAsia" w:hAnsiTheme="minorEastAsia"/>
              </w:rPr>
              <w:t>2.99</w:t>
            </w:r>
          </w:p>
        </w:tc>
        <w:tc>
          <w:tcPr>
            <w:tcW w:w="992" w:type="dxa"/>
          </w:tcPr>
          <w:p>
            <w:pPr>
              <w:spacing w:line="220" w:lineRule="atLeast"/>
              <w:jc w:val="center"/>
              <w:rPr>
                <w:rFonts w:asciiTheme="minorEastAsia" w:hAnsiTheme="minorEastAsia"/>
              </w:rPr>
            </w:pPr>
            <w:r>
              <w:rPr>
                <w:rFonts w:hint="eastAsia" w:asciiTheme="minorEastAsia" w:hAnsiTheme="minorEastAsia"/>
              </w:rPr>
              <w:t>28</w:t>
            </w:r>
          </w:p>
        </w:tc>
        <w:tc>
          <w:tcPr>
            <w:tcW w:w="1134" w:type="dxa"/>
          </w:tcPr>
          <w:p>
            <w:pPr>
              <w:spacing w:line="220" w:lineRule="atLeast"/>
              <w:jc w:val="center"/>
              <w:rPr>
                <w:rFonts w:asciiTheme="minorEastAsia" w:hAnsiTheme="minorEastAsia"/>
              </w:rPr>
            </w:pPr>
            <w:r>
              <w:rPr>
                <w:rFonts w:hint="eastAsia" w:asciiTheme="minorEastAsia" w:hAnsiTheme="minorEastAsia"/>
              </w:rPr>
              <w:t>8.62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8</w:t>
            </w:r>
          </w:p>
        </w:tc>
        <w:tc>
          <w:tcPr>
            <w:tcW w:w="3196" w:type="dxa"/>
          </w:tcPr>
          <w:p>
            <w:pPr>
              <w:spacing w:line="220" w:lineRule="atLeast"/>
              <w:jc w:val="center"/>
              <w:rPr>
                <w:rFonts w:asciiTheme="minorEastAsia" w:hAnsiTheme="minorEastAsia"/>
              </w:rPr>
            </w:pPr>
            <w:r>
              <w:rPr>
                <w:rFonts w:hint="eastAsia" w:asciiTheme="minorEastAsia" w:hAnsiTheme="minorEastAsia"/>
              </w:rPr>
              <w:t>山</w:t>
            </w:r>
            <w:r>
              <w:rPr>
                <w:rFonts w:asciiTheme="minorEastAsia" w:hAnsiTheme="minorEastAsia"/>
              </w:rPr>
              <w:t>西交通职业技术学院</w:t>
            </w:r>
          </w:p>
        </w:tc>
        <w:tc>
          <w:tcPr>
            <w:tcW w:w="992" w:type="dxa"/>
          </w:tcPr>
          <w:p>
            <w:pPr>
              <w:spacing w:line="220" w:lineRule="atLeast"/>
              <w:jc w:val="center"/>
              <w:rPr>
                <w:rFonts w:asciiTheme="minorEastAsia" w:hAnsiTheme="minorEastAsia"/>
              </w:rPr>
            </w:pPr>
            <w:r>
              <w:rPr>
                <w:rFonts w:hint="eastAsia" w:asciiTheme="minorEastAsia" w:hAnsiTheme="minorEastAsia"/>
              </w:rPr>
              <w:t>27</w:t>
            </w:r>
          </w:p>
        </w:tc>
        <w:tc>
          <w:tcPr>
            <w:tcW w:w="993" w:type="dxa"/>
          </w:tcPr>
          <w:p>
            <w:pPr>
              <w:spacing w:line="220" w:lineRule="atLeast"/>
              <w:jc w:val="center"/>
              <w:rPr>
                <w:rFonts w:asciiTheme="minorEastAsia" w:hAnsiTheme="minorEastAsia"/>
              </w:rPr>
            </w:pPr>
            <w:r>
              <w:rPr>
                <w:rFonts w:hint="eastAsia" w:asciiTheme="minorEastAsia" w:hAnsiTheme="minorEastAsia"/>
              </w:rPr>
              <w:t>2.69</w:t>
            </w:r>
          </w:p>
        </w:tc>
        <w:tc>
          <w:tcPr>
            <w:tcW w:w="992" w:type="dxa"/>
          </w:tcPr>
          <w:p>
            <w:pPr>
              <w:spacing w:line="220" w:lineRule="atLeast"/>
              <w:jc w:val="center"/>
              <w:rPr>
                <w:rFonts w:asciiTheme="minorEastAsia" w:hAnsiTheme="minorEastAsia"/>
              </w:rPr>
            </w:pPr>
            <w:r>
              <w:rPr>
                <w:rFonts w:hint="eastAsia" w:asciiTheme="minorEastAsia" w:hAnsiTheme="minorEastAsia"/>
              </w:rPr>
              <w:t>27</w:t>
            </w:r>
          </w:p>
        </w:tc>
        <w:tc>
          <w:tcPr>
            <w:tcW w:w="1134" w:type="dxa"/>
          </w:tcPr>
          <w:p>
            <w:pPr>
              <w:spacing w:line="220" w:lineRule="atLeast"/>
              <w:jc w:val="center"/>
              <w:rPr>
                <w:rFonts w:asciiTheme="minorEastAsia" w:hAnsiTheme="minorEastAsia"/>
              </w:rPr>
            </w:pPr>
            <w:r>
              <w:rPr>
                <w:rFonts w:hint="eastAsia" w:asciiTheme="minorEastAsia" w:hAnsiTheme="minorEastAsia"/>
              </w:rPr>
              <w:t>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9</w:t>
            </w:r>
          </w:p>
        </w:tc>
        <w:tc>
          <w:tcPr>
            <w:tcW w:w="3196" w:type="dxa"/>
          </w:tcPr>
          <w:p>
            <w:pPr>
              <w:spacing w:line="220" w:lineRule="atLeast"/>
              <w:jc w:val="center"/>
              <w:rPr>
                <w:rFonts w:asciiTheme="minorEastAsia" w:hAnsiTheme="minorEastAsia"/>
              </w:rPr>
            </w:pPr>
            <w:r>
              <w:rPr>
                <w:rFonts w:asciiTheme="minorEastAsia" w:hAnsiTheme="minorEastAsia"/>
              </w:rPr>
              <w:t>山西经贸职业学院</w:t>
            </w:r>
          </w:p>
        </w:tc>
        <w:tc>
          <w:tcPr>
            <w:tcW w:w="992" w:type="dxa"/>
          </w:tcPr>
          <w:p>
            <w:pPr>
              <w:spacing w:line="220" w:lineRule="atLeast"/>
              <w:jc w:val="center"/>
              <w:rPr>
                <w:rFonts w:asciiTheme="minorEastAsia" w:hAnsiTheme="minorEastAsia"/>
              </w:rPr>
            </w:pPr>
            <w:r>
              <w:rPr>
                <w:rFonts w:hint="eastAsia" w:asciiTheme="minorEastAsia" w:hAnsiTheme="minorEastAsia"/>
              </w:rPr>
              <w:t>27</w:t>
            </w:r>
          </w:p>
        </w:tc>
        <w:tc>
          <w:tcPr>
            <w:tcW w:w="993" w:type="dxa"/>
          </w:tcPr>
          <w:p>
            <w:pPr>
              <w:spacing w:line="220" w:lineRule="atLeast"/>
              <w:jc w:val="center"/>
              <w:rPr>
                <w:rFonts w:asciiTheme="minorEastAsia" w:hAnsiTheme="minorEastAsia"/>
              </w:rPr>
            </w:pPr>
            <w:r>
              <w:rPr>
                <w:rFonts w:hint="eastAsia" w:asciiTheme="minorEastAsia" w:hAnsiTheme="minorEastAsia"/>
              </w:rPr>
              <w:t>2.69</w:t>
            </w:r>
          </w:p>
        </w:tc>
        <w:tc>
          <w:tcPr>
            <w:tcW w:w="992" w:type="dxa"/>
          </w:tcPr>
          <w:p>
            <w:pPr>
              <w:spacing w:line="220" w:lineRule="atLeast"/>
              <w:jc w:val="center"/>
              <w:rPr>
                <w:rFonts w:asciiTheme="minorEastAsia" w:hAnsiTheme="minorEastAsia"/>
              </w:rPr>
            </w:pPr>
            <w:r>
              <w:rPr>
                <w:rFonts w:hint="eastAsia" w:asciiTheme="minorEastAsia" w:hAnsiTheme="minorEastAsia"/>
              </w:rPr>
              <w:t>27</w:t>
            </w:r>
          </w:p>
        </w:tc>
        <w:tc>
          <w:tcPr>
            <w:tcW w:w="1134" w:type="dxa"/>
          </w:tcPr>
          <w:p>
            <w:pPr>
              <w:spacing w:line="220" w:lineRule="atLeast"/>
              <w:jc w:val="center"/>
              <w:rPr>
                <w:rFonts w:asciiTheme="minorEastAsia" w:hAnsiTheme="minorEastAsia"/>
              </w:rPr>
            </w:pPr>
            <w:r>
              <w:rPr>
                <w:rFonts w:hint="eastAsia" w:asciiTheme="minorEastAsia" w:hAnsiTheme="minorEastAsia"/>
              </w:rPr>
              <w:t>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10</w:t>
            </w:r>
          </w:p>
        </w:tc>
        <w:tc>
          <w:tcPr>
            <w:tcW w:w="3196" w:type="dxa"/>
          </w:tcPr>
          <w:p>
            <w:pPr>
              <w:spacing w:line="220" w:lineRule="atLeast"/>
              <w:jc w:val="center"/>
              <w:rPr>
                <w:rFonts w:asciiTheme="minorEastAsia" w:hAnsiTheme="minorEastAsia"/>
              </w:rPr>
            </w:pPr>
            <w:r>
              <w:rPr>
                <w:rFonts w:asciiTheme="minorEastAsia" w:hAnsiTheme="minorEastAsia"/>
              </w:rPr>
              <w:t>山西机电职业技术学院</w:t>
            </w:r>
          </w:p>
        </w:tc>
        <w:tc>
          <w:tcPr>
            <w:tcW w:w="992" w:type="dxa"/>
          </w:tcPr>
          <w:p>
            <w:pPr>
              <w:spacing w:line="220" w:lineRule="atLeast"/>
              <w:jc w:val="center"/>
              <w:rPr>
                <w:rFonts w:asciiTheme="minorEastAsia" w:hAnsiTheme="minorEastAsia"/>
              </w:rPr>
            </w:pPr>
            <w:r>
              <w:rPr>
                <w:rFonts w:hint="eastAsia" w:asciiTheme="minorEastAsia" w:hAnsiTheme="minorEastAsia"/>
              </w:rPr>
              <w:t>26</w:t>
            </w:r>
          </w:p>
        </w:tc>
        <w:tc>
          <w:tcPr>
            <w:tcW w:w="993" w:type="dxa"/>
          </w:tcPr>
          <w:p>
            <w:pPr>
              <w:spacing w:line="220" w:lineRule="atLeast"/>
              <w:jc w:val="center"/>
              <w:rPr>
                <w:rFonts w:asciiTheme="minorEastAsia" w:hAnsiTheme="minorEastAsia"/>
              </w:rPr>
            </w:pPr>
            <w:r>
              <w:rPr>
                <w:rFonts w:hint="eastAsia" w:asciiTheme="minorEastAsia" w:hAnsiTheme="minorEastAsia"/>
              </w:rPr>
              <w:t>2.59</w:t>
            </w:r>
          </w:p>
        </w:tc>
        <w:tc>
          <w:tcPr>
            <w:tcW w:w="992" w:type="dxa"/>
          </w:tcPr>
          <w:p>
            <w:pPr>
              <w:spacing w:line="220" w:lineRule="atLeast"/>
              <w:jc w:val="center"/>
              <w:rPr>
                <w:rFonts w:asciiTheme="minorEastAsia" w:hAnsiTheme="minorEastAsia"/>
              </w:rPr>
            </w:pPr>
            <w:r>
              <w:rPr>
                <w:rFonts w:hint="eastAsia" w:asciiTheme="minorEastAsia" w:hAnsiTheme="minorEastAsia"/>
              </w:rPr>
              <w:t>26</w:t>
            </w:r>
          </w:p>
        </w:tc>
        <w:tc>
          <w:tcPr>
            <w:tcW w:w="1134" w:type="dxa"/>
          </w:tcPr>
          <w:p>
            <w:pPr>
              <w:spacing w:line="220" w:lineRule="atLeast"/>
              <w:jc w:val="center"/>
              <w:rPr>
                <w:rFonts w:asciiTheme="minorEastAsia" w:hAnsiTheme="minorEastAsia"/>
              </w:rPr>
            </w:pPr>
            <w:r>
              <w:rPr>
                <w:rFonts w:hint="eastAsia" w:asciiTheme="minorEastAsia" w:hAnsiTheme="minorEastAsia"/>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11</w:t>
            </w:r>
          </w:p>
        </w:tc>
        <w:tc>
          <w:tcPr>
            <w:tcW w:w="3196" w:type="dxa"/>
          </w:tcPr>
          <w:p>
            <w:pPr>
              <w:spacing w:line="220" w:lineRule="atLeast"/>
              <w:jc w:val="center"/>
              <w:rPr>
                <w:rFonts w:asciiTheme="minorEastAsia" w:hAnsiTheme="minorEastAsia"/>
              </w:rPr>
            </w:pPr>
            <w:r>
              <w:rPr>
                <w:rFonts w:asciiTheme="minorEastAsia" w:hAnsiTheme="minorEastAsia"/>
              </w:rPr>
              <w:t>山西旅游职业学院</w:t>
            </w:r>
          </w:p>
        </w:tc>
        <w:tc>
          <w:tcPr>
            <w:tcW w:w="992" w:type="dxa"/>
          </w:tcPr>
          <w:p>
            <w:pPr>
              <w:spacing w:line="220" w:lineRule="atLeast"/>
              <w:jc w:val="center"/>
              <w:rPr>
                <w:rFonts w:asciiTheme="minorEastAsia" w:hAnsiTheme="minorEastAsia"/>
              </w:rPr>
            </w:pPr>
            <w:r>
              <w:rPr>
                <w:rFonts w:hint="eastAsia" w:asciiTheme="minorEastAsia" w:hAnsiTheme="minorEastAsia"/>
              </w:rPr>
              <w:t>26</w:t>
            </w:r>
          </w:p>
        </w:tc>
        <w:tc>
          <w:tcPr>
            <w:tcW w:w="993" w:type="dxa"/>
          </w:tcPr>
          <w:p>
            <w:pPr>
              <w:spacing w:line="220" w:lineRule="atLeast"/>
              <w:jc w:val="center"/>
              <w:rPr>
                <w:rFonts w:asciiTheme="minorEastAsia" w:hAnsiTheme="minorEastAsia"/>
              </w:rPr>
            </w:pPr>
            <w:r>
              <w:rPr>
                <w:rFonts w:hint="eastAsia" w:asciiTheme="minorEastAsia" w:hAnsiTheme="minorEastAsia"/>
              </w:rPr>
              <w:t>2.59</w:t>
            </w:r>
          </w:p>
        </w:tc>
        <w:tc>
          <w:tcPr>
            <w:tcW w:w="992" w:type="dxa"/>
          </w:tcPr>
          <w:p>
            <w:pPr>
              <w:spacing w:line="220" w:lineRule="atLeast"/>
              <w:jc w:val="center"/>
              <w:rPr>
                <w:rFonts w:asciiTheme="minorEastAsia" w:hAnsiTheme="minorEastAsia"/>
              </w:rPr>
            </w:pPr>
            <w:r>
              <w:rPr>
                <w:rFonts w:hint="eastAsia" w:asciiTheme="minorEastAsia" w:hAnsiTheme="minorEastAsia"/>
              </w:rPr>
              <w:t>25</w:t>
            </w:r>
          </w:p>
        </w:tc>
        <w:tc>
          <w:tcPr>
            <w:tcW w:w="1134" w:type="dxa"/>
          </w:tcPr>
          <w:p>
            <w:pPr>
              <w:spacing w:line="220" w:lineRule="atLeast"/>
              <w:jc w:val="center"/>
              <w:rPr>
                <w:rFonts w:asciiTheme="minorEastAsia" w:hAnsiTheme="minorEastAsia"/>
              </w:rPr>
            </w:pPr>
            <w:r>
              <w:rPr>
                <w:rFonts w:hint="eastAsia" w:asciiTheme="minorEastAsia" w:hAnsiTheme="minorEastAsia"/>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12</w:t>
            </w:r>
          </w:p>
        </w:tc>
        <w:tc>
          <w:tcPr>
            <w:tcW w:w="3196" w:type="dxa"/>
          </w:tcPr>
          <w:p>
            <w:pPr>
              <w:spacing w:line="220" w:lineRule="atLeast"/>
              <w:jc w:val="center"/>
              <w:rPr>
                <w:rFonts w:asciiTheme="minorEastAsia" w:hAnsiTheme="minorEastAsia"/>
              </w:rPr>
            </w:pPr>
            <w:r>
              <w:rPr>
                <w:rFonts w:asciiTheme="minorEastAsia" w:hAnsiTheme="minorEastAsia"/>
              </w:rPr>
              <w:t>山西工程职业技术学院</w:t>
            </w:r>
          </w:p>
        </w:tc>
        <w:tc>
          <w:tcPr>
            <w:tcW w:w="992" w:type="dxa"/>
          </w:tcPr>
          <w:p>
            <w:pPr>
              <w:spacing w:line="220" w:lineRule="atLeast"/>
              <w:jc w:val="center"/>
              <w:rPr>
                <w:rFonts w:asciiTheme="minorEastAsia" w:hAnsiTheme="minorEastAsia"/>
              </w:rPr>
            </w:pPr>
            <w:r>
              <w:rPr>
                <w:rFonts w:hint="eastAsia" w:asciiTheme="minorEastAsia" w:hAnsiTheme="minorEastAsia"/>
              </w:rPr>
              <w:t>26</w:t>
            </w:r>
          </w:p>
        </w:tc>
        <w:tc>
          <w:tcPr>
            <w:tcW w:w="993" w:type="dxa"/>
          </w:tcPr>
          <w:p>
            <w:pPr>
              <w:spacing w:line="220" w:lineRule="atLeast"/>
              <w:jc w:val="center"/>
              <w:rPr>
                <w:rFonts w:asciiTheme="minorEastAsia" w:hAnsiTheme="minorEastAsia"/>
              </w:rPr>
            </w:pPr>
            <w:r>
              <w:rPr>
                <w:rFonts w:hint="eastAsia" w:asciiTheme="minorEastAsia" w:hAnsiTheme="minorEastAsia"/>
              </w:rPr>
              <w:t>2.59</w:t>
            </w:r>
          </w:p>
        </w:tc>
        <w:tc>
          <w:tcPr>
            <w:tcW w:w="992" w:type="dxa"/>
          </w:tcPr>
          <w:p>
            <w:pPr>
              <w:spacing w:line="220" w:lineRule="atLeast"/>
              <w:jc w:val="center"/>
              <w:rPr>
                <w:rFonts w:asciiTheme="minorEastAsia" w:hAnsiTheme="minorEastAsia"/>
              </w:rPr>
            </w:pPr>
            <w:r>
              <w:rPr>
                <w:rFonts w:hint="eastAsia" w:asciiTheme="minorEastAsia" w:hAnsiTheme="minorEastAsia"/>
              </w:rPr>
              <w:t>25</w:t>
            </w:r>
          </w:p>
        </w:tc>
        <w:tc>
          <w:tcPr>
            <w:tcW w:w="1134" w:type="dxa"/>
          </w:tcPr>
          <w:p>
            <w:pPr>
              <w:spacing w:line="220" w:lineRule="atLeast"/>
              <w:jc w:val="center"/>
              <w:rPr>
                <w:rFonts w:asciiTheme="minorEastAsia" w:hAnsiTheme="minorEastAsia"/>
              </w:rPr>
            </w:pPr>
            <w:r>
              <w:rPr>
                <w:rFonts w:hint="eastAsia" w:asciiTheme="minorEastAsia" w:hAnsiTheme="minorEastAsia"/>
              </w:rPr>
              <w:t>7.69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13</w:t>
            </w:r>
          </w:p>
        </w:tc>
        <w:tc>
          <w:tcPr>
            <w:tcW w:w="3196" w:type="dxa"/>
          </w:tcPr>
          <w:p>
            <w:pPr>
              <w:spacing w:line="220" w:lineRule="atLeast"/>
              <w:jc w:val="center"/>
              <w:rPr>
                <w:rFonts w:asciiTheme="minorEastAsia" w:hAnsiTheme="minorEastAsia"/>
              </w:rPr>
            </w:pPr>
            <w:r>
              <w:rPr>
                <w:rFonts w:asciiTheme="minorEastAsia" w:hAnsiTheme="minorEastAsia"/>
              </w:rPr>
              <w:t>山西水利职业技术学院</w:t>
            </w:r>
          </w:p>
        </w:tc>
        <w:tc>
          <w:tcPr>
            <w:tcW w:w="992" w:type="dxa"/>
          </w:tcPr>
          <w:p>
            <w:pPr>
              <w:spacing w:line="220" w:lineRule="atLeast"/>
              <w:jc w:val="center"/>
              <w:rPr>
                <w:rFonts w:asciiTheme="minorEastAsia" w:hAnsiTheme="minorEastAsia"/>
              </w:rPr>
            </w:pPr>
            <w:r>
              <w:rPr>
                <w:rFonts w:hint="eastAsia" w:asciiTheme="minorEastAsia" w:hAnsiTheme="minorEastAsia"/>
              </w:rPr>
              <w:t>25</w:t>
            </w:r>
          </w:p>
        </w:tc>
        <w:tc>
          <w:tcPr>
            <w:tcW w:w="993" w:type="dxa"/>
          </w:tcPr>
          <w:p>
            <w:pPr>
              <w:spacing w:line="220" w:lineRule="atLeast"/>
              <w:jc w:val="center"/>
              <w:rPr>
                <w:rFonts w:asciiTheme="minorEastAsia" w:hAnsiTheme="minorEastAsia"/>
              </w:rPr>
            </w:pPr>
            <w:r>
              <w:rPr>
                <w:rFonts w:hint="eastAsia" w:asciiTheme="minorEastAsia" w:hAnsiTheme="minorEastAsia"/>
              </w:rPr>
              <w:t>2.49</w:t>
            </w:r>
          </w:p>
        </w:tc>
        <w:tc>
          <w:tcPr>
            <w:tcW w:w="992" w:type="dxa"/>
          </w:tcPr>
          <w:p>
            <w:pPr>
              <w:spacing w:line="220" w:lineRule="atLeast"/>
              <w:jc w:val="center"/>
              <w:rPr>
                <w:rFonts w:asciiTheme="minorEastAsia" w:hAnsiTheme="minorEastAsia"/>
              </w:rPr>
            </w:pPr>
            <w:r>
              <w:rPr>
                <w:rFonts w:hint="eastAsia" w:asciiTheme="minorEastAsia" w:hAnsiTheme="minorEastAsia"/>
              </w:rPr>
              <w:t>25</w:t>
            </w:r>
          </w:p>
        </w:tc>
        <w:tc>
          <w:tcPr>
            <w:tcW w:w="1134" w:type="dxa"/>
          </w:tcPr>
          <w:p>
            <w:pPr>
              <w:spacing w:line="220" w:lineRule="atLeast"/>
              <w:jc w:val="center"/>
              <w:rPr>
                <w:rFonts w:asciiTheme="minorEastAsia" w:hAnsiTheme="minorEastAsia"/>
              </w:rPr>
            </w:pPr>
            <w:r>
              <w:rPr>
                <w:rFonts w:hint="eastAsia" w:asciiTheme="minorEastAsia" w:hAnsiTheme="minorEastAsia"/>
              </w:rPr>
              <w:t>7.69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14</w:t>
            </w:r>
          </w:p>
        </w:tc>
        <w:tc>
          <w:tcPr>
            <w:tcW w:w="3196" w:type="dxa"/>
          </w:tcPr>
          <w:p>
            <w:pPr>
              <w:spacing w:line="220" w:lineRule="atLeast"/>
              <w:jc w:val="center"/>
              <w:rPr>
                <w:rFonts w:asciiTheme="minorEastAsia" w:hAnsiTheme="minorEastAsia"/>
              </w:rPr>
            </w:pPr>
            <w:r>
              <w:rPr>
                <w:rFonts w:asciiTheme="minorEastAsia" w:hAnsiTheme="minorEastAsia"/>
              </w:rPr>
              <w:t>太原旅游职业学院</w:t>
            </w:r>
          </w:p>
        </w:tc>
        <w:tc>
          <w:tcPr>
            <w:tcW w:w="992" w:type="dxa"/>
          </w:tcPr>
          <w:p>
            <w:pPr>
              <w:spacing w:line="220" w:lineRule="atLeast"/>
              <w:jc w:val="center"/>
              <w:rPr>
                <w:rFonts w:asciiTheme="minorEastAsia" w:hAnsiTheme="minorEastAsia"/>
              </w:rPr>
            </w:pPr>
            <w:r>
              <w:rPr>
                <w:rFonts w:hint="eastAsia" w:asciiTheme="minorEastAsia" w:hAnsiTheme="minorEastAsia"/>
              </w:rPr>
              <w:t>25</w:t>
            </w:r>
          </w:p>
        </w:tc>
        <w:tc>
          <w:tcPr>
            <w:tcW w:w="993" w:type="dxa"/>
          </w:tcPr>
          <w:p>
            <w:pPr>
              <w:spacing w:line="220" w:lineRule="atLeast"/>
              <w:jc w:val="center"/>
              <w:rPr>
                <w:rFonts w:asciiTheme="minorEastAsia" w:hAnsiTheme="minorEastAsia"/>
              </w:rPr>
            </w:pPr>
            <w:r>
              <w:rPr>
                <w:rFonts w:hint="eastAsia" w:asciiTheme="minorEastAsia" w:hAnsiTheme="minorEastAsia"/>
              </w:rPr>
              <w:t>2.49</w:t>
            </w:r>
          </w:p>
        </w:tc>
        <w:tc>
          <w:tcPr>
            <w:tcW w:w="992" w:type="dxa"/>
          </w:tcPr>
          <w:p>
            <w:pPr>
              <w:spacing w:line="220" w:lineRule="atLeast"/>
              <w:jc w:val="center"/>
              <w:rPr>
                <w:rFonts w:asciiTheme="minorEastAsia" w:hAnsiTheme="minorEastAsia"/>
              </w:rPr>
            </w:pPr>
            <w:r>
              <w:rPr>
                <w:rFonts w:hint="eastAsia" w:asciiTheme="minorEastAsia" w:hAnsiTheme="minorEastAsia"/>
              </w:rPr>
              <w:t>25</w:t>
            </w:r>
          </w:p>
        </w:tc>
        <w:tc>
          <w:tcPr>
            <w:tcW w:w="1134" w:type="dxa"/>
          </w:tcPr>
          <w:p>
            <w:pPr>
              <w:spacing w:line="220" w:lineRule="atLeast"/>
              <w:jc w:val="center"/>
              <w:rPr>
                <w:rFonts w:asciiTheme="minorEastAsia" w:hAnsiTheme="minorEastAsia"/>
              </w:rPr>
            </w:pPr>
            <w:r>
              <w:rPr>
                <w:rFonts w:hint="eastAsia" w:asciiTheme="minorEastAsia" w:hAnsiTheme="minorEastAsia"/>
              </w:rPr>
              <w:t>7.38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15</w:t>
            </w:r>
          </w:p>
        </w:tc>
        <w:tc>
          <w:tcPr>
            <w:tcW w:w="3196" w:type="dxa"/>
          </w:tcPr>
          <w:p>
            <w:pPr>
              <w:spacing w:line="220" w:lineRule="atLeast"/>
              <w:jc w:val="center"/>
              <w:rPr>
                <w:rFonts w:asciiTheme="minorEastAsia" w:hAnsiTheme="minorEastAsia"/>
              </w:rPr>
            </w:pPr>
            <w:r>
              <w:rPr>
                <w:rFonts w:asciiTheme="minorEastAsia" w:hAnsiTheme="minorEastAsia"/>
              </w:rPr>
              <w:t>忻州职业技术学院</w:t>
            </w:r>
          </w:p>
        </w:tc>
        <w:tc>
          <w:tcPr>
            <w:tcW w:w="992" w:type="dxa"/>
          </w:tcPr>
          <w:p>
            <w:pPr>
              <w:spacing w:line="220" w:lineRule="atLeast"/>
              <w:jc w:val="center"/>
              <w:rPr>
                <w:rFonts w:asciiTheme="minorEastAsia" w:hAnsiTheme="minorEastAsia"/>
              </w:rPr>
            </w:pPr>
            <w:r>
              <w:rPr>
                <w:rFonts w:hint="eastAsia" w:asciiTheme="minorEastAsia" w:hAnsiTheme="minorEastAsia"/>
              </w:rPr>
              <w:t>24</w:t>
            </w:r>
          </w:p>
        </w:tc>
        <w:tc>
          <w:tcPr>
            <w:tcW w:w="993" w:type="dxa"/>
          </w:tcPr>
          <w:p>
            <w:pPr>
              <w:spacing w:line="220" w:lineRule="atLeast"/>
              <w:jc w:val="center"/>
              <w:rPr>
                <w:rFonts w:asciiTheme="minorEastAsia" w:hAnsiTheme="minorEastAsia"/>
              </w:rPr>
            </w:pPr>
            <w:r>
              <w:rPr>
                <w:rFonts w:hint="eastAsia" w:asciiTheme="minorEastAsia" w:hAnsiTheme="minorEastAsia"/>
              </w:rPr>
              <w:t>2.39</w:t>
            </w:r>
          </w:p>
        </w:tc>
        <w:tc>
          <w:tcPr>
            <w:tcW w:w="992" w:type="dxa"/>
          </w:tcPr>
          <w:p>
            <w:pPr>
              <w:spacing w:line="220" w:lineRule="atLeast"/>
              <w:jc w:val="center"/>
              <w:rPr>
                <w:rFonts w:asciiTheme="minorEastAsia" w:hAnsiTheme="minorEastAsia"/>
              </w:rPr>
            </w:pPr>
            <w:r>
              <w:rPr>
                <w:rFonts w:hint="eastAsia" w:asciiTheme="minorEastAsia" w:hAnsiTheme="minorEastAsia"/>
              </w:rPr>
              <w:t>25</w:t>
            </w:r>
          </w:p>
        </w:tc>
        <w:tc>
          <w:tcPr>
            <w:tcW w:w="1134" w:type="dxa"/>
          </w:tcPr>
          <w:p>
            <w:pPr>
              <w:spacing w:line="220" w:lineRule="atLeast"/>
              <w:jc w:val="center"/>
              <w:rPr>
                <w:rFonts w:asciiTheme="minorEastAsia" w:hAnsiTheme="minorEastAsia"/>
              </w:rPr>
            </w:pPr>
            <w:r>
              <w:rPr>
                <w:rFonts w:hint="eastAsia" w:asciiTheme="minorEastAsia" w:hAnsiTheme="minorEastAsia"/>
              </w:rPr>
              <w:t>7.38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16</w:t>
            </w:r>
          </w:p>
        </w:tc>
        <w:tc>
          <w:tcPr>
            <w:tcW w:w="3196" w:type="dxa"/>
          </w:tcPr>
          <w:p>
            <w:pPr>
              <w:spacing w:line="220" w:lineRule="atLeast"/>
              <w:jc w:val="center"/>
              <w:rPr>
                <w:rFonts w:asciiTheme="minorEastAsia" w:hAnsiTheme="minorEastAsia"/>
              </w:rPr>
            </w:pPr>
            <w:r>
              <w:rPr>
                <w:rFonts w:asciiTheme="minorEastAsia" w:hAnsiTheme="minorEastAsia"/>
              </w:rPr>
              <w:t>山西轻工职业技术学院</w:t>
            </w:r>
          </w:p>
        </w:tc>
        <w:tc>
          <w:tcPr>
            <w:tcW w:w="992" w:type="dxa"/>
          </w:tcPr>
          <w:p>
            <w:pPr>
              <w:spacing w:line="220" w:lineRule="atLeast"/>
              <w:jc w:val="center"/>
              <w:rPr>
                <w:rFonts w:asciiTheme="minorEastAsia" w:hAnsiTheme="minorEastAsia"/>
              </w:rPr>
            </w:pPr>
            <w:r>
              <w:rPr>
                <w:rFonts w:hint="eastAsia" w:asciiTheme="minorEastAsia" w:hAnsiTheme="minorEastAsia"/>
              </w:rPr>
              <w:t>24</w:t>
            </w:r>
          </w:p>
        </w:tc>
        <w:tc>
          <w:tcPr>
            <w:tcW w:w="993" w:type="dxa"/>
          </w:tcPr>
          <w:p>
            <w:pPr>
              <w:spacing w:line="220" w:lineRule="atLeast"/>
              <w:jc w:val="center"/>
              <w:rPr>
                <w:rFonts w:asciiTheme="minorEastAsia" w:hAnsiTheme="minorEastAsia"/>
              </w:rPr>
            </w:pPr>
            <w:r>
              <w:rPr>
                <w:rFonts w:hint="eastAsia" w:asciiTheme="minorEastAsia" w:hAnsiTheme="minorEastAsia"/>
              </w:rPr>
              <w:t>2.39</w:t>
            </w:r>
          </w:p>
        </w:tc>
        <w:tc>
          <w:tcPr>
            <w:tcW w:w="992" w:type="dxa"/>
          </w:tcPr>
          <w:p>
            <w:pPr>
              <w:spacing w:line="220" w:lineRule="atLeast"/>
              <w:jc w:val="center"/>
              <w:rPr>
                <w:rFonts w:asciiTheme="minorEastAsia" w:hAnsiTheme="minorEastAsia"/>
              </w:rPr>
            </w:pPr>
            <w:r>
              <w:rPr>
                <w:rFonts w:hint="eastAsia" w:asciiTheme="minorEastAsia" w:hAnsiTheme="minorEastAsia"/>
              </w:rPr>
              <w:t>23</w:t>
            </w:r>
          </w:p>
        </w:tc>
        <w:tc>
          <w:tcPr>
            <w:tcW w:w="1134" w:type="dxa"/>
          </w:tcPr>
          <w:p>
            <w:pPr>
              <w:spacing w:line="220" w:lineRule="atLeast"/>
              <w:jc w:val="center"/>
              <w:rPr>
                <w:rFonts w:asciiTheme="minorEastAsia" w:hAnsiTheme="minorEastAsia"/>
              </w:rPr>
            </w:pPr>
            <w:r>
              <w:rPr>
                <w:rFonts w:hint="eastAsia" w:asciiTheme="minorEastAsia" w:hAnsiTheme="minorEastAsia"/>
              </w:rPr>
              <w:t>7.08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17</w:t>
            </w:r>
          </w:p>
        </w:tc>
        <w:tc>
          <w:tcPr>
            <w:tcW w:w="3196" w:type="dxa"/>
          </w:tcPr>
          <w:p>
            <w:pPr>
              <w:spacing w:line="220" w:lineRule="atLeast"/>
              <w:jc w:val="center"/>
              <w:rPr>
                <w:rFonts w:asciiTheme="minorEastAsia" w:hAnsiTheme="minorEastAsia"/>
              </w:rPr>
            </w:pPr>
            <w:r>
              <w:rPr>
                <w:rFonts w:asciiTheme="minorEastAsia" w:hAnsiTheme="minorEastAsia"/>
              </w:rPr>
              <w:t>山西电力职业技术学院</w:t>
            </w:r>
          </w:p>
        </w:tc>
        <w:tc>
          <w:tcPr>
            <w:tcW w:w="992" w:type="dxa"/>
          </w:tcPr>
          <w:p>
            <w:pPr>
              <w:spacing w:line="220" w:lineRule="atLeast"/>
              <w:jc w:val="center"/>
              <w:rPr>
                <w:rFonts w:asciiTheme="minorEastAsia" w:hAnsiTheme="minorEastAsia"/>
              </w:rPr>
            </w:pPr>
            <w:r>
              <w:rPr>
                <w:rFonts w:hint="eastAsia" w:asciiTheme="minorEastAsia" w:hAnsiTheme="minorEastAsia"/>
              </w:rPr>
              <w:t>24</w:t>
            </w:r>
          </w:p>
        </w:tc>
        <w:tc>
          <w:tcPr>
            <w:tcW w:w="993" w:type="dxa"/>
          </w:tcPr>
          <w:p>
            <w:pPr>
              <w:spacing w:line="220" w:lineRule="atLeast"/>
              <w:jc w:val="center"/>
              <w:rPr>
                <w:rFonts w:asciiTheme="minorEastAsia" w:hAnsiTheme="minorEastAsia"/>
              </w:rPr>
            </w:pPr>
            <w:r>
              <w:rPr>
                <w:rFonts w:hint="eastAsia" w:asciiTheme="minorEastAsia" w:hAnsiTheme="minorEastAsia"/>
              </w:rPr>
              <w:t>2.39</w:t>
            </w:r>
          </w:p>
        </w:tc>
        <w:tc>
          <w:tcPr>
            <w:tcW w:w="992" w:type="dxa"/>
          </w:tcPr>
          <w:p>
            <w:pPr>
              <w:spacing w:line="220" w:lineRule="atLeast"/>
              <w:jc w:val="center"/>
              <w:rPr>
                <w:rFonts w:asciiTheme="minorEastAsia" w:hAnsiTheme="minorEastAsia"/>
              </w:rPr>
            </w:pPr>
            <w:r>
              <w:rPr>
                <w:rFonts w:hint="eastAsia" w:asciiTheme="minorEastAsia" w:hAnsiTheme="minorEastAsia"/>
              </w:rPr>
              <w:t>21</w:t>
            </w:r>
          </w:p>
        </w:tc>
        <w:tc>
          <w:tcPr>
            <w:tcW w:w="1134" w:type="dxa"/>
          </w:tcPr>
          <w:p>
            <w:pPr>
              <w:spacing w:line="220" w:lineRule="atLeast"/>
              <w:jc w:val="center"/>
              <w:rPr>
                <w:rFonts w:asciiTheme="minorEastAsia" w:hAnsiTheme="minorEastAsia"/>
              </w:rPr>
            </w:pPr>
            <w:r>
              <w:rPr>
                <w:rFonts w:hint="eastAsia" w:asciiTheme="minorEastAsia" w:hAnsiTheme="minorEastAsia"/>
              </w:rPr>
              <w:t>6.46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18</w:t>
            </w:r>
          </w:p>
        </w:tc>
        <w:tc>
          <w:tcPr>
            <w:tcW w:w="3196" w:type="dxa"/>
          </w:tcPr>
          <w:p>
            <w:pPr>
              <w:spacing w:line="220" w:lineRule="atLeast"/>
              <w:jc w:val="center"/>
              <w:rPr>
                <w:rFonts w:asciiTheme="minorEastAsia" w:hAnsiTheme="minorEastAsia"/>
              </w:rPr>
            </w:pPr>
            <w:r>
              <w:rPr>
                <w:rFonts w:asciiTheme="minorEastAsia" w:hAnsiTheme="minorEastAsia"/>
              </w:rPr>
              <w:t>山西省财政</w:t>
            </w:r>
            <w:r>
              <w:rPr>
                <w:rFonts w:hint="eastAsia" w:asciiTheme="minorEastAsia" w:hAnsiTheme="minorEastAsia"/>
              </w:rPr>
              <w:t>税务</w:t>
            </w:r>
            <w:r>
              <w:rPr>
                <w:rFonts w:asciiTheme="minorEastAsia" w:hAnsiTheme="minorEastAsia"/>
              </w:rPr>
              <w:t>专科学校</w:t>
            </w:r>
          </w:p>
        </w:tc>
        <w:tc>
          <w:tcPr>
            <w:tcW w:w="992" w:type="dxa"/>
          </w:tcPr>
          <w:p>
            <w:pPr>
              <w:spacing w:line="220" w:lineRule="atLeast"/>
              <w:jc w:val="center"/>
              <w:rPr>
                <w:rFonts w:asciiTheme="minorEastAsia" w:hAnsiTheme="minorEastAsia"/>
              </w:rPr>
            </w:pPr>
            <w:r>
              <w:rPr>
                <w:rFonts w:hint="eastAsia" w:asciiTheme="minorEastAsia" w:hAnsiTheme="minorEastAsia"/>
              </w:rPr>
              <w:t>23</w:t>
            </w:r>
          </w:p>
        </w:tc>
        <w:tc>
          <w:tcPr>
            <w:tcW w:w="993" w:type="dxa"/>
          </w:tcPr>
          <w:p>
            <w:pPr>
              <w:spacing w:line="220" w:lineRule="atLeast"/>
              <w:jc w:val="center"/>
              <w:rPr>
                <w:rFonts w:asciiTheme="minorEastAsia" w:hAnsiTheme="minorEastAsia"/>
              </w:rPr>
            </w:pPr>
            <w:r>
              <w:rPr>
                <w:rFonts w:hint="eastAsia" w:asciiTheme="minorEastAsia" w:hAnsiTheme="minorEastAsia"/>
              </w:rPr>
              <w:t>2.29</w:t>
            </w:r>
          </w:p>
        </w:tc>
        <w:tc>
          <w:tcPr>
            <w:tcW w:w="992" w:type="dxa"/>
          </w:tcPr>
          <w:p>
            <w:pPr>
              <w:spacing w:line="220" w:lineRule="atLeast"/>
              <w:jc w:val="center"/>
              <w:rPr>
                <w:rFonts w:asciiTheme="minorEastAsia" w:hAnsiTheme="minorEastAsia"/>
              </w:rPr>
            </w:pPr>
            <w:r>
              <w:rPr>
                <w:rFonts w:hint="eastAsia" w:asciiTheme="minorEastAsia" w:hAnsiTheme="minorEastAsia"/>
              </w:rPr>
              <w:t>23</w:t>
            </w:r>
          </w:p>
        </w:tc>
        <w:tc>
          <w:tcPr>
            <w:tcW w:w="1134" w:type="dxa"/>
          </w:tcPr>
          <w:p>
            <w:pPr>
              <w:spacing w:line="220" w:lineRule="atLeast"/>
              <w:jc w:val="center"/>
              <w:rPr>
                <w:rFonts w:asciiTheme="minorEastAsia" w:hAnsiTheme="minorEastAsia"/>
              </w:rPr>
            </w:pPr>
            <w:r>
              <w:rPr>
                <w:rFonts w:hint="eastAsia" w:asciiTheme="minorEastAsia" w:hAnsiTheme="minorEastAsia"/>
              </w:rPr>
              <w:t>7.08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19</w:t>
            </w:r>
          </w:p>
        </w:tc>
        <w:tc>
          <w:tcPr>
            <w:tcW w:w="3196" w:type="dxa"/>
          </w:tcPr>
          <w:p>
            <w:pPr>
              <w:spacing w:line="220" w:lineRule="atLeast"/>
              <w:jc w:val="center"/>
              <w:rPr>
                <w:rFonts w:asciiTheme="minorEastAsia" w:hAnsiTheme="minorEastAsia"/>
              </w:rPr>
            </w:pPr>
            <w:r>
              <w:rPr>
                <w:rFonts w:asciiTheme="minorEastAsia" w:hAnsiTheme="minorEastAsia"/>
              </w:rPr>
              <w:t>朔州职业技术学院</w:t>
            </w:r>
          </w:p>
        </w:tc>
        <w:tc>
          <w:tcPr>
            <w:tcW w:w="992" w:type="dxa"/>
          </w:tcPr>
          <w:p>
            <w:pPr>
              <w:spacing w:line="220" w:lineRule="atLeast"/>
              <w:jc w:val="center"/>
              <w:rPr>
                <w:rFonts w:asciiTheme="minorEastAsia" w:hAnsiTheme="minorEastAsia"/>
              </w:rPr>
            </w:pPr>
            <w:r>
              <w:rPr>
                <w:rFonts w:hint="eastAsia" w:asciiTheme="minorEastAsia" w:hAnsiTheme="minorEastAsia"/>
              </w:rPr>
              <w:t>23</w:t>
            </w:r>
          </w:p>
        </w:tc>
        <w:tc>
          <w:tcPr>
            <w:tcW w:w="993" w:type="dxa"/>
          </w:tcPr>
          <w:p>
            <w:pPr>
              <w:spacing w:line="220" w:lineRule="atLeast"/>
              <w:jc w:val="center"/>
              <w:rPr>
                <w:rFonts w:asciiTheme="minorEastAsia" w:hAnsiTheme="minorEastAsia"/>
              </w:rPr>
            </w:pPr>
            <w:r>
              <w:rPr>
                <w:rFonts w:hint="eastAsia" w:asciiTheme="minorEastAsia" w:hAnsiTheme="minorEastAsia"/>
              </w:rPr>
              <w:t>2.29</w:t>
            </w:r>
          </w:p>
        </w:tc>
        <w:tc>
          <w:tcPr>
            <w:tcW w:w="992" w:type="dxa"/>
          </w:tcPr>
          <w:p>
            <w:pPr>
              <w:spacing w:line="220" w:lineRule="atLeast"/>
              <w:jc w:val="center"/>
              <w:rPr>
                <w:rFonts w:asciiTheme="minorEastAsia" w:hAnsiTheme="minorEastAsia"/>
              </w:rPr>
            </w:pPr>
            <w:r>
              <w:rPr>
                <w:rFonts w:hint="eastAsia" w:asciiTheme="minorEastAsia" w:hAnsiTheme="minorEastAsia"/>
              </w:rPr>
              <w:t>22</w:t>
            </w:r>
          </w:p>
        </w:tc>
        <w:tc>
          <w:tcPr>
            <w:tcW w:w="1134" w:type="dxa"/>
          </w:tcPr>
          <w:p>
            <w:pPr>
              <w:spacing w:line="220" w:lineRule="atLeast"/>
              <w:jc w:val="center"/>
              <w:rPr>
                <w:rFonts w:asciiTheme="minorEastAsia" w:hAnsiTheme="minorEastAsia"/>
              </w:rPr>
            </w:pPr>
            <w:r>
              <w:rPr>
                <w:rFonts w:hint="eastAsia" w:asciiTheme="minorEastAsia" w:hAnsiTheme="minorEastAsia"/>
              </w:rPr>
              <w:t>6.77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20</w:t>
            </w:r>
          </w:p>
        </w:tc>
        <w:tc>
          <w:tcPr>
            <w:tcW w:w="3196" w:type="dxa"/>
          </w:tcPr>
          <w:p>
            <w:pPr>
              <w:spacing w:line="220" w:lineRule="atLeast"/>
              <w:jc w:val="center"/>
              <w:rPr>
                <w:rFonts w:asciiTheme="minorEastAsia" w:hAnsiTheme="minorEastAsia"/>
              </w:rPr>
            </w:pPr>
            <w:r>
              <w:rPr>
                <w:rFonts w:asciiTheme="minorEastAsia" w:hAnsiTheme="minorEastAsia"/>
              </w:rPr>
              <w:t>大同煤炭职业技术学院</w:t>
            </w:r>
          </w:p>
        </w:tc>
        <w:tc>
          <w:tcPr>
            <w:tcW w:w="992" w:type="dxa"/>
          </w:tcPr>
          <w:p>
            <w:pPr>
              <w:spacing w:line="220" w:lineRule="atLeast"/>
              <w:jc w:val="center"/>
              <w:rPr>
                <w:rFonts w:asciiTheme="minorEastAsia" w:hAnsiTheme="minorEastAsia"/>
              </w:rPr>
            </w:pPr>
            <w:r>
              <w:rPr>
                <w:rFonts w:hint="eastAsia" w:asciiTheme="minorEastAsia" w:hAnsiTheme="minorEastAsia"/>
              </w:rPr>
              <w:t>23</w:t>
            </w:r>
          </w:p>
        </w:tc>
        <w:tc>
          <w:tcPr>
            <w:tcW w:w="993" w:type="dxa"/>
          </w:tcPr>
          <w:p>
            <w:pPr>
              <w:spacing w:line="220" w:lineRule="atLeast"/>
              <w:jc w:val="center"/>
              <w:rPr>
                <w:rFonts w:asciiTheme="minorEastAsia" w:hAnsiTheme="minorEastAsia"/>
              </w:rPr>
            </w:pPr>
            <w:r>
              <w:rPr>
                <w:rFonts w:hint="eastAsia" w:asciiTheme="minorEastAsia" w:hAnsiTheme="minorEastAsia"/>
              </w:rPr>
              <w:t>2.29</w:t>
            </w:r>
          </w:p>
        </w:tc>
        <w:tc>
          <w:tcPr>
            <w:tcW w:w="992" w:type="dxa"/>
          </w:tcPr>
          <w:p>
            <w:pPr>
              <w:spacing w:line="220" w:lineRule="atLeast"/>
              <w:jc w:val="center"/>
              <w:rPr>
                <w:rFonts w:asciiTheme="minorEastAsia" w:hAnsiTheme="minorEastAsia"/>
              </w:rPr>
            </w:pPr>
            <w:r>
              <w:rPr>
                <w:rFonts w:hint="eastAsia" w:asciiTheme="minorEastAsia" w:hAnsiTheme="minorEastAsia"/>
              </w:rPr>
              <w:t>21</w:t>
            </w:r>
          </w:p>
        </w:tc>
        <w:tc>
          <w:tcPr>
            <w:tcW w:w="1134" w:type="dxa"/>
          </w:tcPr>
          <w:p>
            <w:pPr>
              <w:spacing w:line="220" w:lineRule="atLeast"/>
              <w:jc w:val="center"/>
              <w:rPr>
                <w:rFonts w:asciiTheme="minorEastAsia" w:hAnsiTheme="minorEastAsia"/>
              </w:rPr>
            </w:pPr>
            <w:r>
              <w:rPr>
                <w:rFonts w:hint="eastAsia" w:asciiTheme="minorEastAsia" w:hAnsiTheme="minorEastAsia"/>
              </w:rPr>
              <w:t>6.46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21</w:t>
            </w:r>
          </w:p>
        </w:tc>
        <w:tc>
          <w:tcPr>
            <w:tcW w:w="3196" w:type="dxa"/>
          </w:tcPr>
          <w:p>
            <w:pPr>
              <w:spacing w:line="220" w:lineRule="atLeast"/>
              <w:jc w:val="center"/>
              <w:rPr>
                <w:rFonts w:asciiTheme="minorEastAsia" w:hAnsiTheme="minorEastAsia"/>
              </w:rPr>
            </w:pPr>
            <w:r>
              <w:rPr>
                <w:rFonts w:asciiTheme="minorEastAsia" w:hAnsiTheme="minorEastAsia"/>
              </w:rPr>
              <w:t>山西林业职业技术学院</w:t>
            </w:r>
          </w:p>
        </w:tc>
        <w:tc>
          <w:tcPr>
            <w:tcW w:w="992" w:type="dxa"/>
          </w:tcPr>
          <w:p>
            <w:pPr>
              <w:spacing w:line="220" w:lineRule="atLeast"/>
              <w:jc w:val="center"/>
              <w:rPr>
                <w:rFonts w:asciiTheme="minorEastAsia" w:hAnsiTheme="minorEastAsia"/>
              </w:rPr>
            </w:pPr>
            <w:r>
              <w:rPr>
                <w:rFonts w:hint="eastAsia" w:asciiTheme="minorEastAsia" w:hAnsiTheme="minorEastAsia"/>
              </w:rPr>
              <w:t>22</w:t>
            </w:r>
          </w:p>
        </w:tc>
        <w:tc>
          <w:tcPr>
            <w:tcW w:w="993" w:type="dxa"/>
          </w:tcPr>
          <w:p>
            <w:pPr>
              <w:spacing w:line="220" w:lineRule="atLeast"/>
              <w:jc w:val="center"/>
              <w:rPr>
                <w:rFonts w:asciiTheme="minorEastAsia" w:hAnsiTheme="minorEastAsia"/>
              </w:rPr>
            </w:pPr>
            <w:r>
              <w:rPr>
                <w:rFonts w:hint="eastAsia" w:asciiTheme="minorEastAsia" w:hAnsiTheme="minorEastAsia"/>
              </w:rPr>
              <w:t>2.19</w:t>
            </w:r>
          </w:p>
        </w:tc>
        <w:tc>
          <w:tcPr>
            <w:tcW w:w="992" w:type="dxa"/>
          </w:tcPr>
          <w:p>
            <w:pPr>
              <w:spacing w:line="220" w:lineRule="atLeast"/>
              <w:jc w:val="center"/>
              <w:rPr>
                <w:rFonts w:asciiTheme="minorEastAsia" w:hAnsiTheme="minorEastAsia"/>
              </w:rPr>
            </w:pPr>
            <w:r>
              <w:rPr>
                <w:rFonts w:hint="eastAsia" w:asciiTheme="minorEastAsia" w:hAnsiTheme="minorEastAsia"/>
              </w:rPr>
              <w:t>20</w:t>
            </w:r>
          </w:p>
        </w:tc>
        <w:tc>
          <w:tcPr>
            <w:tcW w:w="1134" w:type="dxa"/>
          </w:tcPr>
          <w:p>
            <w:pPr>
              <w:spacing w:line="220" w:lineRule="atLeast"/>
              <w:jc w:val="center"/>
              <w:rPr>
                <w:rFonts w:asciiTheme="minorEastAsia" w:hAnsiTheme="minorEastAsia"/>
              </w:rPr>
            </w:pPr>
            <w:r>
              <w:rPr>
                <w:rFonts w:hint="eastAsia" w:asciiTheme="minorEastAsia" w:hAnsiTheme="minorEastAsia"/>
              </w:rPr>
              <w:t>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22</w:t>
            </w:r>
          </w:p>
        </w:tc>
        <w:tc>
          <w:tcPr>
            <w:tcW w:w="3196" w:type="dxa"/>
          </w:tcPr>
          <w:p>
            <w:pPr>
              <w:spacing w:line="220" w:lineRule="atLeast"/>
              <w:jc w:val="center"/>
              <w:rPr>
                <w:rFonts w:asciiTheme="minorEastAsia" w:hAnsiTheme="minorEastAsia"/>
              </w:rPr>
            </w:pPr>
            <w:r>
              <w:rPr>
                <w:rFonts w:asciiTheme="minorEastAsia" w:hAnsiTheme="minorEastAsia"/>
              </w:rPr>
              <w:t>山西同文职业技术学院</w:t>
            </w:r>
          </w:p>
        </w:tc>
        <w:tc>
          <w:tcPr>
            <w:tcW w:w="992" w:type="dxa"/>
          </w:tcPr>
          <w:p>
            <w:pPr>
              <w:spacing w:line="220" w:lineRule="atLeast"/>
              <w:jc w:val="center"/>
              <w:rPr>
                <w:rFonts w:asciiTheme="minorEastAsia" w:hAnsiTheme="minorEastAsia"/>
              </w:rPr>
            </w:pPr>
            <w:r>
              <w:rPr>
                <w:rFonts w:hint="eastAsia" w:asciiTheme="minorEastAsia" w:hAnsiTheme="minorEastAsia"/>
              </w:rPr>
              <w:t>21</w:t>
            </w:r>
          </w:p>
        </w:tc>
        <w:tc>
          <w:tcPr>
            <w:tcW w:w="993" w:type="dxa"/>
          </w:tcPr>
          <w:p>
            <w:pPr>
              <w:spacing w:line="220" w:lineRule="atLeast"/>
              <w:jc w:val="center"/>
              <w:rPr>
                <w:rFonts w:asciiTheme="minorEastAsia" w:hAnsiTheme="minorEastAsia"/>
              </w:rPr>
            </w:pPr>
            <w:r>
              <w:rPr>
                <w:rFonts w:hint="eastAsia" w:asciiTheme="minorEastAsia" w:hAnsiTheme="minorEastAsia"/>
              </w:rPr>
              <w:t>2.09</w:t>
            </w:r>
          </w:p>
        </w:tc>
        <w:tc>
          <w:tcPr>
            <w:tcW w:w="992" w:type="dxa"/>
          </w:tcPr>
          <w:p>
            <w:pPr>
              <w:spacing w:line="220" w:lineRule="atLeast"/>
              <w:jc w:val="center"/>
              <w:rPr>
                <w:rFonts w:asciiTheme="minorEastAsia" w:hAnsiTheme="minorEastAsia"/>
              </w:rPr>
            </w:pPr>
            <w:r>
              <w:rPr>
                <w:rFonts w:hint="eastAsia" w:asciiTheme="minorEastAsia" w:hAnsiTheme="minorEastAsia"/>
              </w:rPr>
              <w:t>21</w:t>
            </w:r>
          </w:p>
        </w:tc>
        <w:tc>
          <w:tcPr>
            <w:tcW w:w="1134" w:type="dxa"/>
          </w:tcPr>
          <w:p>
            <w:pPr>
              <w:spacing w:line="220" w:lineRule="atLeast"/>
              <w:jc w:val="center"/>
              <w:rPr>
                <w:rFonts w:asciiTheme="minorEastAsia" w:hAnsiTheme="minorEastAsia"/>
              </w:rPr>
            </w:pPr>
            <w:r>
              <w:rPr>
                <w:rFonts w:hint="eastAsia" w:asciiTheme="minorEastAsia" w:hAnsiTheme="minorEastAsia"/>
              </w:rPr>
              <w:t>6.46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23</w:t>
            </w:r>
          </w:p>
        </w:tc>
        <w:tc>
          <w:tcPr>
            <w:tcW w:w="3196" w:type="dxa"/>
          </w:tcPr>
          <w:p>
            <w:pPr>
              <w:spacing w:line="220" w:lineRule="atLeast"/>
              <w:jc w:val="center"/>
              <w:rPr>
                <w:rFonts w:asciiTheme="minorEastAsia" w:hAnsiTheme="minorEastAsia"/>
              </w:rPr>
            </w:pPr>
            <w:r>
              <w:rPr>
                <w:rFonts w:asciiTheme="minorEastAsia" w:hAnsiTheme="minorEastAsia"/>
              </w:rPr>
              <w:t>山西信息职业技术学院</w:t>
            </w:r>
          </w:p>
        </w:tc>
        <w:tc>
          <w:tcPr>
            <w:tcW w:w="992" w:type="dxa"/>
          </w:tcPr>
          <w:p>
            <w:pPr>
              <w:spacing w:line="220" w:lineRule="atLeast"/>
              <w:jc w:val="center"/>
              <w:rPr>
                <w:rFonts w:asciiTheme="minorEastAsia" w:hAnsiTheme="minorEastAsia"/>
              </w:rPr>
            </w:pPr>
            <w:r>
              <w:rPr>
                <w:rFonts w:hint="eastAsia" w:asciiTheme="minorEastAsia" w:hAnsiTheme="minorEastAsia"/>
              </w:rPr>
              <w:t>20</w:t>
            </w:r>
          </w:p>
        </w:tc>
        <w:tc>
          <w:tcPr>
            <w:tcW w:w="993" w:type="dxa"/>
          </w:tcPr>
          <w:p>
            <w:pPr>
              <w:spacing w:line="220" w:lineRule="atLeast"/>
              <w:jc w:val="center"/>
              <w:rPr>
                <w:rFonts w:asciiTheme="minorEastAsia" w:hAnsiTheme="minorEastAsia"/>
              </w:rPr>
            </w:pPr>
            <w:r>
              <w:rPr>
                <w:rFonts w:hint="eastAsia" w:asciiTheme="minorEastAsia" w:hAnsiTheme="minorEastAsia"/>
              </w:rPr>
              <w:t>1.99</w:t>
            </w:r>
          </w:p>
        </w:tc>
        <w:tc>
          <w:tcPr>
            <w:tcW w:w="992" w:type="dxa"/>
          </w:tcPr>
          <w:p>
            <w:pPr>
              <w:spacing w:line="220" w:lineRule="atLeast"/>
              <w:jc w:val="center"/>
              <w:rPr>
                <w:rFonts w:asciiTheme="minorEastAsia" w:hAnsiTheme="minorEastAsia"/>
              </w:rPr>
            </w:pPr>
            <w:r>
              <w:rPr>
                <w:rFonts w:hint="eastAsia" w:asciiTheme="minorEastAsia" w:hAnsiTheme="minorEastAsia"/>
              </w:rPr>
              <w:t>20</w:t>
            </w:r>
          </w:p>
        </w:tc>
        <w:tc>
          <w:tcPr>
            <w:tcW w:w="1134" w:type="dxa"/>
          </w:tcPr>
          <w:p>
            <w:pPr>
              <w:spacing w:line="220" w:lineRule="atLeast"/>
              <w:jc w:val="center"/>
              <w:rPr>
                <w:rFonts w:asciiTheme="minorEastAsia" w:hAnsiTheme="minorEastAsia"/>
              </w:rPr>
            </w:pPr>
            <w:r>
              <w:rPr>
                <w:rFonts w:hint="eastAsia" w:asciiTheme="minorEastAsia" w:hAnsiTheme="minorEastAsia"/>
              </w:rPr>
              <w:t>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24</w:t>
            </w:r>
          </w:p>
        </w:tc>
        <w:tc>
          <w:tcPr>
            <w:tcW w:w="3196" w:type="dxa"/>
          </w:tcPr>
          <w:p>
            <w:pPr>
              <w:spacing w:line="220" w:lineRule="atLeast"/>
              <w:jc w:val="center"/>
              <w:rPr>
                <w:rFonts w:asciiTheme="minorEastAsia" w:hAnsiTheme="minorEastAsia"/>
              </w:rPr>
            </w:pPr>
            <w:r>
              <w:rPr>
                <w:rFonts w:asciiTheme="minorEastAsia" w:hAnsiTheme="minorEastAsia"/>
              </w:rPr>
              <w:t>太原城市职业技术学院</w:t>
            </w:r>
          </w:p>
        </w:tc>
        <w:tc>
          <w:tcPr>
            <w:tcW w:w="992" w:type="dxa"/>
          </w:tcPr>
          <w:p>
            <w:pPr>
              <w:spacing w:line="220" w:lineRule="atLeast"/>
              <w:jc w:val="center"/>
              <w:rPr>
                <w:rFonts w:asciiTheme="minorEastAsia" w:hAnsiTheme="minorEastAsia"/>
              </w:rPr>
            </w:pPr>
            <w:r>
              <w:rPr>
                <w:rFonts w:hint="eastAsia" w:asciiTheme="minorEastAsia" w:hAnsiTheme="minorEastAsia"/>
              </w:rPr>
              <w:t>20</w:t>
            </w:r>
          </w:p>
        </w:tc>
        <w:tc>
          <w:tcPr>
            <w:tcW w:w="993" w:type="dxa"/>
          </w:tcPr>
          <w:p>
            <w:pPr>
              <w:spacing w:line="220" w:lineRule="atLeast"/>
              <w:jc w:val="center"/>
              <w:rPr>
                <w:rFonts w:asciiTheme="minorEastAsia" w:hAnsiTheme="minorEastAsia"/>
              </w:rPr>
            </w:pPr>
            <w:r>
              <w:rPr>
                <w:rFonts w:hint="eastAsia" w:asciiTheme="minorEastAsia" w:hAnsiTheme="minorEastAsia"/>
              </w:rPr>
              <w:t>1.99</w:t>
            </w:r>
          </w:p>
        </w:tc>
        <w:tc>
          <w:tcPr>
            <w:tcW w:w="992" w:type="dxa"/>
          </w:tcPr>
          <w:p>
            <w:pPr>
              <w:spacing w:line="220" w:lineRule="atLeast"/>
              <w:jc w:val="center"/>
              <w:rPr>
                <w:rFonts w:asciiTheme="minorEastAsia" w:hAnsiTheme="minorEastAsia"/>
              </w:rPr>
            </w:pPr>
            <w:r>
              <w:rPr>
                <w:rFonts w:hint="eastAsia" w:asciiTheme="minorEastAsia" w:hAnsiTheme="minorEastAsia"/>
              </w:rPr>
              <w:t>20</w:t>
            </w:r>
          </w:p>
        </w:tc>
        <w:tc>
          <w:tcPr>
            <w:tcW w:w="1134" w:type="dxa"/>
          </w:tcPr>
          <w:p>
            <w:pPr>
              <w:spacing w:line="220" w:lineRule="atLeast"/>
              <w:jc w:val="center"/>
              <w:rPr>
                <w:rFonts w:asciiTheme="minorEastAsia" w:hAnsiTheme="minorEastAsia"/>
              </w:rPr>
            </w:pPr>
            <w:r>
              <w:rPr>
                <w:rFonts w:hint="eastAsia" w:asciiTheme="minorEastAsia" w:hAnsiTheme="minorEastAsia"/>
              </w:rPr>
              <w:t>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25</w:t>
            </w:r>
          </w:p>
        </w:tc>
        <w:tc>
          <w:tcPr>
            <w:tcW w:w="3196" w:type="dxa"/>
          </w:tcPr>
          <w:p>
            <w:pPr>
              <w:spacing w:line="220" w:lineRule="atLeast"/>
              <w:jc w:val="center"/>
              <w:rPr>
                <w:rFonts w:asciiTheme="minorEastAsia" w:hAnsiTheme="minorEastAsia"/>
              </w:rPr>
            </w:pPr>
            <w:r>
              <w:rPr>
                <w:rFonts w:asciiTheme="minorEastAsia" w:hAnsiTheme="minorEastAsia"/>
              </w:rPr>
              <w:t>山西</w:t>
            </w:r>
            <w:r>
              <w:rPr>
                <w:rFonts w:hint="eastAsia" w:asciiTheme="minorEastAsia" w:hAnsiTheme="minorEastAsia"/>
              </w:rPr>
              <w:t>青年</w:t>
            </w:r>
            <w:r>
              <w:rPr>
                <w:rFonts w:asciiTheme="minorEastAsia" w:hAnsiTheme="minorEastAsia"/>
              </w:rPr>
              <w:t>职业学院</w:t>
            </w:r>
          </w:p>
        </w:tc>
        <w:tc>
          <w:tcPr>
            <w:tcW w:w="992" w:type="dxa"/>
          </w:tcPr>
          <w:p>
            <w:pPr>
              <w:spacing w:line="220" w:lineRule="atLeast"/>
              <w:jc w:val="center"/>
              <w:rPr>
                <w:rFonts w:asciiTheme="minorEastAsia" w:hAnsiTheme="minorEastAsia"/>
              </w:rPr>
            </w:pPr>
            <w:r>
              <w:rPr>
                <w:rFonts w:hint="eastAsia" w:asciiTheme="minorEastAsia" w:hAnsiTheme="minorEastAsia"/>
              </w:rPr>
              <w:t>20</w:t>
            </w:r>
          </w:p>
        </w:tc>
        <w:tc>
          <w:tcPr>
            <w:tcW w:w="993" w:type="dxa"/>
          </w:tcPr>
          <w:p>
            <w:pPr>
              <w:spacing w:line="220" w:lineRule="atLeast"/>
              <w:jc w:val="center"/>
              <w:rPr>
                <w:rFonts w:asciiTheme="minorEastAsia" w:hAnsiTheme="minorEastAsia"/>
              </w:rPr>
            </w:pPr>
            <w:r>
              <w:rPr>
                <w:rFonts w:hint="eastAsia" w:asciiTheme="minorEastAsia" w:hAnsiTheme="minorEastAsia"/>
              </w:rPr>
              <w:t>1.99</w:t>
            </w:r>
          </w:p>
        </w:tc>
        <w:tc>
          <w:tcPr>
            <w:tcW w:w="992" w:type="dxa"/>
          </w:tcPr>
          <w:p>
            <w:pPr>
              <w:spacing w:line="220" w:lineRule="atLeast"/>
              <w:jc w:val="center"/>
              <w:rPr>
                <w:rFonts w:asciiTheme="minorEastAsia" w:hAnsiTheme="minorEastAsia"/>
              </w:rPr>
            </w:pPr>
            <w:r>
              <w:rPr>
                <w:rFonts w:hint="eastAsia" w:asciiTheme="minorEastAsia" w:hAnsiTheme="minorEastAsia"/>
              </w:rPr>
              <w:t>20</w:t>
            </w:r>
          </w:p>
        </w:tc>
        <w:tc>
          <w:tcPr>
            <w:tcW w:w="1134" w:type="dxa"/>
          </w:tcPr>
          <w:p>
            <w:pPr>
              <w:spacing w:line="220" w:lineRule="atLeast"/>
              <w:jc w:val="center"/>
              <w:rPr>
                <w:rFonts w:asciiTheme="minorEastAsia" w:hAnsiTheme="minorEastAsia"/>
              </w:rPr>
            </w:pPr>
            <w:r>
              <w:rPr>
                <w:rFonts w:hint="eastAsia" w:asciiTheme="minorEastAsia" w:hAnsiTheme="minorEastAsia"/>
              </w:rPr>
              <w:t>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26</w:t>
            </w:r>
          </w:p>
        </w:tc>
        <w:tc>
          <w:tcPr>
            <w:tcW w:w="3196" w:type="dxa"/>
          </w:tcPr>
          <w:p>
            <w:pPr>
              <w:spacing w:line="220" w:lineRule="atLeast"/>
              <w:jc w:val="center"/>
              <w:rPr>
                <w:rFonts w:asciiTheme="minorEastAsia" w:hAnsiTheme="minorEastAsia"/>
              </w:rPr>
            </w:pPr>
            <w:r>
              <w:rPr>
                <w:rFonts w:asciiTheme="minorEastAsia" w:hAnsiTheme="minorEastAsia"/>
              </w:rPr>
              <w:t>山西药业职业学院</w:t>
            </w:r>
          </w:p>
        </w:tc>
        <w:tc>
          <w:tcPr>
            <w:tcW w:w="992" w:type="dxa"/>
          </w:tcPr>
          <w:p>
            <w:pPr>
              <w:spacing w:line="220" w:lineRule="atLeast"/>
              <w:jc w:val="center"/>
              <w:rPr>
                <w:rFonts w:asciiTheme="minorEastAsia" w:hAnsiTheme="minorEastAsia"/>
              </w:rPr>
            </w:pPr>
            <w:r>
              <w:rPr>
                <w:rFonts w:hint="eastAsia" w:asciiTheme="minorEastAsia" w:hAnsiTheme="minorEastAsia"/>
              </w:rPr>
              <w:t>20</w:t>
            </w:r>
          </w:p>
        </w:tc>
        <w:tc>
          <w:tcPr>
            <w:tcW w:w="993" w:type="dxa"/>
          </w:tcPr>
          <w:p>
            <w:pPr>
              <w:spacing w:line="220" w:lineRule="atLeast"/>
              <w:jc w:val="center"/>
              <w:rPr>
                <w:rFonts w:asciiTheme="minorEastAsia" w:hAnsiTheme="minorEastAsia"/>
              </w:rPr>
            </w:pPr>
            <w:r>
              <w:rPr>
                <w:rFonts w:hint="eastAsia" w:asciiTheme="minorEastAsia" w:hAnsiTheme="minorEastAsia"/>
              </w:rPr>
              <w:t>1.99</w:t>
            </w:r>
          </w:p>
        </w:tc>
        <w:tc>
          <w:tcPr>
            <w:tcW w:w="992" w:type="dxa"/>
          </w:tcPr>
          <w:p>
            <w:pPr>
              <w:spacing w:line="220" w:lineRule="atLeast"/>
              <w:jc w:val="center"/>
              <w:rPr>
                <w:rFonts w:asciiTheme="minorEastAsia" w:hAnsiTheme="minorEastAsia"/>
              </w:rPr>
            </w:pPr>
            <w:r>
              <w:rPr>
                <w:rFonts w:hint="eastAsia" w:asciiTheme="minorEastAsia" w:hAnsiTheme="minorEastAsia"/>
              </w:rPr>
              <w:t>19</w:t>
            </w:r>
          </w:p>
        </w:tc>
        <w:tc>
          <w:tcPr>
            <w:tcW w:w="1134" w:type="dxa"/>
          </w:tcPr>
          <w:p>
            <w:pPr>
              <w:spacing w:line="220" w:lineRule="atLeast"/>
              <w:jc w:val="center"/>
              <w:rPr>
                <w:rFonts w:asciiTheme="minorEastAsia" w:hAnsiTheme="minorEastAsia"/>
              </w:rPr>
            </w:pPr>
            <w:r>
              <w:rPr>
                <w:rFonts w:hint="eastAsia" w:asciiTheme="minorEastAsia" w:hAnsiTheme="minorEastAsia"/>
              </w:rPr>
              <w:t>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27</w:t>
            </w:r>
          </w:p>
        </w:tc>
        <w:tc>
          <w:tcPr>
            <w:tcW w:w="3196" w:type="dxa"/>
          </w:tcPr>
          <w:p>
            <w:pPr>
              <w:spacing w:line="220" w:lineRule="atLeast"/>
              <w:jc w:val="center"/>
              <w:rPr>
                <w:rFonts w:asciiTheme="minorEastAsia" w:hAnsiTheme="minorEastAsia"/>
              </w:rPr>
            </w:pPr>
            <w:r>
              <w:rPr>
                <w:rFonts w:asciiTheme="minorEastAsia" w:hAnsiTheme="minorEastAsia"/>
              </w:rPr>
              <w:t>山西金融职业学院</w:t>
            </w:r>
          </w:p>
        </w:tc>
        <w:tc>
          <w:tcPr>
            <w:tcW w:w="992" w:type="dxa"/>
          </w:tcPr>
          <w:p>
            <w:pPr>
              <w:spacing w:line="220" w:lineRule="atLeast"/>
              <w:jc w:val="center"/>
              <w:rPr>
                <w:rFonts w:asciiTheme="minorEastAsia" w:hAnsiTheme="minorEastAsia"/>
              </w:rPr>
            </w:pPr>
            <w:r>
              <w:rPr>
                <w:rFonts w:hint="eastAsia" w:asciiTheme="minorEastAsia" w:hAnsiTheme="minorEastAsia"/>
              </w:rPr>
              <w:t>20</w:t>
            </w:r>
          </w:p>
        </w:tc>
        <w:tc>
          <w:tcPr>
            <w:tcW w:w="993" w:type="dxa"/>
          </w:tcPr>
          <w:p>
            <w:pPr>
              <w:spacing w:line="220" w:lineRule="atLeast"/>
              <w:jc w:val="center"/>
              <w:rPr>
                <w:rFonts w:asciiTheme="minorEastAsia" w:hAnsiTheme="minorEastAsia"/>
              </w:rPr>
            </w:pPr>
            <w:r>
              <w:rPr>
                <w:rFonts w:hint="eastAsia" w:asciiTheme="minorEastAsia" w:hAnsiTheme="minorEastAsia"/>
              </w:rPr>
              <w:t>1.99</w:t>
            </w:r>
          </w:p>
        </w:tc>
        <w:tc>
          <w:tcPr>
            <w:tcW w:w="992" w:type="dxa"/>
          </w:tcPr>
          <w:p>
            <w:pPr>
              <w:spacing w:line="220" w:lineRule="atLeast"/>
              <w:jc w:val="center"/>
              <w:rPr>
                <w:rFonts w:asciiTheme="minorEastAsia" w:hAnsiTheme="minorEastAsia"/>
              </w:rPr>
            </w:pPr>
            <w:r>
              <w:rPr>
                <w:rFonts w:hint="eastAsia" w:asciiTheme="minorEastAsia" w:hAnsiTheme="minorEastAsia"/>
              </w:rPr>
              <w:t>18</w:t>
            </w:r>
          </w:p>
        </w:tc>
        <w:tc>
          <w:tcPr>
            <w:tcW w:w="1134" w:type="dxa"/>
          </w:tcPr>
          <w:p>
            <w:pPr>
              <w:spacing w:line="220" w:lineRule="atLeast"/>
              <w:jc w:val="center"/>
              <w:rPr>
                <w:rFonts w:asciiTheme="minorEastAsia" w:hAnsiTheme="minorEastAsia"/>
              </w:rPr>
            </w:pPr>
            <w:r>
              <w:rPr>
                <w:rFonts w:hint="eastAsia" w:asciiTheme="minorEastAsia" w:hAnsiTheme="minorEastAsia"/>
              </w:rPr>
              <w:t>5.54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28</w:t>
            </w:r>
          </w:p>
        </w:tc>
        <w:tc>
          <w:tcPr>
            <w:tcW w:w="3196" w:type="dxa"/>
          </w:tcPr>
          <w:p>
            <w:pPr>
              <w:spacing w:line="220" w:lineRule="atLeast"/>
              <w:jc w:val="center"/>
              <w:rPr>
                <w:rFonts w:asciiTheme="minorEastAsia" w:hAnsiTheme="minorEastAsia"/>
              </w:rPr>
            </w:pPr>
            <w:r>
              <w:rPr>
                <w:rFonts w:asciiTheme="minorEastAsia" w:hAnsiTheme="minorEastAsia"/>
              </w:rPr>
              <w:t>潞安职业技术学院</w:t>
            </w:r>
          </w:p>
        </w:tc>
        <w:tc>
          <w:tcPr>
            <w:tcW w:w="992" w:type="dxa"/>
          </w:tcPr>
          <w:p>
            <w:pPr>
              <w:spacing w:line="220" w:lineRule="atLeast"/>
              <w:jc w:val="center"/>
              <w:rPr>
                <w:rFonts w:asciiTheme="minorEastAsia" w:hAnsiTheme="minorEastAsia"/>
              </w:rPr>
            </w:pPr>
            <w:r>
              <w:rPr>
                <w:rFonts w:hint="eastAsia" w:asciiTheme="minorEastAsia" w:hAnsiTheme="minorEastAsia"/>
              </w:rPr>
              <w:t>20</w:t>
            </w:r>
          </w:p>
        </w:tc>
        <w:tc>
          <w:tcPr>
            <w:tcW w:w="993" w:type="dxa"/>
          </w:tcPr>
          <w:p>
            <w:pPr>
              <w:spacing w:line="220" w:lineRule="atLeast"/>
              <w:jc w:val="center"/>
              <w:rPr>
                <w:rFonts w:asciiTheme="minorEastAsia" w:hAnsiTheme="minorEastAsia"/>
              </w:rPr>
            </w:pPr>
            <w:r>
              <w:rPr>
                <w:rFonts w:hint="eastAsia" w:asciiTheme="minorEastAsia" w:hAnsiTheme="minorEastAsia"/>
              </w:rPr>
              <w:t>1.99</w:t>
            </w:r>
          </w:p>
        </w:tc>
        <w:tc>
          <w:tcPr>
            <w:tcW w:w="992" w:type="dxa"/>
          </w:tcPr>
          <w:p>
            <w:pPr>
              <w:spacing w:line="220" w:lineRule="atLeast"/>
              <w:jc w:val="center"/>
              <w:rPr>
                <w:rFonts w:asciiTheme="minorEastAsia" w:hAnsiTheme="minorEastAsia"/>
              </w:rPr>
            </w:pPr>
            <w:r>
              <w:rPr>
                <w:rFonts w:hint="eastAsia" w:asciiTheme="minorEastAsia" w:hAnsiTheme="minorEastAsia"/>
              </w:rPr>
              <w:t>14</w:t>
            </w:r>
          </w:p>
        </w:tc>
        <w:tc>
          <w:tcPr>
            <w:tcW w:w="1134" w:type="dxa"/>
          </w:tcPr>
          <w:p>
            <w:pPr>
              <w:spacing w:line="220" w:lineRule="atLeast"/>
              <w:jc w:val="center"/>
              <w:rPr>
                <w:rFonts w:asciiTheme="minorEastAsia" w:hAnsiTheme="minorEastAsia"/>
              </w:rPr>
            </w:pPr>
            <w:r>
              <w:rPr>
                <w:rFonts w:hint="eastAsia" w:asciiTheme="minorEastAsia" w:hAnsiTheme="minorEastAsia"/>
              </w:rPr>
              <w:t>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29</w:t>
            </w:r>
          </w:p>
        </w:tc>
        <w:tc>
          <w:tcPr>
            <w:tcW w:w="3196" w:type="dxa"/>
          </w:tcPr>
          <w:p>
            <w:pPr>
              <w:spacing w:line="220" w:lineRule="atLeast"/>
              <w:jc w:val="center"/>
              <w:rPr>
                <w:rFonts w:asciiTheme="minorEastAsia" w:hAnsiTheme="minorEastAsia"/>
              </w:rPr>
            </w:pPr>
            <w:r>
              <w:rPr>
                <w:rFonts w:asciiTheme="minorEastAsia" w:hAnsiTheme="minorEastAsia"/>
              </w:rPr>
              <w:t>临汾职业技术学院</w:t>
            </w:r>
          </w:p>
        </w:tc>
        <w:tc>
          <w:tcPr>
            <w:tcW w:w="992" w:type="dxa"/>
          </w:tcPr>
          <w:p>
            <w:pPr>
              <w:spacing w:line="220" w:lineRule="atLeast"/>
              <w:jc w:val="center"/>
              <w:rPr>
                <w:rFonts w:asciiTheme="minorEastAsia" w:hAnsiTheme="minorEastAsia"/>
              </w:rPr>
            </w:pPr>
            <w:r>
              <w:rPr>
                <w:rFonts w:hint="eastAsia" w:asciiTheme="minorEastAsia" w:hAnsiTheme="minorEastAsia"/>
              </w:rPr>
              <w:t>19</w:t>
            </w:r>
          </w:p>
        </w:tc>
        <w:tc>
          <w:tcPr>
            <w:tcW w:w="993" w:type="dxa"/>
          </w:tcPr>
          <w:p>
            <w:pPr>
              <w:spacing w:line="220" w:lineRule="atLeast"/>
              <w:jc w:val="center"/>
              <w:rPr>
                <w:rFonts w:asciiTheme="minorEastAsia" w:hAnsiTheme="minorEastAsia"/>
              </w:rPr>
            </w:pPr>
            <w:r>
              <w:rPr>
                <w:rFonts w:hint="eastAsia" w:asciiTheme="minorEastAsia" w:hAnsiTheme="minorEastAsia"/>
              </w:rPr>
              <w:t>1.89</w:t>
            </w:r>
          </w:p>
        </w:tc>
        <w:tc>
          <w:tcPr>
            <w:tcW w:w="992" w:type="dxa"/>
          </w:tcPr>
          <w:p>
            <w:pPr>
              <w:spacing w:line="220" w:lineRule="atLeast"/>
              <w:jc w:val="center"/>
              <w:rPr>
                <w:rFonts w:asciiTheme="minorEastAsia" w:hAnsiTheme="minorEastAsia"/>
              </w:rPr>
            </w:pPr>
            <w:r>
              <w:rPr>
                <w:rFonts w:hint="eastAsia" w:asciiTheme="minorEastAsia" w:hAnsiTheme="minorEastAsia"/>
              </w:rPr>
              <w:t>19</w:t>
            </w:r>
          </w:p>
        </w:tc>
        <w:tc>
          <w:tcPr>
            <w:tcW w:w="1134" w:type="dxa"/>
          </w:tcPr>
          <w:p>
            <w:pPr>
              <w:spacing w:line="220" w:lineRule="atLeast"/>
              <w:jc w:val="center"/>
              <w:rPr>
                <w:rFonts w:asciiTheme="minorEastAsia" w:hAnsiTheme="minorEastAsia"/>
              </w:rPr>
            </w:pPr>
            <w:r>
              <w:rPr>
                <w:rFonts w:hint="eastAsia" w:asciiTheme="minorEastAsia" w:hAnsiTheme="minorEastAsia"/>
              </w:rPr>
              <w:t>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30</w:t>
            </w:r>
          </w:p>
        </w:tc>
        <w:tc>
          <w:tcPr>
            <w:tcW w:w="3196" w:type="dxa"/>
          </w:tcPr>
          <w:p>
            <w:pPr>
              <w:spacing w:line="220" w:lineRule="atLeast"/>
              <w:jc w:val="center"/>
              <w:rPr>
                <w:rFonts w:asciiTheme="minorEastAsia" w:hAnsiTheme="minorEastAsia"/>
              </w:rPr>
            </w:pPr>
            <w:r>
              <w:rPr>
                <w:rFonts w:asciiTheme="minorEastAsia" w:hAnsiTheme="minorEastAsia"/>
              </w:rPr>
              <w:t>山西管理职业学院</w:t>
            </w:r>
          </w:p>
        </w:tc>
        <w:tc>
          <w:tcPr>
            <w:tcW w:w="992" w:type="dxa"/>
          </w:tcPr>
          <w:p>
            <w:pPr>
              <w:spacing w:line="220" w:lineRule="atLeast"/>
              <w:jc w:val="center"/>
              <w:rPr>
                <w:rFonts w:asciiTheme="minorEastAsia" w:hAnsiTheme="minorEastAsia"/>
              </w:rPr>
            </w:pPr>
            <w:r>
              <w:rPr>
                <w:rFonts w:hint="eastAsia" w:asciiTheme="minorEastAsia" w:hAnsiTheme="minorEastAsia"/>
              </w:rPr>
              <w:t>19</w:t>
            </w:r>
          </w:p>
        </w:tc>
        <w:tc>
          <w:tcPr>
            <w:tcW w:w="993" w:type="dxa"/>
          </w:tcPr>
          <w:p>
            <w:pPr>
              <w:spacing w:line="220" w:lineRule="atLeast"/>
              <w:jc w:val="center"/>
              <w:rPr>
                <w:rFonts w:asciiTheme="minorEastAsia" w:hAnsiTheme="minorEastAsia"/>
              </w:rPr>
            </w:pPr>
            <w:r>
              <w:rPr>
                <w:rFonts w:hint="eastAsia" w:asciiTheme="minorEastAsia" w:hAnsiTheme="minorEastAsia"/>
              </w:rPr>
              <w:t>1.89</w:t>
            </w:r>
          </w:p>
        </w:tc>
        <w:tc>
          <w:tcPr>
            <w:tcW w:w="992" w:type="dxa"/>
          </w:tcPr>
          <w:p>
            <w:pPr>
              <w:spacing w:line="220" w:lineRule="atLeast"/>
              <w:jc w:val="center"/>
              <w:rPr>
                <w:rFonts w:asciiTheme="minorEastAsia" w:hAnsiTheme="minorEastAsia"/>
              </w:rPr>
            </w:pPr>
            <w:r>
              <w:rPr>
                <w:rFonts w:hint="eastAsia" w:asciiTheme="minorEastAsia" w:hAnsiTheme="minorEastAsia"/>
              </w:rPr>
              <w:t>19</w:t>
            </w:r>
          </w:p>
        </w:tc>
        <w:tc>
          <w:tcPr>
            <w:tcW w:w="1134" w:type="dxa"/>
          </w:tcPr>
          <w:p>
            <w:pPr>
              <w:spacing w:line="220" w:lineRule="atLeast"/>
              <w:jc w:val="center"/>
              <w:rPr>
                <w:rFonts w:asciiTheme="minorEastAsia" w:hAnsiTheme="minorEastAsia"/>
              </w:rPr>
            </w:pPr>
            <w:r>
              <w:rPr>
                <w:rFonts w:hint="eastAsia" w:asciiTheme="minorEastAsia" w:hAnsiTheme="minorEastAsia"/>
              </w:rPr>
              <w:t>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31</w:t>
            </w:r>
          </w:p>
        </w:tc>
        <w:tc>
          <w:tcPr>
            <w:tcW w:w="3196" w:type="dxa"/>
          </w:tcPr>
          <w:p>
            <w:pPr>
              <w:spacing w:line="220" w:lineRule="atLeast"/>
              <w:jc w:val="center"/>
              <w:rPr>
                <w:rFonts w:asciiTheme="minorEastAsia" w:hAnsiTheme="minorEastAsia"/>
              </w:rPr>
            </w:pPr>
            <w:r>
              <w:rPr>
                <w:rFonts w:asciiTheme="minorEastAsia" w:hAnsiTheme="minorEastAsia"/>
              </w:rPr>
              <w:t>朔州师范高等</w:t>
            </w:r>
            <w:r>
              <w:rPr>
                <w:rFonts w:hint="eastAsia" w:asciiTheme="minorEastAsia" w:hAnsiTheme="minorEastAsia"/>
              </w:rPr>
              <w:t>专科</w:t>
            </w:r>
            <w:r>
              <w:rPr>
                <w:rFonts w:asciiTheme="minorEastAsia" w:hAnsiTheme="minorEastAsia"/>
              </w:rPr>
              <w:t>学校</w:t>
            </w:r>
          </w:p>
        </w:tc>
        <w:tc>
          <w:tcPr>
            <w:tcW w:w="992" w:type="dxa"/>
          </w:tcPr>
          <w:p>
            <w:pPr>
              <w:spacing w:line="220" w:lineRule="atLeast"/>
              <w:jc w:val="center"/>
              <w:rPr>
                <w:rFonts w:asciiTheme="minorEastAsia" w:hAnsiTheme="minorEastAsia"/>
              </w:rPr>
            </w:pPr>
            <w:r>
              <w:rPr>
                <w:rFonts w:hint="eastAsia" w:asciiTheme="minorEastAsia" w:hAnsiTheme="minorEastAsia"/>
              </w:rPr>
              <w:t>18</w:t>
            </w:r>
          </w:p>
        </w:tc>
        <w:tc>
          <w:tcPr>
            <w:tcW w:w="993" w:type="dxa"/>
          </w:tcPr>
          <w:p>
            <w:pPr>
              <w:spacing w:line="220" w:lineRule="atLeast"/>
              <w:jc w:val="center"/>
              <w:rPr>
                <w:rFonts w:asciiTheme="minorEastAsia" w:hAnsiTheme="minorEastAsia"/>
              </w:rPr>
            </w:pPr>
            <w:r>
              <w:rPr>
                <w:rFonts w:hint="eastAsia" w:asciiTheme="minorEastAsia" w:hAnsiTheme="minorEastAsia"/>
              </w:rPr>
              <w:t>1.79</w:t>
            </w:r>
          </w:p>
        </w:tc>
        <w:tc>
          <w:tcPr>
            <w:tcW w:w="992" w:type="dxa"/>
          </w:tcPr>
          <w:p>
            <w:pPr>
              <w:spacing w:line="220" w:lineRule="atLeast"/>
              <w:jc w:val="center"/>
              <w:rPr>
                <w:rFonts w:asciiTheme="minorEastAsia" w:hAnsiTheme="minorEastAsia"/>
              </w:rPr>
            </w:pPr>
            <w:r>
              <w:rPr>
                <w:rFonts w:hint="eastAsia" w:asciiTheme="minorEastAsia" w:hAnsiTheme="minorEastAsia"/>
              </w:rPr>
              <w:t>17</w:t>
            </w:r>
          </w:p>
        </w:tc>
        <w:tc>
          <w:tcPr>
            <w:tcW w:w="1134" w:type="dxa"/>
          </w:tcPr>
          <w:p>
            <w:pPr>
              <w:spacing w:line="220" w:lineRule="atLeast"/>
              <w:jc w:val="center"/>
              <w:rPr>
                <w:rFonts w:asciiTheme="minorEastAsia" w:hAnsiTheme="minorEastAsia"/>
              </w:rPr>
            </w:pPr>
            <w:r>
              <w:rPr>
                <w:rFonts w:hint="eastAsia" w:asciiTheme="minorEastAsia" w:hAnsiTheme="minorEastAsia"/>
              </w:rPr>
              <w:t>5.23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32</w:t>
            </w:r>
          </w:p>
        </w:tc>
        <w:tc>
          <w:tcPr>
            <w:tcW w:w="3196" w:type="dxa"/>
          </w:tcPr>
          <w:p>
            <w:pPr>
              <w:spacing w:line="220" w:lineRule="atLeast"/>
              <w:jc w:val="center"/>
              <w:rPr>
                <w:rFonts w:asciiTheme="minorEastAsia" w:hAnsiTheme="minorEastAsia"/>
              </w:rPr>
            </w:pPr>
            <w:r>
              <w:rPr>
                <w:rFonts w:asciiTheme="minorEastAsia" w:hAnsiTheme="minorEastAsia"/>
              </w:rPr>
              <w:t>山西国际商务职业学院</w:t>
            </w:r>
          </w:p>
        </w:tc>
        <w:tc>
          <w:tcPr>
            <w:tcW w:w="992" w:type="dxa"/>
          </w:tcPr>
          <w:p>
            <w:pPr>
              <w:spacing w:line="220" w:lineRule="atLeast"/>
              <w:jc w:val="center"/>
              <w:rPr>
                <w:rFonts w:asciiTheme="minorEastAsia" w:hAnsiTheme="minorEastAsia"/>
              </w:rPr>
            </w:pPr>
            <w:r>
              <w:rPr>
                <w:rFonts w:hint="eastAsia" w:asciiTheme="minorEastAsia" w:hAnsiTheme="minorEastAsia"/>
              </w:rPr>
              <w:t>18</w:t>
            </w:r>
          </w:p>
        </w:tc>
        <w:tc>
          <w:tcPr>
            <w:tcW w:w="993" w:type="dxa"/>
          </w:tcPr>
          <w:p>
            <w:pPr>
              <w:spacing w:line="220" w:lineRule="atLeast"/>
              <w:jc w:val="center"/>
              <w:rPr>
                <w:rFonts w:asciiTheme="minorEastAsia" w:hAnsiTheme="minorEastAsia"/>
              </w:rPr>
            </w:pPr>
            <w:r>
              <w:rPr>
                <w:rFonts w:hint="eastAsia" w:asciiTheme="minorEastAsia" w:hAnsiTheme="minorEastAsia"/>
              </w:rPr>
              <w:t>1.79</w:t>
            </w:r>
          </w:p>
        </w:tc>
        <w:tc>
          <w:tcPr>
            <w:tcW w:w="992" w:type="dxa"/>
          </w:tcPr>
          <w:p>
            <w:pPr>
              <w:spacing w:line="220" w:lineRule="atLeast"/>
              <w:jc w:val="center"/>
              <w:rPr>
                <w:rFonts w:asciiTheme="minorEastAsia" w:hAnsiTheme="minorEastAsia"/>
              </w:rPr>
            </w:pPr>
            <w:r>
              <w:rPr>
                <w:rFonts w:hint="eastAsia" w:asciiTheme="minorEastAsia" w:hAnsiTheme="minorEastAsia"/>
              </w:rPr>
              <w:t>17</w:t>
            </w:r>
          </w:p>
        </w:tc>
        <w:tc>
          <w:tcPr>
            <w:tcW w:w="1134" w:type="dxa"/>
          </w:tcPr>
          <w:p>
            <w:pPr>
              <w:spacing w:line="220" w:lineRule="atLeast"/>
              <w:jc w:val="center"/>
              <w:rPr>
                <w:rFonts w:asciiTheme="minorEastAsia" w:hAnsiTheme="minorEastAsia"/>
              </w:rPr>
            </w:pPr>
            <w:r>
              <w:rPr>
                <w:rFonts w:hint="eastAsia" w:asciiTheme="minorEastAsia" w:hAnsiTheme="minorEastAsia"/>
              </w:rPr>
              <w:t>5.23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33</w:t>
            </w:r>
          </w:p>
        </w:tc>
        <w:tc>
          <w:tcPr>
            <w:tcW w:w="3196" w:type="dxa"/>
          </w:tcPr>
          <w:p>
            <w:pPr>
              <w:spacing w:line="220" w:lineRule="atLeast"/>
              <w:jc w:val="center"/>
              <w:rPr>
                <w:rFonts w:asciiTheme="minorEastAsia" w:hAnsiTheme="minorEastAsia"/>
              </w:rPr>
            </w:pPr>
            <w:r>
              <w:rPr>
                <w:rFonts w:asciiTheme="minorEastAsia" w:hAnsiTheme="minorEastAsia"/>
              </w:rPr>
              <w:t>山西财贸职业技术学院</w:t>
            </w:r>
          </w:p>
        </w:tc>
        <w:tc>
          <w:tcPr>
            <w:tcW w:w="992" w:type="dxa"/>
          </w:tcPr>
          <w:p>
            <w:pPr>
              <w:spacing w:line="220" w:lineRule="atLeast"/>
              <w:jc w:val="center"/>
              <w:rPr>
                <w:rFonts w:asciiTheme="minorEastAsia" w:hAnsiTheme="minorEastAsia"/>
              </w:rPr>
            </w:pPr>
            <w:r>
              <w:rPr>
                <w:rFonts w:hint="eastAsia" w:asciiTheme="minorEastAsia" w:hAnsiTheme="minorEastAsia"/>
              </w:rPr>
              <w:t>17</w:t>
            </w:r>
          </w:p>
        </w:tc>
        <w:tc>
          <w:tcPr>
            <w:tcW w:w="993" w:type="dxa"/>
          </w:tcPr>
          <w:p>
            <w:pPr>
              <w:spacing w:line="220" w:lineRule="atLeast"/>
              <w:jc w:val="center"/>
              <w:rPr>
                <w:rFonts w:asciiTheme="minorEastAsia" w:hAnsiTheme="minorEastAsia"/>
              </w:rPr>
            </w:pPr>
            <w:r>
              <w:rPr>
                <w:rFonts w:hint="eastAsia" w:asciiTheme="minorEastAsia" w:hAnsiTheme="minorEastAsia"/>
              </w:rPr>
              <w:t>1.69</w:t>
            </w:r>
          </w:p>
        </w:tc>
        <w:tc>
          <w:tcPr>
            <w:tcW w:w="992" w:type="dxa"/>
          </w:tcPr>
          <w:p>
            <w:pPr>
              <w:spacing w:line="220" w:lineRule="atLeast"/>
              <w:jc w:val="center"/>
              <w:rPr>
                <w:rFonts w:asciiTheme="minorEastAsia" w:hAnsiTheme="minorEastAsia"/>
              </w:rPr>
            </w:pPr>
            <w:r>
              <w:rPr>
                <w:rFonts w:hint="eastAsia" w:asciiTheme="minorEastAsia" w:hAnsiTheme="minorEastAsia"/>
              </w:rPr>
              <w:t>17</w:t>
            </w:r>
          </w:p>
        </w:tc>
        <w:tc>
          <w:tcPr>
            <w:tcW w:w="1134" w:type="dxa"/>
          </w:tcPr>
          <w:p>
            <w:pPr>
              <w:spacing w:line="220" w:lineRule="atLeast"/>
              <w:jc w:val="center"/>
              <w:rPr>
                <w:rFonts w:asciiTheme="minorEastAsia" w:hAnsiTheme="minorEastAsia"/>
              </w:rPr>
            </w:pPr>
            <w:r>
              <w:rPr>
                <w:rFonts w:hint="eastAsia" w:asciiTheme="minorEastAsia" w:hAnsiTheme="minorEastAsia"/>
              </w:rPr>
              <w:t>5.23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34</w:t>
            </w:r>
          </w:p>
        </w:tc>
        <w:tc>
          <w:tcPr>
            <w:tcW w:w="3196" w:type="dxa"/>
          </w:tcPr>
          <w:p>
            <w:pPr>
              <w:spacing w:line="220" w:lineRule="atLeast"/>
              <w:jc w:val="center"/>
              <w:rPr>
                <w:rFonts w:asciiTheme="minorEastAsia" w:hAnsiTheme="minorEastAsia"/>
              </w:rPr>
            </w:pPr>
            <w:r>
              <w:rPr>
                <w:rFonts w:asciiTheme="minorEastAsia" w:hAnsiTheme="minorEastAsia"/>
              </w:rPr>
              <w:t>山西戏曲职业学院</w:t>
            </w:r>
          </w:p>
        </w:tc>
        <w:tc>
          <w:tcPr>
            <w:tcW w:w="992" w:type="dxa"/>
          </w:tcPr>
          <w:p>
            <w:pPr>
              <w:spacing w:line="220" w:lineRule="atLeast"/>
              <w:jc w:val="center"/>
              <w:rPr>
                <w:rFonts w:asciiTheme="minorEastAsia" w:hAnsiTheme="minorEastAsia"/>
              </w:rPr>
            </w:pPr>
            <w:r>
              <w:rPr>
                <w:rFonts w:hint="eastAsia" w:asciiTheme="minorEastAsia" w:hAnsiTheme="minorEastAsia"/>
              </w:rPr>
              <w:t>17</w:t>
            </w:r>
          </w:p>
        </w:tc>
        <w:tc>
          <w:tcPr>
            <w:tcW w:w="993" w:type="dxa"/>
          </w:tcPr>
          <w:p>
            <w:pPr>
              <w:spacing w:line="220" w:lineRule="atLeast"/>
              <w:jc w:val="center"/>
              <w:rPr>
                <w:rFonts w:asciiTheme="minorEastAsia" w:hAnsiTheme="minorEastAsia"/>
              </w:rPr>
            </w:pPr>
            <w:r>
              <w:rPr>
                <w:rFonts w:hint="eastAsia" w:asciiTheme="minorEastAsia" w:hAnsiTheme="minorEastAsia"/>
              </w:rPr>
              <w:t>1.69</w:t>
            </w:r>
          </w:p>
        </w:tc>
        <w:tc>
          <w:tcPr>
            <w:tcW w:w="992" w:type="dxa"/>
          </w:tcPr>
          <w:p>
            <w:pPr>
              <w:spacing w:line="220" w:lineRule="atLeast"/>
              <w:jc w:val="center"/>
              <w:rPr>
                <w:rFonts w:asciiTheme="minorEastAsia" w:hAnsiTheme="minorEastAsia"/>
              </w:rPr>
            </w:pPr>
            <w:r>
              <w:rPr>
                <w:rFonts w:hint="eastAsia" w:asciiTheme="minorEastAsia" w:hAnsiTheme="minorEastAsia"/>
              </w:rPr>
              <w:t>15</w:t>
            </w:r>
          </w:p>
        </w:tc>
        <w:tc>
          <w:tcPr>
            <w:tcW w:w="1134" w:type="dxa"/>
          </w:tcPr>
          <w:p>
            <w:pPr>
              <w:spacing w:line="220" w:lineRule="atLeast"/>
              <w:jc w:val="center"/>
              <w:rPr>
                <w:rFonts w:asciiTheme="minorEastAsia" w:hAnsiTheme="minorEastAsia"/>
              </w:rPr>
            </w:pPr>
            <w:r>
              <w:rPr>
                <w:rFonts w:hint="eastAsia" w:asciiTheme="minorEastAsia" w:hAnsiTheme="minorEastAsia"/>
              </w:rPr>
              <w:t>4.62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35</w:t>
            </w:r>
          </w:p>
        </w:tc>
        <w:tc>
          <w:tcPr>
            <w:tcW w:w="3196" w:type="dxa"/>
          </w:tcPr>
          <w:p>
            <w:pPr>
              <w:spacing w:line="220" w:lineRule="atLeast"/>
              <w:jc w:val="center"/>
              <w:rPr>
                <w:rFonts w:asciiTheme="minorEastAsia" w:hAnsiTheme="minorEastAsia"/>
              </w:rPr>
            </w:pPr>
            <w:r>
              <w:rPr>
                <w:rFonts w:asciiTheme="minorEastAsia" w:hAnsiTheme="minorEastAsia"/>
              </w:rPr>
              <w:t>山西运城农业职业技术学院</w:t>
            </w:r>
          </w:p>
        </w:tc>
        <w:tc>
          <w:tcPr>
            <w:tcW w:w="992" w:type="dxa"/>
          </w:tcPr>
          <w:p>
            <w:pPr>
              <w:spacing w:line="220" w:lineRule="atLeast"/>
              <w:jc w:val="center"/>
              <w:rPr>
                <w:rFonts w:asciiTheme="minorEastAsia" w:hAnsiTheme="minorEastAsia"/>
              </w:rPr>
            </w:pPr>
            <w:r>
              <w:rPr>
                <w:rFonts w:hint="eastAsia" w:asciiTheme="minorEastAsia" w:hAnsiTheme="minorEastAsia"/>
              </w:rPr>
              <w:t>16</w:t>
            </w:r>
          </w:p>
        </w:tc>
        <w:tc>
          <w:tcPr>
            <w:tcW w:w="993" w:type="dxa"/>
          </w:tcPr>
          <w:p>
            <w:pPr>
              <w:spacing w:line="220" w:lineRule="atLeast"/>
              <w:jc w:val="center"/>
              <w:rPr>
                <w:rFonts w:asciiTheme="minorEastAsia" w:hAnsiTheme="minorEastAsia"/>
              </w:rPr>
            </w:pPr>
            <w:r>
              <w:rPr>
                <w:rFonts w:hint="eastAsia" w:asciiTheme="minorEastAsia" w:hAnsiTheme="minorEastAsia"/>
              </w:rPr>
              <w:t>1.59</w:t>
            </w:r>
          </w:p>
        </w:tc>
        <w:tc>
          <w:tcPr>
            <w:tcW w:w="992" w:type="dxa"/>
          </w:tcPr>
          <w:p>
            <w:pPr>
              <w:spacing w:line="220" w:lineRule="atLeast"/>
              <w:jc w:val="center"/>
              <w:rPr>
                <w:rFonts w:asciiTheme="minorEastAsia" w:hAnsiTheme="minorEastAsia"/>
              </w:rPr>
            </w:pPr>
            <w:r>
              <w:rPr>
                <w:rFonts w:hint="eastAsia" w:asciiTheme="minorEastAsia" w:hAnsiTheme="minorEastAsia"/>
              </w:rPr>
              <w:t>15</w:t>
            </w:r>
          </w:p>
        </w:tc>
        <w:tc>
          <w:tcPr>
            <w:tcW w:w="1134" w:type="dxa"/>
          </w:tcPr>
          <w:p>
            <w:pPr>
              <w:spacing w:line="220" w:lineRule="atLeast"/>
              <w:jc w:val="center"/>
              <w:rPr>
                <w:rFonts w:asciiTheme="minorEastAsia" w:hAnsiTheme="minorEastAsia"/>
              </w:rPr>
            </w:pPr>
            <w:r>
              <w:rPr>
                <w:rFonts w:hint="eastAsia" w:asciiTheme="minorEastAsia" w:hAnsiTheme="minorEastAsia"/>
              </w:rPr>
              <w:t>4.62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36</w:t>
            </w:r>
          </w:p>
        </w:tc>
        <w:tc>
          <w:tcPr>
            <w:tcW w:w="3196" w:type="dxa"/>
          </w:tcPr>
          <w:p>
            <w:pPr>
              <w:spacing w:line="220" w:lineRule="atLeast"/>
              <w:jc w:val="center"/>
              <w:rPr>
                <w:rFonts w:asciiTheme="minorEastAsia" w:hAnsiTheme="minorEastAsia"/>
              </w:rPr>
            </w:pPr>
            <w:r>
              <w:rPr>
                <w:rFonts w:asciiTheme="minorEastAsia" w:hAnsiTheme="minorEastAsia"/>
              </w:rPr>
              <w:t>晋中师范高等专科学校</w:t>
            </w:r>
          </w:p>
        </w:tc>
        <w:tc>
          <w:tcPr>
            <w:tcW w:w="992" w:type="dxa"/>
          </w:tcPr>
          <w:p>
            <w:pPr>
              <w:spacing w:line="220" w:lineRule="atLeast"/>
              <w:jc w:val="center"/>
              <w:rPr>
                <w:rFonts w:asciiTheme="minorEastAsia" w:hAnsiTheme="minorEastAsia"/>
              </w:rPr>
            </w:pPr>
            <w:r>
              <w:rPr>
                <w:rFonts w:hint="eastAsia" w:asciiTheme="minorEastAsia" w:hAnsiTheme="minorEastAsia"/>
              </w:rPr>
              <w:t>16</w:t>
            </w:r>
          </w:p>
        </w:tc>
        <w:tc>
          <w:tcPr>
            <w:tcW w:w="993" w:type="dxa"/>
          </w:tcPr>
          <w:p>
            <w:pPr>
              <w:spacing w:line="220" w:lineRule="atLeast"/>
              <w:jc w:val="center"/>
              <w:rPr>
                <w:rFonts w:asciiTheme="minorEastAsia" w:hAnsiTheme="minorEastAsia"/>
              </w:rPr>
            </w:pPr>
            <w:r>
              <w:rPr>
                <w:rFonts w:hint="eastAsia" w:asciiTheme="minorEastAsia" w:hAnsiTheme="minorEastAsia"/>
              </w:rPr>
              <w:t>1.59</w:t>
            </w:r>
          </w:p>
        </w:tc>
        <w:tc>
          <w:tcPr>
            <w:tcW w:w="992" w:type="dxa"/>
          </w:tcPr>
          <w:p>
            <w:pPr>
              <w:spacing w:line="220" w:lineRule="atLeast"/>
              <w:jc w:val="center"/>
              <w:rPr>
                <w:rFonts w:asciiTheme="minorEastAsia" w:hAnsiTheme="minorEastAsia"/>
              </w:rPr>
            </w:pPr>
            <w:r>
              <w:rPr>
                <w:rFonts w:hint="eastAsia" w:asciiTheme="minorEastAsia" w:hAnsiTheme="minorEastAsia"/>
              </w:rPr>
              <w:t>14</w:t>
            </w:r>
          </w:p>
        </w:tc>
        <w:tc>
          <w:tcPr>
            <w:tcW w:w="1134" w:type="dxa"/>
          </w:tcPr>
          <w:p>
            <w:pPr>
              <w:spacing w:line="220" w:lineRule="atLeast"/>
              <w:jc w:val="center"/>
              <w:rPr>
                <w:rFonts w:asciiTheme="minorEastAsia" w:hAnsiTheme="minorEastAsia"/>
              </w:rPr>
            </w:pPr>
            <w:r>
              <w:rPr>
                <w:rFonts w:hint="eastAsia" w:asciiTheme="minorEastAsia" w:hAnsiTheme="minorEastAsia"/>
              </w:rPr>
              <w:t>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37</w:t>
            </w:r>
          </w:p>
        </w:tc>
        <w:tc>
          <w:tcPr>
            <w:tcW w:w="3196" w:type="dxa"/>
          </w:tcPr>
          <w:p>
            <w:pPr>
              <w:spacing w:line="220" w:lineRule="atLeast"/>
              <w:jc w:val="center"/>
              <w:rPr>
                <w:rFonts w:asciiTheme="minorEastAsia" w:hAnsiTheme="minorEastAsia"/>
              </w:rPr>
            </w:pPr>
            <w:r>
              <w:rPr>
                <w:rFonts w:asciiTheme="minorEastAsia" w:hAnsiTheme="minorEastAsia"/>
              </w:rPr>
              <w:t>山西华澳商贸职业学院</w:t>
            </w:r>
          </w:p>
        </w:tc>
        <w:tc>
          <w:tcPr>
            <w:tcW w:w="992" w:type="dxa"/>
          </w:tcPr>
          <w:p>
            <w:pPr>
              <w:spacing w:line="220" w:lineRule="atLeast"/>
              <w:jc w:val="center"/>
              <w:rPr>
                <w:rFonts w:asciiTheme="minorEastAsia" w:hAnsiTheme="minorEastAsia"/>
              </w:rPr>
            </w:pPr>
            <w:r>
              <w:rPr>
                <w:rFonts w:hint="eastAsia" w:asciiTheme="minorEastAsia" w:hAnsiTheme="minorEastAsia"/>
              </w:rPr>
              <w:t>15</w:t>
            </w:r>
          </w:p>
        </w:tc>
        <w:tc>
          <w:tcPr>
            <w:tcW w:w="993" w:type="dxa"/>
          </w:tcPr>
          <w:p>
            <w:pPr>
              <w:spacing w:line="220" w:lineRule="atLeast"/>
              <w:jc w:val="center"/>
              <w:rPr>
                <w:rFonts w:asciiTheme="minorEastAsia" w:hAnsiTheme="minorEastAsia"/>
              </w:rPr>
            </w:pPr>
            <w:r>
              <w:rPr>
                <w:rFonts w:hint="eastAsia" w:asciiTheme="minorEastAsia" w:hAnsiTheme="minorEastAsia"/>
              </w:rPr>
              <w:t>1.49</w:t>
            </w:r>
          </w:p>
        </w:tc>
        <w:tc>
          <w:tcPr>
            <w:tcW w:w="992" w:type="dxa"/>
          </w:tcPr>
          <w:p>
            <w:pPr>
              <w:spacing w:line="220" w:lineRule="atLeast"/>
              <w:jc w:val="center"/>
              <w:rPr>
                <w:rFonts w:asciiTheme="minorEastAsia" w:hAnsiTheme="minorEastAsia"/>
              </w:rPr>
            </w:pPr>
            <w:r>
              <w:rPr>
                <w:rFonts w:hint="eastAsia" w:asciiTheme="minorEastAsia" w:hAnsiTheme="minorEastAsia"/>
              </w:rPr>
              <w:t>15</w:t>
            </w:r>
          </w:p>
        </w:tc>
        <w:tc>
          <w:tcPr>
            <w:tcW w:w="1134" w:type="dxa"/>
          </w:tcPr>
          <w:p>
            <w:pPr>
              <w:spacing w:line="220" w:lineRule="atLeast"/>
              <w:jc w:val="center"/>
              <w:rPr>
                <w:rFonts w:asciiTheme="minorEastAsia" w:hAnsiTheme="minorEastAsia"/>
              </w:rPr>
            </w:pPr>
            <w:r>
              <w:rPr>
                <w:rFonts w:hint="eastAsia" w:asciiTheme="minorEastAsia" w:hAnsiTheme="minorEastAsia"/>
              </w:rPr>
              <w:t>4.62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38</w:t>
            </w:r>
          </w:p>
        </w:tc>
        <w:tc>
          <w:tcPr>
            <w:tcW w:w="3196" w:type="dxa"/>
          </w:tcPr>
          <w:p>
            <w:pPr>
              <w:spacing w:line="220" w:lineRule="atLeast"/>
              <w:jc w:val="center"/>
              <w:rPr>
                <w:rFonts w:asciiTheme="minorEastAsia" w:hAnsiTheme="minorEastAsia"/>
              </w:rPr>
            </w:pPr>
            <w:r>
              <w:rPr>
                <w:rFonts w:asciiTheme="minorEastAsia" w:hAnsiTheme="minorEastAsia"/>
              </w:rPr>
              <w:t>山西艺术职业学院</w:t>
            </w:r>
          </w:p>
        </w:tc>
        <w:tc>
          <w:tcPr>
            <w:tcW w:w="992" w:type="dxa"/>
          </w:tcPr>
          <w:p>
            <w:pPr>
              <w:spacing w:line="220" w:lineRule="atLeast"/>
              <w:jc w:val="center"/>
              <w:rPr>
                <w:rFonts w:asciiTheme="minorEastAsia" w:hAnsiTheme="minorEastAsia"/>
              </w:rPr>
            </w:pPr>
            <w:r>
              <w:rPr>
                <w:rFonts w:hint="eastAsia" w:asciiTheme="minorEastAsia" w:hAnsiTheme="minorEastAsia"/>
              </w:rPr>
              <w:t>13</w:t>
            </w:r>
          </w:p>
        </w:tc>
        <w:tc>
          <w:tcPr>
            <w:tcW w:w="993" w:type="dxa"/>
          </w:tcPr>
          <w:p>
            <w:pPr>
              <w:spacing w:line="220" w:lineRule="atLeast"/>
              <w:jc w:val="center"/>
              <w:rPr>
                <w:rFonts w:asciiTheme="minorEastAsia" w:hAnsiTheme="minorEastAsia"/>
              </w:rPr>
            </w:pPr>
            <w:r>
              <w:rPr>
                <w:rFonts w:hint="eastAsia" w:asciiTheme="minorEastAsia" w:hAnsiTheme="minorEastAsia"/>
              </w:rPr>
              <w:t>1.29</w:t>
            </w:r>
          </w:p>
        </w:tc>
        <w:tc>
          <w:tcPr>
            <w:tcW w:w="992" w:type="dxa"/>
          </w:tcPr>
          <w:p>
            <w:pPr>
              <w:spacing w:line="220" w:lineRule="atLeast"/>
              <w:jc w:val="center"/>
              <w:rPr>
                <w:rFonts w:asciiTheme="minorEastAsia" w:hAnsiTheme="minorEastAsia"/>
              </w:rPr>
            </w:pPr>
            <w:r>
              <w:rPr>
                <w:rFonts w:hint="eastAsia" w:asciiTheme="minorEastAsia" w:hAnsiTheme="minorEastAsia"/>
              </w:rPr>
              <w:t>13</w:t>
            </w:r>
          </w:p>
        </w:tc>
        <w:tc>
          <w:tcPr>
            <w:tcW w:w="1134" w:type="dxa"/>
          </w:tcPr>
          <w:p>
            <w:pPr>
              <w:spacing w:line="220" w:lineRule="atLeast"/>
              <w:jc w:val="center"/>
              <w:rPr>
                <w:rFonts w:asciiTheme="minorEastAsia" w:hAnsiTheme="minorEastAsia"/>
              </w:rPr>
            </w:pPr>
            <w:r>
              <w:rPr>
                <w:rFonts w:hint="eastAsia" w:asciiTheme="minorEastAsia" w:hAnsiTheme="minorEastAsia"/>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39</w:t>
            </w:r>
          </w:p>
        </w:tc>
        <w:tc>
          <w:tcPr>
            <w:tcW w:w="3196" w:type="dxa"/>
          </w:tcPr>
          <w:p>
            <w:pPr>
              <w:spacing w:line="220" w:lineRule="atLeast"/>
              <w:jc w:val="center"/>
              <w:rPr>
                <w:rFonts w:asciiTheme="minorEastAsia" w:hAnsiTheme="minorEastAsia"/>
              </w:rPr>
            </w:pPr>
            <w:r>
              <w:rPr>
                <w:rFonts w:hint="eastAsia" w:asciiTheme="minorEastAsia" w:hAnsiTheme="minorEastAsia"/>
              </w:rPr>
              <w:t>山</w:t>
            </w:r>
            <w:r>
              <w:rPr>
                <w:rFonts w:asciiTheme="minorEastAsia" w:hAnsiTheme="minorEastAsia"/>
              </w:rPr>
              <w:t>西警官高等专科学校</w:t>
            </w:r>
          </w:p>
        </w:tc>
        <w:tc>
          <w:tcPr>
            <w:tcW w:w="992" w:type="dxa"/>
          </w:tcPr>
          <w:p>
            <w:pPr>
              <w:spacing w:line="220" w:lineRule="atLeast"/>
              <w:jc w:val="center"/>
              <w:rPr>
                <w:rFonts w:asciiTheme="minorEastAsia" w:hAnsiTheme="minorEastAsia"/>
              </w:rPr>
            </w:pPr>
            <w:r>
              <w:rPr>
                <w:rFonts w:hint="eastAsia" w:asciiTheme="minorEastAsia" w:hAnsiTheme="minorEastAsia"/>
              </w:rPr>
              <w:t>12</w:t>
            </w:r>
          </w:p>
        </w:tc>
        <w:tc>
          <w:tcPr>
            <w:tcW w:w="993" w:type="dxa"/>
          </w:tcPr>
          <w:p>
            <w:pPr>
              <w:spacing w:line="220" w:lineRule="atLeast"/>
              <w:jc w:val="center"/>
              <w:rPr>
                <w:rFonts w:asciiTheme="minorEastAsia" w:hAnsiTheme="minorEastAsia"/>
              </w:rPr>
            </w:pPr>
            <w:r>
              <w:rPr>
                <w:rFonts w:hint="eastAsia" w:asciiTheme="minorEastAsia" w:hAnsiTheme="minorEastAsia"/>
              </w:rPr>
              <w:t>1.20</w:t>
            </w:r>
          </w:p>
        </w:tc>
        <w:tc>
          <w:tcPr>
            <w:tcW w:w="992" w:type="dxa"/>
          </w:tcPr>
          <w:p>
            <w:pPr>
              <w:spacing w:line="220" w:lineRule="atLeast"/>
              <w:jc w:val="center"/>
              <w:rPr>
                <w:rFonts w:asciiTheme="minorEastAsia" w:hAnsiTheme="minorEastAsia"/>
              </w:rPr>
            </w:pPr>
            <w:r>
              <w:rPr>
                <w:rFonts w:hint="eastAsia" w:asciiTheme="minorEastAsia" w:hAnsiTheme="minorEastAsia"/>
              </w:rPr>
              <w:t>11</w:t>
            </w:r>
          </w:p>
        </w:tc>
        <w:tc>
          <w:tcPr>
            <w:tcW w:w="1134" w:type="dxa"/>
          </w:tcPr>
          <w:p>
            <w:pPr>
              <w:spacing w:line="220" w:lineRule="atLeast"/>
              <w:jc w:val="center"/>
              <w:rPr>
                <w:rFonts w:asciiTheme="minorEastAsia" w:hAnsiTheme="minorEastAsia"/>
              </w:rPr>
            </w:pPr>
            <w:r>
              <w:rPr>
                <w:rFonts w:hint="eastAsia" w:asciiTheme="minorEastAsia" w:hAnsiTheme="minorEastAsia"/>
              </w:rPr>
              <w:t>3.38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40</w:t>
            </w:r>
          </w:p>
        </w:tc>
        <w:tc>
          <w:tcPr>
            <w:tcW w:w="3196" w:type="dxa"/>
          </w:tcPr>
          <w:p>
            <w:pPr>
              <w:spacing w:line="220" w:lineRule="atLeast"/>
              <w:jc w:val="center"/>
              <w:rPr>
                <w:rFonts w:asciiTheme="minorEastAsia" w:hAnsiTheme="minorEastAsia"/>
              </w:rPr>
            </w:pPr>
            <w:r>
              <w:rPr>
                <w:rFonts w:asciiTheme="minorEastAsia" w:hAnsiTheme="minorEastAsia"/>
              </w:rPr>
              <w:t>运城师范高等专科学校</w:t>
            </w:r>
          </w:p>
        </w:tc>
        <w:tc>
          <w:tcPr>
            <w:tcW w:w="992" w:type="dxa"/>
          </w:tcPr>
          <w:p>
            <w:pPr>
              <w:spacing w:line="220" w:lineRule="atLeast"/>
              <w:jc w:val="center"/>
              <w:rPr>
                <w:rFonts w:asciiTheme="minorEastAsia" w:hAnsiTheme="minorEastAsia"/>
              </w:rPr>
            </w:pPr>
            <w:r>
              <w:rPr>
                <w:rFonts w:hint="eastAsia" w:asciiTheme="minorEastAsia" w:hAnsiTheme="minorEastAsia"/>
              </w:rPr>
              <w:t>12</w:t>
            </w:r>
          </w:p>
        </w:tc>
        <w:tc>
          <w:tcPr>
            <w:tcW w:w="993" w:type="dxa"/>
          </w:tcPr>
          <w:p>
            <w:pPr>
              <w:spacing w:line="220" w:lineRule="atLeast"/>
              <w:jc w:val="center"/>
              <w:rPr>
                <w:rFonts w:asciiTheme="minorEastAsia" w:hAnsiTheme="minorEastAsia"/>
              </w:rPr>
            </w:pPr>
            <w:r>
              <w:rPr>
                <w:rFonts w:hint="eastAsia" w:asciiTheme="minorEastAsia" w:hAnsiTheme="minorEastAsia"/>
              </w:rPr>
              <w:t>1.20</w:t>
            </w:r>
          </w:p>
        </w:tc>
        <w:tc>
          <w:tcPr>
            <w:tcW w:w="992" w:type="dxa"/>
          </w:tcPr>
          <w:p>
            <w:pPr>
              <w:spacing w:line="220" w:lineRule="atLeast"/>
              <w:jc w:val="center"/>
              <w:rPr>
                <w:rFonts w:asciiTheme="minorEastAsia" w:hAnsiTheme="minorEastAsia"/>
              </w:rPr>
            </w:pPr>
            <w:r>
              <w:rPr>
                <w:rFonts w:hint="eastAsia" w:asciiTheme="minorEastAsia" w:hAnsiTheme="minorEastAsia"/>
              </w:rPr>
              <w:t>10</w:t>
            </w:r>
          </w:p>
        </w:tc>
        <w:tc>
          <w:tcPr>
            <w:tcW w:w="1134" w:type="dxa"/>
          </w:tcPr>
          <w:p>
            <w:pPr>
              <w:spacing w:line="220" w:lineRule="atLeast"/>
              <w:jc w:val="center"/>
              <w:rPr>
                <w:rFonts w:asciiTheme="minorEastAsia" w:hAnsiTheme="minorEastAsia"/>
              </w:rPr>
            </w:pPr>
            <w:r>
              <w:rPr>
                <w:rFonts w:hint="eastAsia" w:asciiTheme="minorEastAsia" w:hAnsiTheme="minorEastAsia"/>
              </w:rPr>
              <w:t>3.08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41</w:t>
            </w:r>
          </w:p>
        </w:tc>
        <w:tc>
          <w:tcPr>
            <w:tcW w:w="3196" w:type="dxa"/>
          </w:tcPr>
          <w:p>
            <w:pPr>
              <w:spacing w:line="220" w:lineRule="atLeast"/>
              <w:jc w:val="center"/>
              <w:rPr>
                <w:rFonts w:asciiTheme="minorEastAsia" w:hAnsiTheme="minorEastAsia"/>
              </w:rPr>
            </w:pPr>
            <w:r>
              <w:rPr>
                <w:rFonts w:asciiTheme="minorEastAsia" w:hAnsiTheme="minorEastAsia"/>
              </w:rPr>
              <w:t>运城幼儿师范高等专科学校</w:t>
            </w:r>
          </w:p>
        </w:tc>
        <w:tc>
          <w:tcPr>
            <w:tcW w:w="992" w:type="dxa"/>
          </w:tcPr>
          <w:p>
            <w:pPr>
              <w:spacing w:line="220" w:lineRule="atLeast"/>
              <w:jc w:val="center"/>
              <w:rPr>
                <w:rFonts w:asciiTheme="minorEastAsia" w:hAnsiTheme="minorEastAsia"/>
              </w:rPr>
            </w:pPr>
            <w:r>
              <w:rPr>
                <w:rFonts w:hint="eastAsia" w:asciiTheme="minorEastAsia" w:hAnsiTheme="minorEastAsia"/>
              </w:rPr>
              <w:t>11</w:t>
            </w:r>
          </w:p>
        </w:tc>
        <w:tc>
          <w:tcPr>
            <w:tcW w:w="993" w:type="dxa"/>
          </w:tcPr>
          <w:p>
            <w:pPr>
              <w:spacing w:line="220" w:lineRule="atLeast"/>
              <w:jc w:val="center"/>
              <w:rPr>
                <w:rFonts w:asciiTheme="minorEastAsia" w:hAnsiTheme="minorEastAsia"/>
              </w:rPr>
            </w:pPr>
            <w:r>
              <w:rPr>
                <w:rFonts w:hint="eastAsia" w:asciiTheme="minorEastAsia" w:hAnsiTheme="minorEastAsia"/>
              </w:rPr>
              <w:t>1.10</w:t>
            </w:r>
          </w:p>
        </w:tc>
        <w:tc>
          <w:tcPr>
            <w:tcW w:w="992" w:type="dxa"/>
          </w:tcPr>
          <w:p>
            <w:pPr>
              <w:spacing w:line="220" w:lineRule="atLeast"/>
              <w:jc w:val="center"/>
              <w:rPr>
                <w:rFonts w:asciiTheme="minorEastAsia" w:hAnsiTheme="minorEastAsia"/>
              </w:rPr>
            </w:pPr>
            <w:r>
              <w:rPr>
                <w:rFonts w:hint="eastAsia" w:asciiTheme="minorEastAsia" w:hAnsiTheme="minorEastAsia"/>
              </w:rPr>
              <w:t>10</w:t>
            </w:r>
          </w:p>
        </w:tc>
        <w:tc>
          <w:tcPr>
            <w:tcW w:w="1134" w:type="dxa"/>
          </w:tcPr>
          <w:p>
            <w:pPr>
              <w:spacing w:line="220" w:lineRule="atLeast"/>
              <w:jc w:val="center"/>
              <w:rPr>
                <w:rFonts w:asciiTheme="minorEastAsia" w:hAnsiTheme="minorEastAsia"/>
              </w:rPr>
            </w:pPr>
            <w:r>
              <w:rPr>
                <w:rFonts w:hint="eastAsia" w:asciiTheme="minorEastAsia" w:hAnsiTheme="minorEastAsia"/>
              </w:rPr>
              <w:t>3.08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42</w:t>
            </w:r>
          </w:p>
        </w:tc>
        <w:tc>
          <w:tcPr>
            <w:tcW w:w="3196" w:type="dxa"/>
          </w:tcPr>
          <w:p>
            <w:pPr>
              <w:spacing w:line="220" w:lineRule="atLeast"/>
              <w:jc w:val="center"/>
              <w:rPr>
                <w:rFonts w:asciiTheme="minorEastAsia" w:hAnsiTheme="minorEastAsia"/>
              </w:rPr>
            </w:pPr>
            <w:r>
              <w:rPr>
                <w:rFonts w:asciiTheme="minorEastAsia" w:hAnsiTheme="minorEastAsia"/>
              </w:rPr>
              <w:t>山西体育职业学院</w:t>
            </w:r>
          </w:p>
        </w:tc>
        <w:tc>
          <w:tcPr>
            <w:tcW w:w="992" w:type="dxa"/>
          </w:tcPr>
          <w:p>
            <w:pPr>
              <w:spacing w:line="220" w:lineRule="atLeast"/>
              <w:jc w:val="center"/>
              <w:rPr>
                <w:rFonts w:asciiTheme="minorEastAsia" w:hAnsiTheme="minorEastAsia"/>
              </w:rPr>
            </w:pPr>
            <w:r>
              <w:rPr>
                <w:rFonts w:hint="eastAsia" w:asciiTheme="minorEastAsia" w:hAnsiTheme="minorEastAsia"/>
              </w:rPr>
              <w:t>10</w:t>
            </w:r>
          </w:p>
        </w:tc>
        <w:tc>
          <w:tcPr>
            <w:tcW w:w="993" w:type="dxa"/>
          </w:tcPr>
          <w:p>
            <w:pPr>
              <w:spacing w:line="220" w:lineRule="atLeast"/>
              <w:jc w:val="center"/>
              <w:rPr>
                <w:rFonts w:asciiTheme="minorEastAsia" w:hAnsiTheme="minorEastAsia"/>
              </w:rPr>
            </w:pPr>
            <w:r>
              <w:rPr>
                <w:rFonts w:hint="eastAsia" w:asciiTheme="minorEastAsia" w:hAnsiTheme="minorEastAsia"/>
              </w:rPr>
              <w:t>1.00</w:t>
            </w:r>
          </w:p>
        </w:tc>
        <w:tc>
          <w:tcPr>
            <w:tcW w:w="992" w:type="dxa"/>
          </w:tcPr>
          <w:p>
            <w:pPr>
              <w:spacing w:line="220" w:lineRule="atLeast"/>
              <w:jc w:val="center"/>
              <w:rPr>
                <w:rFonts w:asciiTheme="minorEastAsia" w:hAnsiTheme="minorEastAsia"/>
              </w:rPr>
            </w:pPr>
            <w:r>
              <w:rPr>
                <w:rFonts w:hint="eastAsia" w:asciiTheme="minorEastAsia" w:hAnsiTheme="minorEastAsia"/>
              </w:rPr>
              <w:t>7</w:t>
            </w:r>
          </w:p>
        </w:tc>
        <w:tc>
          <w:tcPr>
            <w:tcW w:w="1134" w:type="dxa"/>
          </w:tcPr>
          <w:p>
            <w:pPr>
              <w:spacing w:line="220" w:lineRule="atLeast"/>
              <w:jc w:val="center"/>
              <w:rPr>
                <w:rFonts w:asciiTheme="minorEastAsia" w:hAnsiTheme="minorEastAsia"/>
              </w:rPr>
            </w:pPr>
            <w:r>
              <w:rPr>
                <w:rFonts w:hint="eastAsia" w:asciiTheme="minorEastAsia" w:hAnsiTheme="minorEastAsia"/>
              </w:rPr>
              <w:t>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43</w:t>
            </w:r>
          </w:p>
        </w:tc>
        <w:tc>
          <w:tcPr>
            <w:tcW w:w="3196" w:type="dxa"/>
          </w:tcPr>
          <w:p>
            <w:pPr>
              <w:spacing w:line="220" w:lineRule="atLeast"/>
              <w:jc w:val="center"/>
              <w:rPr>
                <w:rFonts w:asciiTheme="minorEastAsia" w:hAnsiTheme="minorEastAsia"/>
              </w:rPr>
            </w:pPr>
            <w:r>
              <w:rPr>
                <w:rFonts w:asciiTheme="minorEastAsia" w:hAnsiTheme="minorEastAsia"/>
              </w:rPr>
              <w:t>山西老区职业技术学院</w:t>
            </w:r>
          </w:p>
        </w:tc>
        <w:tc>
          <w:tcPr>
            <w:tcW w:w="992" w:type="dxa"/>
          </w:tcPr>
          <w:p>
            <w:pPr>
              <w:spacing w:line="220" w:lineRule="atLeast"/>
              <w:jc w:val="center"/>
              <w:rPr>
                <w:rFonts w:asciiTheme="minorEastAsia" w:hAnsiTheme="minorEastAsia"/>
              </w:rPr>
            </w:pPr>
            <w:r>
              <w:rPr>
                <w:rFonts w:hint="eastAsia" w:asciiTheme="minorEastAsia" w:hAnsiTheme="minorEastAsia"/>
              </w:rPr>
              <w:t>9</w:t>
            </w:r>
          </w:p>
        </w:tc>
        <w:tc>
          <w:tcPr>
            <w:tcW w:w="993" w:type="dxa"/>
          </w:tcPr>
          <w:p>
            <w:pPr>
              <w:spacing w:line="220" w:lineRule="atLeast"/>
              <w:jc w:val="center"/>
              <w:rPr>
                <w:rFonts w:asciiTheme="minorEastAsia" w:hAnsiTheme="minorEastAsia"/>
              </w:rPr>
            </w:pPr>
            <w:r>
              <w:rPr>
                <w:rFonts w:hint="eastAsia" w:asciiTheme="minorEastAsia" w:hAnsiTheme="minorEastAsia"/>
              </w:rPr>
              <w:t>0.90</w:t>
            </w:r>
          </w:p>
        </w:tc>
        <w:tc>
          <w:tcPr>
            <w:tcW w:w="992" w:type="dxa"/>
          </w:tcPr>
          <w:p>
            <w:pPr>
              <w:spacing w:line="220" w:lineRule="atLeast"/>
              <w:jc w:val="center"/>
              <w:rPr>
                <w:rFonts w:asciiTheme="minorEastAsia" w:hAnsiTheme="minorEastAsia"/>
              </w:rPr>
            </w:pPr>
            <w:r>
              <w:rPr>
                <w:rFonts w:hint="eastAsia" w:asciiTheme="minorEastAsia" w:hAnsiTheme="minorEastAsia"/>
              </w:rPr>
              <w:t>9</w:t>
            </w:r>
          </w:p>
        </w:tc>
        <w:tc>
          <w:tcPr>
            <w:tcW w:w="1134" w:type="dxa"/>
          </w:tcPr>
          <w:p>
            <w:pPr>
              <w:spacing w:line="220" w:lineRule="atLeast"/>
              <w:jc w:val="center"/>
              <w:rPr>
                <w:rFonts w:asciiTheme="minorEastAsia" w:hAnsiTheme="minorEastAsia"/>
              </w:rPr>
            </w:pPr>
            <w:r>
              <w:rPr>
                <w:rFonts w:hint="eastAsia" w:asciiTheme="minorEastAsia" w:hAnsiTheme="minorEastAsia"/>
              </w:rPr>
              <w:t>2.77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44</w:t>
            </w:r>
          </w:p>
        </w:tc>
        <w:tc>
          <w:tcPr>
            <w:tcW w:w="3196" w:type="dxa"/>
          </w:tcPr>
          <w:p>
            <w:pPr>
              <w:spacing w:line="220" w:lineRule="atLeast"/>
              <w:jc w:val="center"/>
              <w:rPr>
                <w:rFonts w:asciiTheme="minorEastAsia" w:hAnsiTheme="minorEastAsia"/>
              </w:rPr>
            </w:pPr>
            <w:r>
              <w:rPr>
                <w:rFonts w:asciiTheme="minorEastAsia" w:hAnsiTheme="minorEastAsia"/>
              </w:rPr>
              <w:t>阳泉师范高等专科学校</w:t>
            </w:r>
          </w:p>
        </w:tc>
        <w:tc>
          <w:tcPr>
            <w:tcW w:w="992" w:type="dxa"/>
          </w:tcPr>
          <w:p>
            <w:pPr>
              <w:spacing w:line="220" w:lineRule="atLeast"/>
              <w:jc w:val="center"/>
              <w:rPr>
                <w:rFonts w:asciiTheme="minorEastAsia" w:hAnsiTheme="minorEastAsia"/>
              </w:rPr>
            </w:pPr>
            <w:r>
              <w:rPr>
                <w:rFonts w:hint="eastAsia" w:asciiTheme="minorEastAsia" w:hAnsiTheme="minorEastAsia"/>
              </w:rPr>
              <w:t>9</w:t>
            </w:r>
          </w:p>
        </w:tc>
        <w:tc>
          <w:tcPr>
            <w:tcW w:w="993" w:type="dxa"/>
          </w:tcPr>
          <w:p>
            <w:pPr>
              <w:spacing w:line="220" w:lineRule="atLeast"/>
              <w:jc w:val="center"/>
              <w:rPr>
                <w:rFonts w:asciiTheme="minorEastAsia" w:hAnsiTheme="minorEastAsia"/>
              </w:rPr>
            </w:pPr>
            <w:r>
              <w:rPr>
                <w:rFonts w:hint="eastAsia" w:asciiTheme="minorEastAsia" w:hAnsiTheme="minorEastAsia"/>
              </w:rPr>
              <w:t>0.90</w:t>
            </w:r>
          </w:p>
        </w:tc>
        <w:tc>
          <w:tcPr>
            <w:tcW w:w="992" w:type="dxa"/>
          </w:tcPr>
          <w:p>
            <w:pPr>
              <w:spacing w:line="220" w:lineRule="atLeast"/>
              <w:jc w:val="center"/>
              <w:rPr>
                <w:rFonts w:asciiTheme="minorEastAsia" w:hAnsiTheme="minorEastAsia"/>
              </w:rPr>
            </w:pPr>
            <w:r>
              <w:rPr>
                <w:rFonts w:hint="eastAsia" w:asciiTheme="minorEastAsia" w:hAnsiTheme="minorEastAsia"/>
              </w:rPr>
              <w:t>9</w:t>
            </w:r>
          </w:p>
        </w:tc>
        <w:tc>
          <w:tcPr>
            <w:tcW w:w="1134" w:type="dxa"/>
          </w:tcPr>
          <w:p>
            <w:pPr>
              <w:spacing w:line="220" w:lineRule="atLeast"/>
              <w:jc w:val="center"/>
              <w:rPr>
                <w:rFonts w:asciiTheme="minorEastAsia" w:hAnsiTheme="minorEastAsia"/>
              </w:rPr>
            </w:pPr>
            <w:r>
              <w:rPr>
                <w:rFonts w:hint="eastAsia" w:asciiTheme="minorEastAsia" w:hAnsiTheme="minorEastAsia"/>
              </w:rPr>
              <w:t>2.77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45</w:t>
            </w:r>
          </w:p>
        </w:tc>
        <w:tc>
          <w:tcPr>
            <w:tcW w:w="3196" w:type="dxa"/>
          </w:tcPr>
          <w:p>
            <w:pPr>
              <w:spacing w:line="220" w:lineRule="atLeast"/>
              <w:jc w:val="center"/>
              <w:rPr>
                <w:rFonts w:asciiTheme="minorEastAsia" w:hAnsiTheme="minorEastAsia"/>
              </w:rPr>
            </w:pPr>
            <w:r>
              <w:rPr>
                <w:rFonts w:asciiTheme="minorEastAsia" w:hAnsiTheme="minorEastAsia"/>
              </w:rPr>
              <w:t>吕梁职业技术学院</w:t>
            </w:r>
          </w:p>
        </w:tc>
        <w:tc>
          <w:tcPr>
            <w:tcW w:w="992" w:type="dxa"/>
          </w:tcPr>
          <w:p>
            <w:pPr>
              <w:spacing w:line="220" w:lineRule="atLeast"/>
              <w:jc w:val="center"/>
              <w:rPr>
                <w:rFonts w:asciiTheme="minorEastAsia" w:hAnsiTheme="minorEastAsia"/>
              </w:rPr>
            </w:pPr>
            <w:r>
              <w:rPr>
                <w:rFonts w:hint="eastAsia" w:asciiTheme="minorEastAsia" w:hAnsiTheme="minorEastAsia"/>
              </w:rPr>
              <w:t>8</w:t>
            </w:r>
          </w:p>
        </w:tc>
        <w:tc>
          <w:tcPr>
            <w:tcW w:w="993" w:type="dxa"/>
          </w:tcPr>
          <w:p>
            <w:pPr>
              <w:spacing w:line="220" w:lineRule="atLeast"/>
              <w:jc w:val="center"/>
              <w:rPr>
                <w:rFonts w:asciiTheme="minorEastAsia" w:hAnsiTheme="minorEastAsia"/>
              </w:rPr>
            </w:pPr>
            <w:r>
              <w:rPr>
                <w:rFonts w:hint="eastAsia" w:asciiTheme="minorEastAsia" w:hAnsiTheme="minorEastAsia"/>
              </w:rPr>
              <w:t>0.80</w:t>
            </w:r>
          </w:p>
        </w:tc>
        <w:tc>
          <w:tcPr>
            <w:tcW w:w="992" w:type="dxa"/>
          </w:tcPr>
          <w:p>
            <w:pPr>
              <w:spacing w:line="220" w:lineRule="atLeast"/>
              <w:jc w:val="center"/>
              <w:rPr>
                <w:rFonts w:asciiTheme="minorEastAsia" w:hAnsiTheme="minorEastAsia"/>
              </w:rPr>
            </w:pPr>
            <w:r>
              <w:rPr>
                <w:rFonts w:hint="eastAsia" w:asciiTheme="minorEastAsia" w:hAnsiTheme="minorEastAsia"/>
              </w:rPr>
              <w:t>8</w:t>
            </w:r>
          </w:p>
        </w:tc>
        <w:tc>
          <w:tcPr>
            <w:tcW w:w="1134" w:type="dxa"/>
          </w:tcPr>
          <w:p>
            <w:pPr>
              <w:spacing w:line="220" w:lineRule="atLeast"/>
              <w:jc w:val="center"/>
              <w:rPr>
                <w:rFonts w:asciiTheme="minorEastAsia" w:hAnsiTheme="minorEastAsia"/>
              </w:rPr>
            </w:pPr>
            <w:r>
              <w:rPr>
                <w:rFonts w:hint="eastAsia" w:asciiTheme="minorEastAsia" w:hAnsiTheme="minorEastAsia"/>
              </w:rPr>
              <w:t>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46</w:t>
            </w:r>
          </w:p>
        </w:tc>
        <w:tc>
          <w:tcPr>
            <w:tcW w:w="3196" w:type="dxa"/>
          </w:tcPr>
          <w:p>
            <w:pPr>
              <w:spacing w:line="220" w:lineRule="atLeast"/>
              <w:jc w:val="center"/>
              <w:rPr>
                <w:rFonts w:asciiTheme="minorEastAsia" w:hAnsiTheme="minorEastAsia"/>
              </w:rPr>
            </w:pPr>
            <w:r>
              <w:rPr>
                <w:rFonts w:hint="eastAsia" w:asciiTheme="minorEastAsia" w:hAnsiTheme="minorEastAsia"/>
              </w:rPr>
              <w:t>山</w:t>
            </w:r>
            <w:r>
              <w:rPr>
                <w:rFonts w:asciiTheme="minorEastAsia" w:hAnsiTheme="minorEastAsia"/>
              </w:rPr>
              <w:t>西警官职业学院</w:t>
            </w:r>
          </w:p>
        </w:tc>
        <w:tc>
          <w:tcPr>
            <w:tcW w:w="992" w:type="dxa"/>
          </w:tcPr>
          <w:p>
            <w:pPr>
              <w:spacing w:line="220" w:lineRule="atLeast"/>
              <w:jc w:val="center"/>
              <w:rPr>
                <w:rFonts w:asciiTheme="minorEastAsia" w:hAnsiTheme="minorEastAsia"/>
              </w:rPr>
            </w:pPr>
            <w:r>
              <w:rPr>
                <w:rFonts w:hint="eastAsia" w:asciiTheme="minorEastAsia" w:hAnsiTheme="minorEastAsia"/>
              </w:rPr>
              <w:t>8</w:t>
            </w:r>
          </w:p>
        </w:tc>
        <w:tc>
          <w:tcPr>
            <w:tcW w:w="993" w:type="dxa"/>
          </w:tcPr>
          <w:p>
            <w:pPr>
              <w:spacing w:line="220" w:lineRule="atLeast"/>
              <w:jc w:val="center"/>
              <w:rPr>
                <w:rFonts w:asciiTheme="minorEastAsia" w:hAnsiTheme="minorEastAsia"/>
              </w:rPr>
            </w:pPr>
            <w:r>
              <w:rPr>
                <w:rFonts w:hint="eastAsia" w:asciiTheme="minorEastAsia" w:hAnsiTheme="minorEastAsia"/>
              </w:rPr>
              <w:t>0.80</w:t>
            </w:r>
          </w:p>
        </w:tc>
        <w:tc>
          <w:tcPr>
            <w:tcW w:w="992" w:type="dxa"/>
          </w:tcPr>
          <w:p>
            <w:pPr>
              <w:spacing w:line="220" w:lineRule="atLeast"/>
              <w:jc w:val="center"/>
              <w:rPr>
                <w:rFonts w:asciiTheme="minorEastAsia" w:hAnsiTheme="minorEastAsia"/>
              </w:rPr>
            </w:pPr>
            <w:r>
              <w:rPr>
                <w:rFonts w:hint="eastAsia" w:asciiTheme="minorEastAsia" w:hAnsiTheme="minorEastAsia"/>
              </w:rPr>
              <w:t>7</w:t>
            </w:r>
          </w:p>
        </w:tc>
        <w:tc>
          <w:tcPr>
            <w:tcW w:w="1134" w:type="dxa"/>
          </w:tcPr>
          <w:p>
            <w:pPr>
              <w:spacing w:line="220" w:lineRule="atLeast"/>
              <w:jc w:val="center"/>
              <w:rPr>
                <w:rFonts w:asciiTheme="minorEastAsia" w:hAnsiTheme="minorEastAsia"/>
              </w:rPr>
            </w:pPr>
            <w:r>
              <w:rPr>
                <w:rFonts w:hint="eastAsia" w:asciiTheme="minorEastAsia" w:hAnsiTheme="minorEastAsia"/>
              </w:rPr>
              <w:t>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47</w:t>
            </w:r>
          </w:p>
        </w:tc>
        <w:tc>
          <w:tcPr>
            <w:tcW w:w="3196" w:type="dxa"/>
          </w:tcPr>
          <w:p>
            <w:pPr>
              <w:spacing w:line="220" w:lineRule="atLeast"/>
              <w:jc w:val="center"/>
              <w:rPr>
                <w:rFonts w:asciiTheme="minorEastAsia" w:hAnsiTheme="minorEastAsia"/>
              </w:rPr>
            </w:pPr>
            <w:r>
              <w:rPr>
                <w:rFonts w:asciiTheme="minorEastAsia" w:hAnsiTheme="minorEastAsia"/>
              </w:rPr>
              <w:t>运城护理职业学院</w:t>
            </w:r>
          </w:p>
        </w:tc>
        <w:tc>
          <w:tcPr>
            <w:tcW w:w="992" w:type="dxa"/>
          </w:tcPr>
          <w:p>
            <w:pPr>
              <w:spacing w:line="220" w:lineRule="atLeast"/>
              <w:jc w:val="center"/>
              <w:rPr>
                <w:rFonts w:asciiTheme="minorEastAsia" w:hAnsiTheme="minorEastAsia"/>
              </w:rPr>
            </w:pPr>
            <w:r>
              <w:rPr>
                <w:rFonts w:hint="eastAsia" w:asciiTheme="minorEastAsia" w:hAnsiTheme="minorEastAsia"/>
              </w:rPr>
              <w:t>8</w:t>
            </w:r>
          </w:p>
        </w:tc>
        <w:tc>
          <w:tcPr>
            <w:tcW w:w="993" w:type="dxa"/>
          </w:tcPr>
          <w:p>
            <w:pPr>
              <w:spacing w:line="220" w:lineRule="atLeast"/>
              <w:jc w:val="center"/>
              <w:rPr>
                <w:rFonts w:asciiTheme="minorEastAsia" w:hAnsiTheme="minorEastAsia"/>
              </w:rPr>
            </w:pPr>
            <w:r>
              <w:rPr>
                <w:rFonts w:hint="eastAsia" w:asciiTheme="minorEastAsia" w:hAnsiTheme="minorEastAsia"/>
              </w:rPr>
              <w:t>0.80</w:t>
            </w:r>
          </w:p>
        </w:tc>
        <w:tc>
          <w:tcPr>
            <w:tcW w:w="992" w:type="dxa"/>
          </w:tcPr>
          <w:p>
            <w:pPr>
              <w:spacing w:line="220" w:lineRule="atLeast"/>
              <w:jc w:val="center"/>
              <w:rPr>
                <w:rFonts w:asciiTheme="minorEastAsia" w:hAnsiTheme="minorEastAsia"/>
              </w:rPr>
            </w:pPr>
            <w:r>
              <w:rPr>
                <w:rFonts w:hint="eastAsia" w:asciiTheme="minorEastAsia" w:hAnsiTheme="minorEastAsia"/>
              </w:rPr>
              <w:t>7</w:t>
            </w:r>
          </w:p>
        </w:tc>
        <w:tc>
          <w:tcPr>
            <w:tcW w:w="1134" w:type="dxa"/>
          </w:tcPr>
          <w:p>
            <w:pPr>
              <w:spacing w:line="220" w:lineRule="atLeast"/>
              <w:jc w:val="center"/>
              <w:rPr>
                <w:rFonts w:asciiTheme="minorEastAsia" w:hAnsiTheme="minorEastAsia"/>
              </w:rPr>
            </w:pPr>
            <w:r>
              <w:rPr>
                <w:rFonts w:hint="eastAsia" w:asciiTheme="minorEastAsia" w:hAnsiTheme="minorEastAsia"/>
              </w:rPr>
              <w:t>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 w:type="dxa"/>
          </w:tcPr>
          <w:p>
            <w:pPr>
              <w:spacing w:line="220" w:lineRule="atLeast"/>
              <w:jc w:val="center"/>
              <w:rPr>
                <w:rFonts w:asciiTheme="minorEastAsia" w:hAnsiTheme="minorEastAsia"/>
              </w:rPr>
            </w:pPr>
            <w:r>
              <w:rPr>
                <w:rFonts w:hint="eastAsia" w:asciiTheme="minorEastAsia" w:hAnsiTheme="minorEastAsia"/>
              </w:rPr>
              <w:t>48</w:t>
            </w:r>
          </w:p>
        </w:tc>
        <w:tc>
          <w:tcPr>
            <w:tcW w:w="3196" w:type="dxa"/>
          </w:tcPr>
          <w:p>
            <w:pPr>
              <w:spacing w:line="220" w:lineRule="atLeast"/>
              <w:jc w:val="center"/>
              <w:rPr>
                <w:rFonts w:asciiTheme="minorEastAsia" w:hAnsiTheme="minorEastAsia"/>
              </w:rPr>
            </w:pPr>
            <w:r>
              <w:rPr>
                <w:rFonts w:asciiTheme="minorEastAsia" w:hAnsiTheme="minorEastAsia"/>
              </w:rPr>
              <w:t>阳泉职业技术学院</w:t>
            </w:r>
          </w:p>
        </w:tc>
        <w:tc>
          <w:tcPr>
            <w:tcW w:w="992" w:type="dxa"/>
          </w:tcPr>
          <w:p>
            <w:pPr>
              <w:spacing w:line="220" w:lineRule="atLeast"/>
              <w:jc w:val="center"/>
              <w:rPr>
                <w:rFonts w:asciiTheme="minorEastAsia" w:hAnsiTheme="minorEastAsia"/>
              </w:rPr>
            </w:pPr>
            <w:r>
              <w:rPr>
                <w:rFonts w:hint="eastAsia" w:asciiTheme="minorEastAsia" w:hAnsiTheme="minorEastAsia"/>
              </w:rPr>
              <w:t>6</w:t>
            </w:r>
          </w:p>
        </w:tc>
        <w:tc>
          <w:tcPr>
            <w:tcW w:w="993" w:type="dxa"/>
          </w:tcPr>
          <w:p>
            <w:pPr>
              <w:spacing w:line="220" w:lineRule="atLeast"/>
              <w:jc w:val="center"/>
              <w:rPr>
                <w:rFonts w:asciiTheme="minorEastAsia" w:hAnsiTheme="minorEastAsia"/>
              </w:rPr>
            </w:pPr>
            <w:r>
              <w:rPr>
                <w:rFonts w:hint="eastAsia" w:asciiTheme="minorEastAsia" w:hAnsiTheme="minorEastAsia"/>
              </w:rPr>
              <w:t>0.60</w:t>
            </w:r>
          </w:p>
        </w:tc>
        <w:tc>
          <w:tcPr>
            <w:tcW w:w="992" w:type="dxa"/>
          </w:tcPr>
          <w:p>
            <w:pPr>
              <w:spacing w:line="220" w:lineRule="atLeast"/>
              <w:jc w:val="center"/>
              <w:rPr>
                <w:rFonts w:asciiTheme="minorEastAsia" w:hAnsiTheme="minorEastAsia"/>
              </w:rPr>
            </w:pPr>
            <w:r>
              <w:rPr>
                <w:rFonts w:hint="eastAsia" w:asciiTheme="minorEastAsia" w:hAnsiTheme="minorEastAsia"/>
              </w:rPr>
              <w:t>6</w:t>
            </w:r>
          </w:p>
        </w:tc>
        <w:tc>
          <w:tcPr>
            <w:tcW w:w="1134" w:type="dxa"/>
          </w:tcPr>
          <w:p>
            <w:pPr>
              <w:spacing w:line="220" w:lineRule="atLeast"/>
              <w:jc w:val="center"/>
              <w:rPr>
                <w:rFonts w:asciiTheme="minorEastAsia" w:hAnsiTheme="minorEastAsia"/>
              </w:rPr>
            </w:pPr>
            <w:r>
              <w:rPr>
                <w:rFonts w:hint="eastAsia" w:asciiTheme="minorEastAsia" w:hAnsiTheme="minorEastAsia"/>
              </w:rPr>
              <w:t>1.85</w:t>
            </w:r>
          </w:p>
        </w:tc>
      </w:tr>
    </w:tbl>
    <w:p>
      <w:pPr>
        <w:spacing w:line="360" w:lineRule="auto"/>
        <w:ind w:firstLine="420" w:firstLineChars="200"/>
        <w:rPr>
          <w:szCs w:val="21"/>
        </w:rPr>
      </w:pPr>
      <w:r>
        <w:rPr>
          <w:rFonts w:hint="eastAsia"/>
          <w:szCs w:val="21"/>
        </w:rPr>
        <w:t>（数据来源于晋城职业技术学院学报-山西省高职院校专业设置结构分析武建京）</w:t>
      </w:r>
    </w:p>
    <w:p>
      <w:pPr>
        <w:spacing w:line="360" w:lineRule="auto"/>
        <w:ind w:firstLine="480" w:firstLineChars="200"/>
        <w:rPr>
          <w:sz w:val="24"/>
        </w:rPr>
      </w:pPr>
    </w:p>
    <w:p>
      <w:pPr>
        <w:spacing w:line="360" w:lineRule="auto"/>
        <w:ind w:firstLine="480" w:firstLineChars="200"/>
        <w:rPr>
          <w:color w:val="FF0000"/>
          <w:sz w:val="24"/>
        </w:rPr>
      </w:pPr>
      <w:r>
        <w:rPr>
          <w:sz w:val="24"/>
        </w:rPr>
        <w:t>山西省有</w:t>
      </w:r>
      <w:r>
        <w:rPr>
          <w:rFonts w:hint="eastAsia"/>
          <w:sz w:val="24"/>
        </w:rPr>
        <w:t>19所本专科院校开设化工类相关专业，其中本科院校有山西大学、太原理工大学、中北大学、太原科技大学、山西师范大学、太原工业大学等14所。在山西53所高职类院校中，仅我院、山西轻工职业技术学院、潞安职业技术学院、山西工程职业学院、晋中职业技术学院及北岳职业技术学院6所院校开设化工相关专业。</w:t>
      </w:r>
      <w:r>
        <w:rPr>
          <w:rFonts w:hint="eastAsia"/>
          <w:color w:val="000000" w:themeColor="text1"/>
          <w:sz w:val="24"/>
        </w:rPr>
        <w:t>山西省化工类高职技能人才每年需求量在大幅增加，缺口较大。</w:t>
      </w:r>
    </w:p>
    <w:p>
      <w:pPr>
        <w:spacing w:line="360" w:lineRule="auto"/>
        <w:ind w:firstLine="300" w:firstLineChars="100"/>
        <w:rPr>
          <w:rFonts w:ascii="黑体" w:hAnsi="黑体" w:eastAsia="黑体" w:cs="黑体"/>
          <w:bCs/>
          <w:sz w:val="30"/>
          <w:szCs w:val="30"/>
        </w:rPr>
      </w:pPr>
      <w:r>
        <w:rPr>
          <w:rFonts w:hint="eastAsia" w:ascii="黑体" w:hAnsi="黑体" w:eastAsia="黑体" w:cs="黑体"/>
          <w:bCs/>
          <w:sz w:val="30"/>
          <w:szCs w:val="30"/>
        </w:rPr>
        <w:t>（二）专业历史</w:t>
      </w:r>
    </w:p>
    <w:p>
      <w:pPr>
        <w:spacing w:line="360" w:lineRule="auto"/>
        <w:ind w:firstLine="480"/>
        <w:rPr>
          <w:rFonts w:ascii="仿宋" w:hAnsi="仿宋" w:eastAsia="仿宋"/>
          <w:sz w:val="28"/>
          <w:szCs w:val="28"/>
        </w:rPr>
      </w:pPr>
      <w:r>
        <w:rPr>
          <w:rFonts w:hint="eastAsia" w:ascii="宋体" w:hAnsi="宋体" w:cs="宋体"/>
          <w:sz w:val="24"/>
        </w:rPr>
        <w:t xml:space="preserve">应用化工技术专业是晋城职业技术学院于2006年根据《普通高等学校高职高专教育指导性专业目录专业简介》要求而开设的。应用化工技术专业以培养化工类高端技能型人才为主要目标，强化学生的工程实践能力为重点，结合化工操作、化工生产、产品分析检验等方面知识为一体，突出服务于职业岗位群需要，突出高等职业教育特色。 </w:t>
      </w:r>
    </w:p>
    <w:p>
      <w:pPr>
        <w:spacing w:line="360" w:lineRule="auto"/>
        <w:ind w:firstLine="480"/>
        <w:rPr>
          <w:rFonts w:ascii="宋体" w:hAnsi="宋体" w:cs="宋体"/>
          <w:sz w:val="24"/>
        </w:rPr>
      </w:pPr>
      <w:r>
        <w:rPr>
          <w:rFonts w:hint="eastAsia" w:ascii="宋体" w:hAnsi="宋体" w:cs="宋体"/>
          <w:sz w:val="24"/>
        </w:rPr>
        <w:t>依据晋城当地煤化工行业的岗位群发展需求，化工系现已形成以应用化工技术专业为主，包含应用化工技术专业（3+2）（2015年招收第一批学生）、工业分析技术专业（开设于2008年）的化工技术类专业群，初步涵盖了从化工生产操作与工艺控制、到化工原材料及产品的分析检测等化工生产全过程。本专业群共配有专任教师114名，其中教授1人，副教授3人，专任核心课程教师5人，双师型教师比例为100%。专任教师均为研究生学历，其中，博士3人，硕士8人。截止2019年，该专业已为晋城当地煤化工及相关行业培养了能够胜任化工生产过程一线技术操作、工艺管理、产品分析、质量监控和化工安全防护管理等工作的应用型技术人才近七百人。</w:t>
      </w:r>
    </w:p>
    <w:p>
      <w:pPr>
        <w:spacing w:line="360" w:lineRule="auto"/>
        <w:ind w:firstLine="300" w:firstLineChars="100"/>
        <w:rPr>
          <w:rFonts w:ascii="黑体" w:hAnsi="黑体" w:eastAsia="黑体" w:cs="黑体"/>
          <w:bCs/>
          <w:sz w:val="30"/>
          <w:szCs w:val="30"/>
        </w:rPr>
      </w:pPr>
      <w:r>
        <w:rPr>
          <w:rFonts w:hint="eastAsia" w:ascii="黑体" w:hAnsi="黑体" w:eastAsia="黑体" w:cs="黑体"/>
          <w:bCs/>
          <w:sz w:val="30"/>
          <w:szCs w:val="30"/>
        </w:rPr>
        <w:t>（三）专业方向设置</w:t>
      </w:r>
    </w:p>
    <w:p>
      <w:pPr>
        <w:spacing w:line="360" w:lineRule="auto"/>
        <w:ind w:firstLine="480" w:firstLineChars="200"/>
        <w:rPr>
          <w:sz w:val="24"/>
        </w:rPr>
      </w:pPr>
      <w:r>
        <w:rPr>
          <w:rFonts w:hint="eastAsia" w:ascii="宋体" w:hAnsi="宋体" w:cs="宋体"/>
          <w:sz w:val="24"/>
        </w:rPr>
        <w:t>应用化工技术专业方向设置主要包括：化工工艺操作、化工DCS操作、化工设备操作与维护、化工仪表控制、化工产品质量控制和检测、化工安全管理和化工产品营销等。</w:t>
      </w:r>
      <w:r>
        <w:rPr>
          <w:sz w:val="24"/>
        </w:rPr>
        <w:t>学生毕业后可在各类化工企业从事</w:t>
      </w:r>
      <w:r>
        <w:rPr>
          <w:rFonts w:hint="eastAsia" w:ascii="宋体" w:hAnsi="宋体" w:cs="宋体"/>
          <w:sz w:val="24"/>
        </w:rPr>
        <w:t>化工生产过程一线技术操作、</w:t>
      </w:r>
      <w:r>
        <w:rPr>
          <w:sz w:val="24"/>
        </w:rPr>
        <w:t>分析化验</w:t>
      </w:r>
      <w:r>
        <w:rPr>
          <w:rFonts w:hint="eastAsia"/>
          <w:sz w:val="24"/>
        </w:rPr>
        <w:t>、</w:t>
      </w:r>
      <w:r>
        <w:rPr>
          <w:sz w:val="24"/>
        </w:rPr>
        <w:t>市场销售</w:t>
      </w:r>
      <w:r>
        <w:rPr>
          <w:rFonts w:hint="eastAsia"/>
          <w:sz w:val="24"/>
        </w:rPr>
        <w:t>、安全</w:t>
      </w:r>
      <w:r>
        <w:rPr>
          <w:sz w:val="24"/>
        </w:rPr>
        <w:t>生产管理等工作。</w:t>
      </w:r>
    </w:p>
    <w:p>
      <w:pPr>
        <w:spacing w:line="360" w:lineRule="auto"/>
        <w:ind w:firstLine="300" w:firstLineChars="100"/>
        <w:rPr>
          <w:rFonts w:ascii="黑体" w:hAnsi="黑体" w:eastAsia="黑体" w:cs="黑体"/>
          <w:bCs/>
          <w:sz w:val="30"/>
          <w:szCs w:val="30"/>
        </w:rPr>
      </w:pPr>
      <w:r>
        <w:rPr>
          <w:rFonts w:hint="eastAsia" w:ascii="黑体" w:hAnsi="黑体" w:eastAsia="黑体" w:cs="黑体"/>
          <w:bCs/>
          <w:sz w:val="30"/>
          <w:szCs w:val="30"/>
        </w:rPr>
        <w:t>（四）专业就业优势</w:t>
      </w:r>
    </w:p>
    <w:p>
      <w:pPr>
        <w:spacing w:line="360" w:lineRule="auto"/>
        <w:ind w:firstLine="480" w:firstLineChars="200"/>
        <w:rPr>
          <w:kern w:val="0"/>
          <w:sz w:val="24"/>
        </w:rPr>
      </w:pPr>
      <w:bookmarkStart w:id="40" w:name="_Toc339985611"/>
      <w:bookmarkStart w:id="41" w:name="_Toc341338640"/>
      <w:bookmarkStart w:id="42" w:name="_Toc339913810"/>
      <w:r>
        <w:rPr>
          <w:kern w:val="0"/>
          <w:sz w:val="24"/>
        </w:rPr>
        <w:t>本专业学生通过两年的在校学习</w:t>
      </w:r>
      <w:r>
        <w:rPr>
          <w:rFonts w:hint="eastAsia"/>
          <w:kern w:val="0"/>
          <w:sz w:val="24"/>
        </w:rPr>
        <w:t>，可</w:t>
      </w:r>
      <w:r>
        <w:rPr>
          <w:kern w:val="0"/>
          <w:sz w:val="24"/>
        </w:rPr>
        <w:t>掌握应用化工技术的基础理论知识和基本技能，熟悉化工环保、化工安全生产、化工仪表等知识，具备化工生产的专业知识和较强的实践动手能力，能够</w:t>
      </w:r>
      <w:r>
        <w:rPr>
          <w:rFonts w:hint="eastAsia"/>
          <w:kern w:val="0"/>
          <w:sz w:val="24"/>
        </w:rPr>
        <w:t>胜任</w:t>
      </w:r>
      <w:r>
        <w:rPr>
          <w:kern w:val="0"/>
          <w:sz w:val="24"/>
        </w:rPr>
        <w:t>化工生产装置操作及维护、工艺运行操作、生产技术管理</w:t>
      </w:r>
      <w:r>
        <w:rPr>
          <w:rFonts w:hint="eastAsia"/>
          <w:kern w:val="0"/>
          <w:sz w:val="24"/>
        </w:rPr>
        <w:t>、</w:t>
      </w:r>
      <w:r>
        <w:rPr>
          <w:kern w:val="0"/>
          <w:sz w:val="24"/>
        </w:rPr>
        <w:t>产品分析等岗位工作。</w:t>
      </w:r>
    </w:p>
    <w:p>
      <w:pPr>
        <w:pStyle w:val="17"/>
        <w:shd w:val="clear" w:color="auto" w:fill="FFFFFF"/>
        <w:snapToGrid w:val="0"/>
        <w:spacing w:line="360" w:lineRule="auto"/>
        <w:ind w:firstLine="480" w:firstLineChars="200"/>
        <w:rPr>
          <w:rFonts w:ascii="Times New Roman" w:hAnsi="Times New Roman" w:cs="Times New Roman"/>
        </w:rPr>
      </w:pPr>
      <w:r>
        <w:rPr>
          <w:rFonts w:hint="eastAsia" w:ascii="Times New Roman" w:hAnsi="Times New Roman" w:cs="Times New Roman"/>
        </w:rPr>
        <w:t>伴随着</w:t>
      </w:r>
      <w:r>
        <w:rPr>
          <w:rFonts w:ascii="Times New Roman" w:hAnsi="Times New Roman" w:cs="Times New Roman"/>
        </w:rPr>
        <w:t>山西特色化学工业新体系的构建，</w:t>
      </w:r>
      <w:r>
        <w:rPr>
          <w:rFonts w:hint="eastAsia" w:ascii="Times New Roman" w:hAnsi="Times New Roman" w:cs="Times New Roman"/>
        </w:rPr>
        <w:t>新技术、新材料、新工艺、新设备等大量引入，化工生产过程正由过去的劳动密集型向技术密集型迅速转化。而长期以来，由于多种因素的影响，化工行业从业人员尤其是一线人员文化、知识和技能等水平不高，导致生产单位急需大量符合现代化工发展要求的高技能型人才，从而</w:t>
      </w:r>
      <w:r>
        <w:t>为高职应用化工技术专业</w:t>
      </w:r>
      <w:r>
        <w:rPr>
          <w:rFonts w:hint="eastAsia"/>
        </w:rPr>
        <w:t>的</w:t>
      </w:r>
      <w:r>
        <w:t>毕业生提供了广阔的就业空间。</w:t>
      </w:r>
    </w:p>
    <w:p>
      <w:pPr>
        <w:pStyle w:val="3"/>
        <w:ind w:firstLine="480" w:firstLineChars="150"/>
        <w:rPr>
          <w:b w:val="0"/>
        </w:rPr>
      </w:pPr>
      <w:bookmarkStart w:id="43" w:name="_Toc17278751"/>
      <w:bookmarkStart w:id="44" w:name="_Toc4500"/>
      <w:r>
        <w:rPr>
          <w:rFonts w:hint="eastAsia"/>
          <w:b w:val="0"/>
        </w:rPr>
        <w:t>四、专业就业面向</w:t>
      </w:r>
      <w:bookmarkEnd w:id="40"/>
      <w:bookmarkEnd w:id="41"/>
      <w:bookmarkEnd w:id="42"/>
      <w:bookmarkEnd w:id="43"/>
      <w:bookmarkEnd w:id="44"/>
    </w:p>
    <w:p>
      <w:pPr>
        <w:spacing w:line="360" w:lineRule="auto"/>
        <w:ind w:firstLine="480" w:firstLineChars="200"/>
        <w:rPr>
          <w:rFonts w:eastAsia="黑体"/>
          <w:bCs/>
          <w:sz w:val="32"/>
          <w:szCs w:val="32"/>
        </w:rPr>
      </w:pPr>
      <w:bookmarkStart w:id="45" w:name="_Toc339913811"/>
      <w:bookmarkStart w:id="46" w:name="_Toc339985612"/>
      <w:bookmarkStart w:id="47" w:name="_Toc341338641"/>
      <w:r>
        <w:rPr>
          <w:sz w:val="24"/>
        </w:rPr>
        <w:t>化工专业涉及的范围非常广泛</w:t>
      </w:r>
      <w:r>
        <w:rPr>
          <w:rFonts w:hint="eastAsia"/>
          <w:sz w:val="24"/>
        </w:rPr>
        <w:t>，</w:t>
      </w:r>
      <w:r>
        <w:rPr>
          <w:sz w:val="24"/>
        </w:rPr>
        <w:t>许多行业都有化工的身影</w:t>
      </w:r>
      <w:r>
        <w:rPr>
          <w:rFonts w:hint="eastAsia"/>
          <w:sz w:val="24"/>
        </w:rPr>
        <w:t>，可在化工、能源业、医药、环保业、精细化工、冶金等部门从事一线生产操作、生产管理、分析检测、产品营销等方面的工作；</w:t>
      </w:r>
      <w:r>
        <w:rPr>
          <w:color w:val="000000"/>
          <w:sz w:val="24"/>
        </w:rPr>
        <w:t>也可以在化工设计和政府相关职能部门从事规划、管理、标准、监督、检测、技术咨询等工作。</w:t>
      </w:r>
    </w:p>
    <w:p>
      <w:pPr>
        <w:pStyle w:val="3"/>
        <w:ind w:firstLine="480" w:firstLineChars="150"/>
        <w:rPr>
          <w:b w:val="0"/>
        </w:rPr>
      </w:pPr>
      <w:bookmarkStart w:id="48" w:name="_Toc22258"/>
      <w:bookmarkStart w:id="49" w:name="_Toc17278752"/>
      <w:r>
        <w:rPr>
          <w:rFonts w:hint="eastAsia"/>
          <w:b w:val="0"/>
        </w:rPr>
        <w:t>五、专业教学改革建议</w:t>
      </w:r>
      <w:bookmarkEnd w:id="45"/>
      <w:bookmarkEnd w:id="46"/>
      <w:bookmarkEnd w:id="47"/>
      <w:bookmarkEnd w:id="48"/>
      <w:bookmarkEnd w:id="49"/>
    </w:p>
    <w:p>
      <w:pPr>
        <w:spacing w:line="360" w:lineRule="auto"/>
        <w:ind w:firstLine="300" w:firstLineChars="100"/>
        <w:rPr>
          <w:rFonts w:ascii="黑体" w:hAnsi="黑体" w:eastAsia="黑体" w:cs="黑体"/>
          <w:bCs/>
          <w:sz w:val="30"/>
          <w:szCs w:val="30"/>
        </w:rPr>
      </w:pPr>
      <w:r>
        <w:rPr>
          <w:rFonts w:hint="eastAsia" w:ascii="黑体" w:hAnsi="黑体" w:eastAsia="黑体" w:cs="黑体"/>
          <w:bCs/>
          <w:sz w:val="30"/>
          <w:szCs w:val="30"/>
        </w:rPr>
        <w:t>（一）探索多元办学模式</w:t>
      </w:r>
    </w:p>
    <w:p>
      <w:pPr>
        <w:pStyle w:val="17"/>
        <w:shd w:val="clear" w:color="auto" w:fill="FFFFFF"/>
        <w:snapToGrid w:val="0"/>
        <w:spacing w:before="0" w:beforeAutospacing="0" w:after="0" w:afterAutospacing="0" w:line="360" w:lineRule="auto"/>
        <w:ind w:firstLine="480" w:firstLineChars="200"/>
        <w:rPr>
          <w:rFonts w:ascii="Times New Roman" w:hAnsi="Times New Roman" w:cs="Times New Roman"/>
          <w:kern w:val="2"/>
        </w:rPr>
      </w:pPr>
      <w:r>
        <w:rPr>
          <w:rFonts w:hint="eastAsia" w:ascii="Times New Roman" w:hAnsi="Times New Roman" w:cs="Times New Roman"/>
          <w:kern w:val="2"/>
        </w:rPr>
        <w:t>1．努力建立“</w:t>
      </w:r>
      <w:r>
        <w:rPr>
          <w:rFonts w:ascii="Times New Roman" w:hAnsi="Times New Roman" w:cs="Times New Roman"/>
          <w:kern w:val="2"/>
        </w:rPr>
        <w:t>五位一体</w:t>
      </w:r>
      <w:r>
        <w:rPr>
          <w:rFonts w:hint="eastAsia" w:ascii="Times New Roman" w:hAnsi="Times New Roman" w:cs="Times New Roman"/>
          <w:kern w:val="2"/>
        </w:rPr>
        <w:t>”</w:t>
      </w:r>
      <w:r>
        <w:rPr>
          <w:rFonts w:ascii="Times New Roman" w:hAnsi="Times New Roman" w:cs="Times New Roman"/>
          <w:kern w:val="2"/>
        </w:rPr>
        <w:t>办学模式</w:t>
      </w:r>
    </w:p>
    <w:p>
      <w:pPr>
        <w:pStyle w:val="17"/>
        <w:shd w:val="clear" w:color="auto" w:fill="FFFFFF"/>
        <w:snapToGrid w:val="0"/>
        <w:spacing w:before="0" w:beforeAutospacing="0" w:after="0" w:afterAutospacing="0" w:line="360" w:lineRule="auto"/>
        <w:ind w:firstLine="480" w:firstLineChars="200"/>
        <w:rPr>
          <w:rFonts w:ascii="Times New Roman" w:hAnsi="Times New Roman" w:cs="Times New Roman"/>
          <w:kern w:val="2"/>
        </w:rPr>
      </w:pPr>
      <w:r>
        <w:rPr>
          <w:rFonts w:hint="eastAsia" w:ascii="Times New Roman" w:hAnsi="Times New Roman" w:cs="Times New Roman"/>
          <w:kern w:val="2"/>
        </w:rPr>
        <w:t>“</w:t>
      </w:r>
      <w:r>
        <w:rPr>
          <w:rFonts w:ascii="Times New Roman" w:hAnsi="Times New Roman" w:cs="Times New Roman"/>
          <w:kern w:val="2"/>
        </w:rPr>
        <w:t>五位一体</w:t>
      </w:r>
      <w:r>
        <w:rPr>
          <w:rFonts w:hint="eastAsia" w:ascii="Times New Roman" w:hAnsi="Times New Roman" w:cs="Times New Roman"/>
          <w:kern w:val="2"/>
        </w:rPr>
        <w:t>”</w:t>
      </w:r>
      <w:r>
        <w:rPr>
          <w:rFonts w:ascii="Times New Roman" w:hAnsi="Times New Roman" w:cs="Times New Roman"/>
          <w:kern w:val="2"/>
        </w:rPr>
        <w:t>办学模式即</w:t>
      </w:r>
      <w:r>
        <w:rPr>
          <w:rFonts w:hint="eastAsia" w:ascii="Times New Roman" w:hAnsi="Times New Roman" w:cs="Times New Roman"/>
          <w:kern w:val="2"/>
        </w:rPr>
        <w:t>“</w:t>
      </w:r>
      <w:r>
        <w:rPr>
          <w:rFonts w:ascii="Times New Roman" w:hAnsi="Times New Roman" w:cs="Times New Roman"/>
          <w:kern w:val="2"/>
        </w:rPr>
        <w:t>基地、招生、教学、科研、就业</w:t>
      </w:r>
      <w:r>
        <w:rPr>
          <w:rFonts w:hint="eastAsia" w:ascii="Times New Roman" w:hAnsi="Times New Roman" w:cs="Times New Roman"/>
          <w:kern w:val="2"/>
        </w:rPr>
        <w:t>”</w:t>
      </w:r>
      <w:r>
        <w:rPr>
          <w:rFonts w:ascii="Times New Roman" w:hAnsi="Times New Roman" w:cs="Times New Roman"/>
          <w:kern w:val="2"/>
        </w:rPr>
        <w:t>五位一体的办学模式。把握校企合作的关键--建设紧密型基地，通过基地对招生、教学、科研、就业的辐射以及"五位"的"一体化"运作，凸显"高职"与"特色"两大要素，促进办学水平和办学实力的全面提升，实现学校的跨越式发展。</w:t>
      </w:r>
    </w:p>
    <w:p>
      <w:pPr>
        <w:pStyle w:val="17"/>
        <w:shd w:val="clear" w:color="auto" w:fill="FFFFFF"/>
        <w:snapToGrid w:val="0"/>
        <w:spacing w:before="0" w:beforeAutospacing="0" w:after="0" w:afterAutospacing="0" w:line="360" w:lineRule="auto"/>
        <w:ind w:firstLine="480" w:firstLineChars="200"/>
        <w:rPr>
          <w:rFonts w:ascii="Times New Roman" w:hAnsi="Times New Roman" w:cs="Times New Roman"/>
          <w:kern w:val="2"/>
        </w:rPr>
      </w:pPr>
      <w:r>
        <w:rPr>
          <w:rFonts w:hint="eastAsia" w:ascii="Times New Roman" w:hAnsi="Times New Roman" w:cs="Times New Roman"/>
          <w:kern w:val="2"/>
        </w:rPr>
        <w:t>虽然目前晋城市及周边典型的大型化工企业由于环保压力限产，导致一线操作工人过剩，近期无招工计划。但仔细调研可发现，大部分民营小规模化工类企业，尤其是新建项目的企业，对于</w:t>
      </w:r>
      <w:r>
        <w:rPr>
          <w:rFonts w:ascii="Times New Roman" w:hAnsi="Times New Roman" w:cs="Times New Roman"/>
          <w:kern w:val="2"/>
        </w:rPr>
        <w:t>高技能应用型人才</w:t>
      </w:r>
      <w:r>
        <w:rPr>
          <w:rFonts w:hint="eastAsia" w:ascii="Times New Roman" w:hAnsi="Times New Roman" w:cs="Times New Roman"/>
          <w:kern w:val="2"/>
        </w:rPr>
        <w:t>的需求还是非常高的，急需要</w:t>
      </w:r>
      <w:r>
        <w:rPr>
          <w:rFonts w:ascii="Times New Roman" w:hAnsi="Times New Roman" w:cs="Times New Roman"/>
          <w:kern w:val="2"/>
        </w:rPr>
        <w:t>地方高校强力的人才与科技实力支撑。基于此情况</w:t>
      </w:r>
      <w:r>
        <w:rPr>
          <w:rFonts w:hint="eastAsia" w:ascii="Times New Roman" w:hAnsi="Times New Roman" w:cs="Times New Roman"/>
          <w:kern w:val="2"/>
        </w:rPr>
        <w:t>，</w:t>
      </w:r>
      <w:r>
        <w:rPr>
          <w:rFonts w:ascii="Times New Roman" w:hAnsi="Times New Roman" w:cs="Times New Roman"/>
          <w:kern w:val="2"/>
        </w:rPr>
        <w:t>作为晋城唯一的一所高职院校</w:t>
      </w:r>
      <w:r>
        <w:rPr>
          <w:rFonts w:hint="eastAsia" w:ascii="Times New Roman" w:hAnsi="Times New Roman" w:cs="Times New Roman"/>
          <w:kern w:val="2"/>
        </w:rPr>
        <w:t>，</w:t>
      </w:r>
      <w:r>
        <w:rPr>
          <w:rFonts w:ascii="Times New Roman" w:hAnsi="Times New Roman" w:cs="Times New Roman"/>
          <w:kern w:val="2"/>
        </w:rPr>
        <w:t>我们应主动适应地方经济社会，由传统“经院封闭式”向现代“开门办学式”转变，顺应高职教育改革趋势与区域经济社会和谐发展要求，围绕高职教育的</w:t>
      </w:r>
      <w:r>
        <w:fldChar w:fldCharType="begin"/>
      </w:r>
      <w:r>
        <w:instrText xml:space="preserve"> HYPERLINK "https://baike.so.com/doc/5023917-5249873.html" \t "_blank" </w:instrText>
      </w:r>
      <w:r>
        <w:fldChar w:fldCharType="separate"/>
      </w:r>
      <w:r>
        <w:rPr>
          <w:rFonts w:ascii="Times New Roman" w:hAnsi="Times New Roman" w:cs="Times New Roman"/>
          <w:kern w:val="2"/>
        </w:rPr>
        <w:t>人才培养</w:t>
      </w:r>
      <w:r>
        <w:rPr>
          <w:rFonts w:ascii="Times New Roman" w:hAnsi="Times New Roman" w:cs="Times New Roman"/>
          <w:kern w:val="2"/>
        </w:rPr>
        <w:fldChar w:fldCharType="end"/>
      </w:r>
      <w:r>
        <w:rPr>
          <w:rFonts w:ascii="Times New Roman" w:hAnsi="Times New Roman" w:cs="Times New Roman"/>
          <w:kern w:val="2"/>
        </w:rPr>
        <w:t>目标，积极探索实践“五位一体”办学模式</w:t>
      </w:r>
      <w:r>
        <w:rPr>
          <w:rFonts w:hint="eastAsia" w:ascii="Times New Roman" w:hAnsi="Times New Roman" w:cs="Times New Roman"/>
          <w:kern w:val="2"/>
        </w:rPr>
        <w:t>。</w:t>
      </w:r>
    </w:p>
    <w:p>
      <w:pPr>
        <w:snapToGrid w:val="0"/>
        <w:spacing w:line="360" w:lineRule="auto"/>
        <w:ind w:firstLine="360" w:firstLineChars="150"/>
        <w:rPr>
          <w:sz w:val="24"/>
        </w:rPr>
      </w:pPr>
      <w:r>
        <w:rPr>
          <w:rFonts w:hint="eastAsia"/>
          <w:sz w:val="24"/>
        </w:rPr>
        <w:t>“</w:t>
      </w:r>
      <w:r>
        <w:rPr>
          <w:sz w:val="24"/>
        </w:rPr>
        <w:t>五位一体</w:t>
      </w:r>
      <w:r>
        <w:rPr>
          <w:rFonts w:hint="eastAsia"/>
          <w:sz w:val="24"/>
        </w:rPr>
        <w:t>”</w:t>
      </w:r>
      <w:r>
        <w:rPr>
          <w:sz w:val="24"/>
        </w:rPr>
        <w:t>办学模式的实践具体可表现为</w:t>
      </w:r>
      <w:r>
        <w:rPr>
          <w:rFonts w:hint="eastAsia"/>
          <w:sz w:val="24"/>
        </w:rPr>
        <w:t>：1）</w:t>
      </w:r>
      <w:r>
        <w:rPr>
          <w:sz w:val="24"/>
        </w:rPr>
        <w:t>突破校企合作中若即若离的瓶颈，紧紧把握了校企合作的关键</w:t>
      </w:r>
      <w:r>
        <w:rPr>
          <w:rFonts w:hint="eastAsia"/>
          <w:sz w:val="24"/>
        </w:rPr>
        <w:t>，依托</w:t>
      </w:r>
      <w:r>
        <w:rPr>
          <w:sz w:val="24"/>
        </w:rPr>
        <w:t>有需求的民营企业建设紧密型基地。通过多元办学、联合培养、科研合作、师资共享、奖教奖学、文化联姻，实现了校企从“邻居”到“亲戚”的转变。</w:t>
      </w:r>
      <w:r>
        <w:rPr>
          <w:rFonts w:hint="eastAsia"/>
          <w:sz w:val="24"/>
        </w:rPr>
        <w:t>2）</w:t>
      </w:r>
      <w:r>
        <w:rPr>
          <w:sz w:val="24"/>
        </w:rPr>
        <w:t>强化订单培养方式，使学校的招生呈现出良好的势头</w:t>
      </w:r>
      <w:r>
        <w:rPr>
          <w:rFonts w:hint="eastAsia"/>
          <w:sz w:val="24"/>
        </w:rPr>
        <w:t>；3）</w:t>
      </w:r>
      <w:r>
        <w:rPr>
          <w:sz w:val="24"/>
        </w:rPr>
        <w:t>促进学校课程的设置与开发更贴近市场，通过教务公开、教考分离、学生评教、教学督导、教学检查构建人才培养质量监控体系，有效地保证课堂教学、实验教学与实践教学的质量，促进人才培养质量和办学内涵的全面提升。</w:t>
      </w:r>
      <w:r>
        <w:rPr>
          <w:rFonts w:hint="eastAsia"/>
          <w:sz w:val="24"/>
        </w:rPr>
        <w:t>4）</w:t>
      </w:r>
      <w:r>
        <w:rPr>
          <w:sz w:val="24"/>
        </w:rPr>
        <w:t>采取联办应用型研究所、合建学科性公司等方式促成</w:t>
      </w:r>
      <w:r>
        <w:fldChar w:fldCharType="begin"/>
      </w:r>
      <w:r>
        <w:instrText xml:space="preserve"> HYPERLINK "https://baike.so.com/doc/4344296-4549356.html" \t "_blank" </w:instrText>
      </w:r>
      <w:r>
        <w:fldChar w:fldCharType="separate"/>
      </w:r>
      <w:r>
        <w:rPr>
          <w:sz w:val="24"/>
        </w:rPr>
        <w:t>资源共享</w:t>
      </w:r>
      <w:r>
        <w:rPr>
          <w:sz w:val="24"/>
        </w:rPr>
        <w:fldChar w:fldCharType="end"/>
      </w:r>
      <w:r>
        <w:rPr>
          <w:sz w:val="24"/>
        </w:rPr>
        <w:t>，凸现了大学的社会服务功能。</w:t>
      </w:r>
      <w:r>
        <w:rPr>
          <w:rFonts w:hint="eastAsia"/>
          <w:sz w:val="24"/>
        </w:rPr>
        <w:t>5）</w:t>
      </w:r>
      <w:r>
        <w:rPr>
          <w:sz w:val="24"/>
        </w:rPr>
        <w:t>形成校企互动的就业指导，畅通毕业生就业渠道。注重市场热点、企业人才资源买点、学生能力亮点的有机结合，在规模持续扩大的情况下保持较高的就业率</w:t>
      </w:r>
      <w:r>
        <w:rPr>
          <w:rFonts w:hint="eastAsia"/>
          <w:sz w:val="24"/>
        </w:rPr>
        <w:t>。</w:t>
      </w:r>
    </w:p>
    <w:p>
      <w:pPr>
        <w:snapToGrid w:val="0"/>
        <w:spacing w:line="360" w:lineRule="auto"/>
        <w:ind w:firstLine="480" w:firstLineChars="200"/>
        <w:rPr>
          <w:sz w:val="24"/>
        </w:rPr>
      </w:pPr>
      <w:r>
        <w:rPr>
          <w:sz w:val="24"/>
        </w:rPr>
        <w:t>2</w:t>
      </w:r>
      <w:r>
        <w:rPr>
          <w:rFonts w:hint="eastAsia"/>
          <w:sz w:val="24"/>
        </w:rPr>
        <w:t>．</w:t>
      </w:r>
      <w:r>
        <w:rPr>
          <w:sz w:val="24"/>
        </w:rPr>
        <w:t>建立校企结合的“双元制”办学模式</w:t>
      </w:r>
    </w:p>
    <w:p>
      <w:pPr>
        <w:snapToGrid w:val="0"/>
        <w:spacing w:line="360" w:lineRule="auto"/>
        <w:ind w:firstLine="480" w:firstLineChars="200"/>
        <w:rPr>
          <w:sz w:val="24"/>
        </w:rPr>
      </w:pPr>
      <w:r>
        <w:rPr>
          <w:sz w:val="24"/>
        </w:rPr>
        <w:t>“双元制”的德文词为“Ｄualsystem”，是一种青少年在企业里接受职业技能培训和部分时间在职业学校里接受专业理论和普通文化知识的义务教育形式。它将企业与学校，理论知识和实践技能教育紧密</w:t>
      </w:r>
      <w:r>
        <w:rPr>
          <w:rFonts w:hint="eastAsia"/>
          <w:sz w:val="24"/>
        </w:rPr>
        <w:t>地</w:t>
      </w:r>
      <w:r>
        <w:rPr>
          <w:sz w:val="24"/>
        </w:rPr>
        <w:t>结合起来，是一种主要以专业技术工人为培养目标的职业教育制度。“双元制”职业教育中培训企业和职业学校是互为依存，相辅相成，缺一不可的。</w:t>
      </w:r>
    </w:p>
    <w:p>
      <w:pPr>
        <w:snapToGrid w:val="0"/>
        <w:spacing w:line="360" w:lineRule="auto"/>
        <w:ind w:firstLine="480" w:firstLineChars="200"/>
        <w:rPr>
          <w:sz w:val="24"/>
        </w:rPr>
      </w:pPr>
      <w:r>
        <w:rPr>
          <w:sz w:val="24"/>
        </w:rPr>
        <w:t>职业学校是“双元制”中的“一元”，企业是“另一元”。这是“双元制”教育的根本特征。除此外“双元制”还有一些基本特征：一是有双重身份的学生，学生既是企业的学徒，又是职业学校的学生；二是两个学习场所，在企业中接受技能训练，在学校中学习理论知识，以企业培训为主；三是有两类教师，在职业学校里教文化课和专业理论课的理论老师，在企业里传授</w:t>
      </w:r>
      <w:r>
        <w:rPr>
          <w:rFonts w:hint="eastAsia"/>
          <w:sz w:val="24"/>
        </w:rPr>
        <w:t>、</w:t>
      </w:r>
      <w:r>
        <w:rPr>
          <w:sz w:val="24"/>
        </w:rPr>
        <w:t>指导与培训实践技能的实讯教师；四是两类教学大纲，职业学校的理论教学大纲，企业的实践技能大纲；五是两类考试――技能考试和资格考试。技能考试由行业协会负责实施，其目的是考核学生对企业培训所传授的技能和知识的掌握程度。理论考试由职业学校负责，一般包括笔试和口试；六是两类证书，考试证书与毕业证书（或培训证书）</w:t>
      </w:r>
      <w:r>
        <w:rPr>
          <w:rFonts w:hint="eastAsia"/>
          <w:sz w:val="24"/>
        </w:rPr>
        <w:t>。</w:t>
      </w:r>
    </w:p>
    <w:p>
      <w:pPr>
        <w:autoSpaceDE w:val="0"/>
        <w:autoSpaceDN w:val="0"/>
        <w:adjustRightInd w:val="0"/>
        <w:snapToGrid w:val="0"/>
        <w:spacing w:line="360" w:lineRule="auto"/>
        <w:ind w:firstLine="480" w:firstLineChars="200"/>
        <w:jc w:val="left"/>
        <w:rPr>
          <w:sz w:val="24"/>
        </w:rPr>
      </w:pPr>
      <w:r>
        <w:rPr>
          <w:rFonts w:hint="eastAsia"/>
          <w:sz w:val="24"/>
        </w:rPr>
        <w:t>2019年应用化工技术专业被选定为中德合作双元制培育项目，借此契机此专业可依托德国合作方的丰富资源，并结合本地化工行业的实际情况，迈出校企结合真正办学的第一步，拓展校企合作新模式。探索实施先进的教学方法——行为导向的教学法，建立考核考试新模式，改变专业课备课模式，利用教改促课改，学生作业形式的多元化，促进教师业务水平提高，加强学生综合素质的培养。</w:t>
      </w:r>
    </w:p>
    <w:p>
      <w:pPr>
        <w:spacing w:line="360" w:lineRule="auto"/>
        <w:ind w:firstLine="300" w:firstLineChars="100"/>
        <w:rPr>
          <w:rFonts w:ascii="黑体" w:hAnsi="黑体" w:eastAsia="黑体" w:cs="黑体"/>
          <w:bCs/>
          <w:sz w:val="30"/>
          <w:szCs w:val="30"/>
        </w:rPr>
      </w:pPr>
      <w:r>
        <w:rPr>
          <w:rFonts w:hint="eastAsia" w:ascii="黑体" w:hAnsi="黑体" w:eastAsia="黑体" w:cs="黑体"/>
          <w:bCs/>
          <w:sz w:val="30"/>
          <w:szCs w:val="30"/>
        </w:rPr>
        <w:t>（二）推进校企对接，深化人才培养模式改革</w:t>
      </w:r>
    </w:p>
    <w:p>
      <w:pPr>
        <w:pStyle w:val="31"/>
        <w:spacing w:before="0" w:beforeAutospacing="0" w:after="0" w:afterAutospacing="0" w:line="360" w:lineRule="auto"/>
        <w:ind w:firstLine="480" w:firstLineChars="200"/>
        <w:rPr>
          <w:rFonts w:ascii="Times New Roman" w:hAnsi="Times New Roman" w:eastAsia="宋体" w:cs="Times New Roman"/>
          <w:color w:val="auto"/>
          <w:kern w:val="2"/>
          <w:sz w:val="24"/>
          <w:szCs w:val="24"/>
        </w:rPr>
      </w:pPr>
      <w:r>
        <w:rPr>
          <w:rFonts w:ascii="Times New Roman" w:hAnsi="Times New Roman" w:eastAsia="宋体" w:cs="Times New Roman"/>
          <w:color w:val="auto"/>
          <w:kern w:val="2"/>
          <w:sz w:val="24"/>
          <w:szCs w:val="24"/>
        </w:rPr>
        <w:t>校企合作</w:t>
      </w:r>
      <w:r>
        <w:rPr>
          <w:rFonts w:hint="eastAsia" w:ascii="Times New Roman" w:hAnsi="Times New Roman" w:eastAsia="宋体" w:cs="Times New Roman"/>
          <w:color w:val="auto"/>
          <w:kern w:val="2"/>
          <w:sz w:val="24"/>
          <w:szCs w:val="24"/>
        </w:rPr>
        <w:t>人才培养就是：</w:t>
      </w:r>
      <w:r>
        <w:rPr>
          <w:rFonts w:ascii="Times New Roman" w:hAnsi="Times New Roman" w:eastAsia="宋体" w:cs="Times New Roman"/>
          <w:color w:val="auto"/>
          <w:kern w:val="2"/>
          <w:sz w:val="24"/>
          <w:szCs w:val="24"/>
        </w:rPr>
        <w:t>紧密结合行业、企业对高技能人才的需求，建立学校和企业联合培养高技能人才的制度。推进</w:t>
      </w:r>
      <w:r>
        <w:rPr>
          <w:rFonts w:hint="eastAsia" w:ascii="Times New Roman" w:hAnsi="Times New Roman" w:eastAsia="宋体" w:cs="Times New Roman"/>
          <w:color w:val="auto"/>
          <w:kern w:val="2"/>
          <w:sz w:val="24"/>
          <w:szCs w:val="24"/>
        </w:rPr>
        <w:t>校企合作，深化人才培养模式改革是加快国家人力资源开发，促进就业再就业的重大举措；是全面提高国民素质，把我国巨大的人口压力转化为人力资源优势，提升我国综合国力，构建和谐社会的重要途径。</w:t>
      </w:r>
    </w:p>
    <w:p>
      <w:pPr>
        <w:spacing w:line="360" w:lineRule="auto"/>
        <w:ind w:firstLine="480" w:firstLineChars="200"/>
        <w:rPr>
          <w:sz w:val="24"/>
        </w:rPr>
      </w:pPr>
      <w:r>
        <w:rPr>
          <w:rFonts w:hint="eastAsia"/>
          <w:sz w:val="24"/>
        </w:rPr>
        <w:t>1．</w:t>
      </w:r>
      <w:r>
        <w:rPr>
          <w:sz w:val="24"/>
        </w:rPr>
        <w:t>企业</w:t>
      </w:r>
      <w:r>
        <w:rPr>
          <w:rFonts w:hint="eastAsia"/>
          <w:sz w:val="24"/>
        </w:rPr>
        <w:t>参与</w:t>
      </w:r>
      <w:r>
        <w:rPr>
          <w:sz w:val="24"/>
        </w:rPr>
        <w:t>学校招生和毕业生的就业。</w:t>
      </w:r>
      <w:r>
        <w:rPr>
          <w:rFonts w:hint="eastAsia"/>
          <w:sz w:val="24"/>
        </w:rPr>
        <w:t>在学校招生阶段即</w:t>
      </w:r>
      <w:r>
        <w:rPr>
          <w:sz w:val="24"/>
        </w:rPr>
        <w:t>选拔</w:t>
      </w:r>
      <w:r>
        <w:rPr>
          <w:rFonts w:hint="eastAsia"/>
          <w:sz w:val="24"/>
        </w:rPr>
        <w:t>一个班</w:t>
      </w:r>
      <w:r>
        <w:rPr>
          <w:sz w:val="24"/>
        </w:rPr>
        <w:t>学生作为“签约准员工”</w:t>
      </w:r>
      <w:r>
        <w:rPr>
          <w:rFonts w:hint="eastAsia"/>
          <w:sz w:val="24"/>
        </w:rPr>
        <w:t>，</w:t>
      </w:r>
      <w:r>
        <w:rPr>
          <w:sz w:val="24"/>
        </w:rPr>
        <w:t>企业就缺口岗位与校方达成培</w:t>
      </w:r>
      <w:r>
        <w:rPr>
          <w:rFonts w:hint="eastAsia"/>
          <w:sz w:val="24"/>
        </w:rPr>
        <w:t>养</w:t>
      </w:r>
      <w:r>
        <w:rPr>
          <w:sz w:val="24"/>
        </w:rPr>
        <w:t>协议，每年所需专业人数通报校方，由校方负责招生、培养，企业</w:t>
      </w:r>
      <w:r>
        <w:rPr>
          <w:rFonts w:hint="eastAsia"/>
          <w:sz w:val="24"/>
        </w:rPr>
        <w:t>选</w:t>
      </w:r>
      <w:r>
        <w:rPr>
          <w:sz w:val="24"/>
        </w:rPr>
        <w:t>择优</w:t>
      </w:r>
      <w:r>
        <w:rPr>
          <w:rFonts w:hint="eastAsia"/>
          <w:sz w:val="24"/>
        </w:rPr>
        <w:t>秀</w:t>
      </w:r>
      <w:r>
        <w:rPr>
          <w:sz w:val="24"/>
        </w:rPr>
        <w:t>学生</w:t>
      </w:r>
      <w:r>
        <w:rPr>
          <w:rFonts w:hint="eastAsia"/>
          <w:sz w:val="24"/>
        </w:rPr>
        <w:t>进企业顶岗实习一年</w:t>
      </w:r>
      <w:r>
        <w:rPr>
          <w:sz w:val="24"/>
        </w:rPr>
        <w:t>，校企共同签定高技能人才的就业协议。</w:t>
      </w:r>
      <w:r>
        <w:rPr>
          <w:rFonts w:hint="eastAsia"/>
          <w:sz w:val="24"/>
        </w:rPr>
        <w:t>校企双方合作</w:t>
      </w:r>
      <w:r>
        <w:rPr>
          <w:sz w:val="24"/>
        </w:rPr>
        <w:t>共同研究培养高技能人才的</w:t>
      </w:r>
      <w:r>
        <w:rPr>
          <w:rFonts w:hint="eastAsia"/>
          <w:sz w:val="24"/>
        </w:rPr>
        <w:t>专业教学计划，使</w:t>
      </w:r>
      <w:r>
        <w:rPr>
          <w:sz w:val="24"/>
        </w:rPr>
        <w:t>学校的专业</w:t>
      </w:r>
      <w:r>
        <w:rPr>
          <w:rFonts w:hint="eastAsia"/>
          <w:sz w:val="24"/>
        </w:rPr>
        <w:t>教学计划</w:t>
      </w:r>
      <w:r>
        <w:rPr>
          <w:sz w:val="24"/>
        </w:rPr>
        <w:t>能够与市场需求良好对接；注意把企业人力资源开发计划与学</w:t>
      </w:r>
      <w:r>
        <w:rPr>
          <w:rFonts w:hint="eastAsia"/>
          <w:sz w:val="24"/>
        </w:rPr>
        <w:t>校</w:t>
      </w:r>
      <w:r>
        <w:rPr>
          <w:sz w:val="24"/>
        </w:rPr>
        <w:t>的教学计划、</w:t>
      </w:r>
      <w:r>
        <w:rPr>
          <w:rFonts w:hint="eastAsia"/>
          <w:sz w:val="24"/>
        </w:rPr>
        <w:t>课程标准</w:t>
      </w:r>
      <w:r>
        <w:rPr>
          <w:sz w:val="24"/>
        </w:rPr>
        <w:t>对接，使企业人力资源开发和学</w:t>
      </w:r>
      <w:r>
        <w:rPr>
          <w:rFonts w:hint="eastAsia"/>
          <w:sz w:val="24"/>
        </w:rPr>
        <w:t>校</w:t>
      </w:r>
      <w:r>
        <w:rPr>
          <w:sz w:val="24"/>
        </w:rPr>
        <w:t xml:space="preserve">教学环节紧密结合，教学针对性更强。 </w:t>
      </w:r>
    </w:p>
    <w:p>
      <w:pPr>
        <w:spacing w:line="360" w:lineRule="auto"/>
        <w:ind w:firstLine="480" w:firstLineChars="200"/>
        <w:rPr>
          <w:sz w:val="24"/>
        </w:rPr>
      </w:pPr>
      <w:r>
        <w:rPr>
          <w:rFonts w:hint="eastAsia"/>
          <w:sz w:val="24"/>
        </w:rPr>
        <w:t>2．</w:t>
      </w:r>
      <w:r>
        <w:rPr>
          <w:sz w:val="24"/>
        </w:rPr>
        <w:t>企业为校方提供实践基地，由企业指派人员对学生进行实训；</w:t>
      </w:r>
      <w:r>
        <w:rPr>
          <w:rFonts w:hint="eastAsia"/>
          <w:sz w:val="24"/>
        </w:rPr>
        <w:t>加强学校教学与工作实际的结合，弥补学校教育与企业实际工作脱节的缺陷</w:t>
      </w:r>
      <w:r>
        <w:rPr>
          <w:sz w:val="24"/>
        </w:rPr>
        <w:t>，培养和锻炼学生解决企业</w:t>
      </w:r>
      <w:r>
        <w:rPr>
          <w:rFonts w:hint="eastAsia"/>
          <w:sz w:val="24"/>
        </w:rPr>
        <w:t>工作</w:t>
      </w:r>
      <w:r>
        <w:rPr>
          <w:sz w:val="24"/>
        </w:rPr>
        <w:t>一线实际问题的能力。校企共同研究开发培养高技能人才的教材；</w:t>
      </w:r>
      <w:r>
        <w:rPr>
          <w:rFonts w:hint="eastAsia"/>
          <w:sz w:val="24"/>
        </w:rPr>
        <w:t>并</w:t>
      </w:r>
      <w:r>
        <w:rPr>
          <w:sz w:val="24"/>
        </w:rPr>
        <w:t>将与企业生产密切相关的、直接从企业</w:t>
      </w:r>
      <w:r>
        <w:rPr>
          <w:rFonts w:hint="eastAsia"/>
          <w:sz w:val="24"/>
        </w:rPr>
        <w:t>工作</w:t>
      </w:r>
      <w:r>
        <w:rPr>
          <w:sz w:val="24"/>
        </w:rPr>
        <w:t>一线提炼出的</w:t>
      </w:r>
      <w:r>
        <w:rPr>
          <w:rFonts w:hint="eastAsia"/>
          <w:sz w:val="24"/>
        </w:rPr>
        <w:t>实际</w:t>
      </w:r>
      <w:r>
        <w:rPr>
          <w:sz w:val="24"/>
        </w:rPr>
        <w:t>案例式教学课题，</w:t>
      </w:r>
      <w:r>
        <w:rPr>
          <w:rFonts w:hint="eastAsia"/>
          <w:sz w:val="24"/>
        </w:rPr>
        <w:t>在校内对学生进行实用的案例教学，或</w:t>
      </w:r>
      <w:r>
        <w:rPr>
          <w:sz w:val="24"/>
        </w:rPr>
        <w:t>直接放到校企合作基地企业，由企业工程技术人员或</w:t>
      </w:r>
      <w:r>
        <w:rPr>
          <w:rFonts w:hint="eastAsia"/>
          <w:sz w:val="24"/>
        </w:rPr>
        <w:t>技术</w:t>
      </w:r>
      <w:r>
        <w:rPr>
          <w:sz w:val="24"/>
        </w:rPr>
        <w:t>骨干，根据课题的内容和教学要求在生产现场实施教学</w:t>
      </w:r>
      <w:r>
        <w:rPr>
          <w:rFonts w:hint="eastAsia"/>
          <w:sz w:val="24"/>
        </w:rPr>
        <w:t>。</w:t>
      </w:r>
    </w:p>
    <w:p>
      <w:pPr>
        <w:spacing w:line="360" w:lineRule="auto"/>
        <w:ind w:firstLine="480" w:firstLineChars="200"/>
        <w:rPr>
          <w:sz w:val="24"/>
        </w:rPr>
      </w:pPr>
      <w:r>
        <w:rPr>
          <w:rFonts w:hint="eastAsia"/>
          <w:sz w:val="24"/>
        </w:rPr>
        <w:t>3．</w:t>
      </w:r>
      <w:r>
        <w:rPr>
          <w:sz w:val="24"/>
        </w:rPr>
        <w:t>学校根据企业需要对</w:t>
      </w:r>
      <w:r>
        <w:rPr>
          <w:rFonts w:hint="eastAsia"/>
          <w:sz w:val="24"/>
        </w:rPr>
        <w:t>企业的在岗人</w:t>
      </w:r>
      <w:r>
        <w:rPr>
          <w:sz w:val="24"/>
        </w:rPr>
        <w:t>员进行专业知识培训</w:t>
      </w:r>
      <w:r>
        <w:rPr>
          <w:rFonts w:hint="eastAsia"/>
          <w:sz w:val="24"/>
        </w:rPr>
        <w:t>或取证培训。</w:t>
      </w:r>
    </w:p>
    <w:p>
      <w:pPr>
        <w:pStyle w:val="31"/>
        <w:spacing w:before="0" w:beforeAutospacing="0" w:after="0" w:afterAutospacing="0" w:line="360" w:lineRule="auto"/>
        <w:ind w:firstLine="480" w:firstLineChars="200"/>
        <w:rPr>
          <w:rFonts w:ascii="Times New Roman" w:hAnsi="Times New Roman" w:eastAsia="宋体" w:cs="Times New Roman"/>
          <w:color w:val="auto"/>
          <w:kern w:val="2"/>
          <w:sz w:val="24"/>
          <w:szCs w:val="24"/>
        </w:rPr>
      </w:pPr>
      <w:r>
        <w:rPr>
          <w:rFonts w:hint="eastAsia" w:ascii="Times New Roman" w:hAnsi="Times New Roman" w:eastAsia="宋体" w:cs="Times New Roman"/>
          <w:color w:val="auto"/>
          <w:kern w:val="2"/>
          <w:sz w:val="24"/>
          <w:szCs w:val="24"/>
        </w:rPr>
        <w:t>4．</w:t>
      </w:r>
      <w:r>
        <w:rPr>
          <w:rFonts w:ascii="Times New Roman" w:hAnsi="Times New Roman" w:eastAsia="宋体" w:cs="Times New Roman"/>
          <w:color w:val="auto"/>
          <w:kern w:val="2"/>
          <w:sz w:val="24"/>
          <w:szCs w:val="24"/>
        </w:rPr>
        <w:t>拓宽产学研一体化办学</w:t>
      </w:r>
      <w:r>
        <w:rPr>
          <w:rFonts w:hint="eastAsia" w:ascii="Times New Roman" w:hAnsi="Times New Roman" w:eastAsia="宋体" w:cs="Times New Roman"/>
          <w:color w:val="auto"/>
          <w:kern w:val="2"/>
          <w:sz w:val="24"/>
          <w:szCs w:val="24"/>
        </w:rPr>
        <w:t>思路，在条件成熟时，</w:t>
      </w:r>
      <w:r>
        <w:rPr>
          <w:rFonts w:ascii="Times New Roman" w:hAnsi="Times New Roman" w:eastAsia="宋体" w:cs="Times New Roman"/>
          <w:color w:val="auto"/>
          <w:kern w:val="2"/>
          <w:sz w:val="24"/>
          <w:szCs w:val="24"/>
        </w:rPr>
        <w:t>积极承接企业加工难题，由教师带领</w:t>
      </w:r>
      <w:r>
        <w:rPr>
          <w:rFonts w:hint="eastAsia" w:ascii="Times New Roman" w:hAnsi="Times New Roman" w:eastAsia="宋体" w:cs="Times New Roman"/>
          <w:color w:val="auto"/>
          <w:kern w:val="2"/>
          <w:sz w:val="24"/>
          <w:szCs w:val="24"/>
        </w:rPr>
        <w:t>冠名</w:t>
      </w:r>
      <w:r>
        <w:rPr>
          <w:rFonts w:ascii="Times New Roman" w:hAnsi="Times New Roman" w:eastAsia="宋体" w:cs="Times New Roman"/>
          <w:color w:val="auto"/>
          <w:kern w:val="2"/>
          <w:sz w:val="24"/>
          <w:szCs w:val="24"/>
        </w:rPr>
        <w:t>班学生进行技术攻关，成功后将其开发成</w:t>
      </w:r>
      <w:r>
        <w:rPr>
          <w:rFonts w:hint="eastAsia" w:ascii="Times New Roman" w:hAnsi="Times New Roman" w:eastAsia="宋体" w:cs="Times New Roman"/>
          <w:color w:val="auto"/>
          <w:kern w:val="2"/>
          <w:sz w:val="24"/>
          <w:szCs w:val="24"/>
        </w:rPr>
        <w:t>冠名</w:t>
      </w:r>
      <w:r>
        <w:rPr>
          <w:rFonts w:ascii="Times New Roman" w:hAnsi="Times New Roman" w:eastAsia="宋体" w:cs="Times New Roman"/>
          <w:color w:val="auto"/>
          <w:kern w:val="2"/>
          <w:sz w:val="24"/>
          <w:szCs w:val="24"/>
        </w:rPr>
        <w:t>班教学课题</w:t>
      </w:r>
      <w:r>
        <w:rPr>
          <w:rFonts w:hint="eastAsia" w:ascii="Times New Roman" w:hAnsi="Times New Roman" w:eastAsia="宋体" w:cs="Times New Roman"/>
          <w:color w:val="auto"/>
          <w:kern w:val="2"/>
          <w:sz w:val="24"/>
          <w:szCs w:val="24"/>
        </w:rPr>
        <w:t>。</w:t>
      </w:r>
    </w:p>
    <w:p>
      <w:pPr>
        <w:pStyle w:val="31"/>
        <w:spacing w:before="0" w:beforeAutospacing="0" w:after="0" w:afterAutospacing="0" w:line="360" w:lineRule="auto"/>
        <w:ind w:firstLine="480" w:firstLineChars="200"/>
        <w:rPr>
          <w:rFonts w:ascii="Times New Roman" w:hAnsi="Times New Roman" w:eastAsia="宋体" w:cs="Times New Roman"/>
          <w:color w:val="auto"/>
          <w:kern w:val="2"/>
          <w:sz w:val="24"/>
          <w:szCs w:val="24"/>
        </w:rPr>
      </w:pPr>
      <w:r>
        <w:rPr>
          <w:rFonts w:hint="eastAsia" w:ascii="Times New Roman" w:hAnsi="Times New Roman" w:eastAsia="宋体" w:cs="Times New Roman"/>
          <w:color w:val="auto"/>
          <w:kern w:val="2"/>
          <w:sz w:val="24"/>
          <w:szCs w:val="24"/>
        </w:rPr>
        <w:t>5．</w:t>
      </w:r>
      <w:r>
        <w:rPr>
          <w:rFonts w:ascii="Times New Roman" w:hAnsi="Times New Roman" w:eastAsia="宋体" w:cs="Times New Roman"/>
          <w:color w:val="auto"/>
          <w:kern w:val="2"/>
          <w:sz w:val="24"/>
          <w:szCs w:val="24"/>
        </w:rPr>
        <w:t>将企业文化与理念传输给教师和学生。</w:t>
      </w:r>
      <w:r>
        <w:rPr>
          <w:rFonts w:hint="eastAsia" w:ascii="Times New Roman" w:hAnsi="Times New Roman" w:eastAsia="宋体" w:cs="Times New Roman"/>
          <w:color w:val="auto"/>
          <w:kern w:val="2"/>
          <w:sz w:val="24"/>
          <w:szCs w:val="24"/>
        </w:rPr>
        <w:t>每年请企业有关部门主管为学生做名为“企业需要什么样的员工”的讲座。</w:t>
      </w:r>
      <w:r>
        <w:rPr>
          <w:rFonts w:ascii="Times New Roman" w:hAnsi="Times New Roman" w:eastAsia="宋体" w:cs="Times New Roman"/>
          <w:color w:val="auto"/>
          <w:kern w:val="2"/>
          <w:sz w:val="24"/>
          <w:szCs w:val="24"/>
        </w:rPr>
        <w:t>企业还参与对学生的评价、学生管理模式</w:t>
      </w:r>
      <w:r>
        <w:rPr>
          <w:rFonts w:hint="eastAsia" w:ascii="Times New Roman" w:hAnsi="Times New Roman" w:eastAsia="宋体" w:cs="Times New Roman"/>
          <w:color w:val="auto"/>
          <w:kern w:val="2"/>
          <w:sz w:val="24"/>
          <w:szCs w:val="24"/>
        </w:rPr>
        <w:t>的制订，有针对性地培养学生的职业责任感和敬业精神。搞好专业文化建设，通过引入企业文化，校企结合，培养学生适合企业需要的专业文化素质，即：</w:t>
      </w:r>
      <w:r>
        <w:rPr>
          <w:rFonts w:ascii="Times New Roman" w:hAnsi="Times New Roman" w:eastAsia="宋体" w:cs="Times New Roman"/>
          <w:color w:val="auto"/>
          <w:kern w:val="2"/>
          <w:sz w:val="24"/>
          <w:szCs w:val="24"/>
        </w:rPr>
        <w:t>专业化的工作技能包含技术、资质和通用管理能力；专业化的工作方式包含形象、思维、语言；专业化工作操守包含道德、态度、意识。</w:t>
      </w:r>
    </w:p>
    <w:p>
      <w:pPr>
        <w:spacing w:line="360" w:lineRule="auto"/>
        <w:ind w:firstLine="300" w:firstLineChars="100"/>
        <w:rPr>
          <w:rFonts w:ascii="黑体" w:hAnsi="黑体" w:eastAsia="黑体" w:cs="黑体"/>
          <w:bCs/>
          <w:sz w:val="30"/>
          <w:szCs w:val="30"/>
        </w:rPr>
      </w:pPr>
      <w:r>
        <w:rPr>
          <w:rFonts w:hint="eastAsia" w:ascii="黑体" w:hAnsi="黑体" w:eastAsia="黑体" w:cs="黑体"/>
          <w:bCs/>
          <w:sz w:val="30"/>
          <w:szCs w:val="30"/>
        </w:rPr>
        <w:t>（三）改革课程与教学</w:t>
      </w:r>
    </w:p>
    <w:p>
      <w:pPr>
        <w:spacing w:line="440" w:lineRule="exact"/>
        <w:ind w:firstLine="480" w:firstLineChars="200"/>
        <w:rPr>
          <w:sz w:val="24"/>
        </w:rPr>
      </w:pPr>
      <w:r>
        <w:rPr>
          <w:sz w:val="24"/>
        </w:rPr>
        <w:t>1</w:t>
      </w:r>
      <w:r>
        <w:rPr>
          <w:rFonts w:hint="eastAsia"/>
          <w:sz w:val="24"/>
        </w:rPr>
        <w:t>．</w:t>
      </w:r>
      <w:r>
        <w:rPr>
          <w:sz w:val="24"/>
        </w:rPr>
        <w:t>构建基于工作过程的课程体系和课程内容</w:t>
      </w:r>
    </w:p>
    <w:p>
      <w:pPr>
        <w:spacing w:line="440" w:lineRule="exact"/>
        <w:ind w:firstLine="480" w:firstLineChars="200"/>
        <w:rPr>
          <w:sz w:val="24"/>
        </w:rPr>
      </w:pPr>
      <w:r>
        <w:rPr>
          <w:sz w:val="24"/>
        </w:rPr>
        <w:t>根据应用化工技术专业高技能型专门人才培养目标的要求，在专业建设指导委员会的指导下，对应就业岗位，构建岗位能力教学主线，重构基于化工生产过程系统化的课程体系和教材内容。</w:t>
      </w:r>
    </w:p>
    <w:p>
      <w:pPr>
        <w:spacing w:line="440" w:lineRule="exact"/>
        <w:ind w:firstLine="480" w:firstLineChars="200"/>
        <w:rPr>
          <w:sz w:val="24"/>
        </w:rPr>
      </w:pPr>
      <w:r>
        <w:rPr>
          <w:sz w:val="24"/>
        </w:rPr>
        <w:t>通过化工企业生产工作岗位调研、化工生产岗位人才使用规格与要求调研、毕业生工作情况追踪调研开展企业调研，明确毕业生工作岗位与要求。聘请专家，开展典型工作任务分析。对典型工作任务进行归纳，确定行动领域，进而转换成学习领域。</w:t>
      </w:r>
    </w:p>
    <w:p>
      <w:pPr>
        <w:spacing w:line="440" w:lineRule="exact"/>
        <w:ind w:firstLine="480" w:firstLineChars="200"/>
        <w:rPr>
          <w:sz w:val="24"/>
        </w:rPr>
      </w:pPr>
      <w:r>
        <w:rPr>
          <w:sz w:val="24"/>
        </w:rPr>
        <w:t>按照工作过程系统化导向，分析化工生产过程，将职业技能鉴定内容融入课程，整合现有课程，突出学生能力培养。开展理论与实践相融合的教学活动，强</w:t>
      </w:r>
    </w:p>
    <w:p>
      <w:pPr>
        <w:spacing w:line="480" w:lineRule="exact"/>
        <w:rPr>
          <w:rFonts w:eastAsia="黑体"/>
          <w:bCs/>
          <w:color w:val="000000"/>
          <w:sz w:val="24"/>
        </w:rPr>
      </w:pPr>
      <w:r>
        <w:rPr>
          <w:sz w:val="24"/>
        </w:rPr>
        <w:t>化实践教学环节，利用校内生产性和仿真性实训车间、企业生产现场，以化工生产为主线，形成基于化工生产工作过程系统化的课程体系。</w:t>
      </w:r>
    </w:p>
    <w:p>
      <w:pPr>
        <w:spacing w:line="360" w:lineRule="auto"/>
        <w:rPr>
          <w:rFonts w:hAnsi="宋体"/>
          <w:sz w:val="24"/>
        </w:rPr>
      </w:pPr>
    </w:p>
    <w:p>
      <w:pPr>
        <w:spacing w:line="360" w:lineRule="auto"/>
        <w:ind w:firstLine="840" w:firstLineChars="300"/>
        <w:rPr>
          <w:rFonts w:hAnsi="宋体"/>
          <w:sz w:val="24"/>
        </w:rPr>
      </w:pPr>
      <w:r>
        <w:rPr>
          <w:rFonts w:eastAsia="仿宋_GB2312"/>
          <w:sz w:val="28"/>
          <w:szCs w:val="28"/>
        </w:rPr>
        <w:drawing>
          <wp:inline distT="0" distB="0" distL="0" distR="0">
            <wp:extent cx="4083050" cy="2438400"/>
            <wp:effectExtent l="1905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noChangeArrowheads="1"/>
                    </pic:cNvPicPr>
                  </pic:nvPicPr>
                  <pic:blipFill>
                    <a:blip r:embed="rId15"/>
                    <a:srcRect/>
                    <a:stretch>
                      <a:fillRect/>
                    </a:stretch>
                  </pic:blipFill>
                  <pic:spPr>
                    <a:xfrm>
                      <a:off x="0" y="0"/>
                      <a:ext cx="4083050" cy="2438400"/>
                    </a:xfrm>
                    <a:prstGeom prst="rect">
                      <a:avLst/>
                    </a:prstGeom>
                    <a:noFill/>
                    <a:ln w="9525">
                      <a:noFill/>
                      <a:miter lim="800000"/>
                      <a:headEnd/>
                      <a:tailEnd/>
                    </a:ln>
                  </pic:spPr>
                </pic:pic>
              </a:graphicData>
            </a:graphic>
          </wp:inline>
        </w:drawing>
      </w:r>
    </w:p>
    <w:p>
      <w:pPr>
        <w:spacing w:line="360" w:lineRule="auto"/>
        <w:ind w:firstLine="1920" w:firstLineChars="800"/>
        <w:rPr>
          <w:sz w:val="24"/>
        </w:rPr>
      </w:pPr>
      <w:r>
        <w:rPr>
          <w:rFonts w:hAnsi="宋体"/>
          <w:sz w:val="24"/>
        </w:rPr>
        <w:t>图</w:t>
      </w:r>
      <w:r>
        <w:rPr>
          <w:sz w:val="24"/>
        </w:rPr>
        <w:t>2.</w:t>
      </w:r>
      <w:r>
        <w:rPr>
          <w:rFonts w:hint="eastAsia"/>
          <w:sz w:val="24"/>
        </w:rPr>
        <w:t>5</w:t>
      </w:r>
      <w:r>
        <w:rPr>
          <w:rFonts w:hAnsi="宋体"/>
          <w:sz w:val="24"/>
        </w:rPr>
        <w:t>基于工作过程的课程体系开发</w:t>
      </w:r>
      <w:r>
        <w:rPr>
          <w:rFonts w:hint="eastAsia" w:hAnsi="宋体"/>
          <w:sz w:val="24"/>
        </w:rPr>
        <w:t>过程</w:t>
      </w:r>
    </w:p>
    <w:p>
      <w:pPr>
        <w:spacing w:line="480" w:lineRule="exact"/>
        <w:ind w:firstLine="480" w:firstLineChars="200"/>
        <w:rPr>
          <w:color w:val="000000"/>
          <w:sz w:val="24"/>
        </w:rPr>
      </w:pPr>
      <w:r>
        <w:rPr>
          <w:rFonts w:eastAsia="黑体"/>
          <w:bCs/>
          <w:color w:val="000000"/>
          <w:sz w:val="24"/>
        </w:rPr>
        <w:t>2</w:t>
      </w:r>
      <w:r>
        <w:rPr>
          <w:rFonts w:hint="eastAsia" w:eastAsia="黑体"/>
          <w:bCs/>
          <w:color w:val="000000"/>
          <w:sz w:val="24"/>
        </w:rPr>
        <w:t>．</w:t>
      </w:r>
      <w:r>
        <w:rPr>
          <w:color w:val="000000"/>
          <w:sz w:val="24"/>
        </w:rPr>
        <w:t>教学方法和手段改革</w:t>
      </w:r>
    </w:p>
    <w:p>
      <w:pPr>
        <w:spacing w:line="480" w:lineRule="exact"/>
        <w:ind w:firstLine="360" w:firstLineChars="150"/>
        <w:jc w:val="left"/>
        <w:rPr>
          <w:color w:val="000000"/>
          <w:sz w:val="24"/>
        </w:rPr>
      </w:pPr>
      <w:r>
        <w:rPr>
          <w:color w:val="000000"/>
          <w:sz w:val="24"/>
        </w:rPr>
        <w:t>（1）强化学生素质培养，改进教育教学过程</w:t>
      </w:r>
    </w:p>
    <w:p>
      <w:pPr>
        <w:spacing w:line="480" w:lineRule="exact"/>
        <w:ind w:firstLine="480" w:firstLineChars="200"/>
        <w:jc w:val="left"/>
        <w:rPr>
          <w:color w:val="000000"/>
          <w:sz w:val="24"/>
        </w:rPr>
      </w:pPr>
      <w:r>
        <w:rPr>
          <w:color w:val="000000"/>
          <w:sz w:val="24"/>
        </w:rPr>
        <w:t>根据学生特点和人才培养目标的要求，推行任务驱动、项目导向等教学做一体的教学模式，采用操作技能实训和课堂教学功能兼备的仿真、模拟实训室组织教学</w:t>
      </w:r>
      <w:r>
        <w:rPr>
          <w:rFonts w:hint="eastAsia"/>
          <w:color w:val="000000"/>
          <w:sz w:val="24"/>
        </w:rPr>
        <w:t>，</w:t>
      </w:r>
      <w:r>
        <w:rPr>
          <w:color w:val="000000"/>
          <w:sz w:val="24"/>
        </w:rPr>
        <w:t>使学生在实践中学习。大力开展学生技能竞赛活动，由校内指导教师和企业兼职教师共同组织化工安全、化工检验、化工总控等岗位技能大赛，激发学生的学习兴趣和潜能，培养学生的团队协作和创新能力。</w:t>
      </w:r>
    </w:p>
    <w:p>
      <w:pPr>
        <w:spacing w:line="480" w:lineRule="exact"/>
        <w:ind w:firstLine="360" w:firstLineChars="150"/>
        <w:jc w:val="left"/>
        <w:rPr>
          <w:color w:val="000000"/>
          <w:sz w:val="24"/>
        </w:rPr>
      </w:pPr>
      <w:r>
        <w:rPr>
          <w:color w:val="000000"/>
          <w:sz w:val="24"/>
        </w:rPr>
        <w:t>（2）改造提升传统教学，加快信息技术应用</w:t>
      </w:r>
    </w:p>
    <w:p>
      <w:pPr>
        <w:spacing w:line="440" w:lineRule="exact"/>
        <w:ind w:firstLine="480" w:firstLineChars="200"/>
        <w:rPr>
          <w:sz w:val="24"/>
        </w:rPr>
      </w:pPr>
      <w:r>
        <w:rPr>
          <w:color w:val="000000"/>
          <w:sz w:val="24"/>
        </w:rPr>
        <w:t>适应“互联网+职业教育”新要求，全面提升教师信息技术应用能力，推进现代化教学手段和方法改革，推动信息化与职业教育的深度融合。教师在教育信息化进程中要逐渐转变角色，由知识信息的权威传授者转变为知识信息接收的引导者，成为学生的学习和</w:t>
      </w:r>
      <w:r>
        <w:rPr>
          <w:sz w:val="24"/>
        </w:rPr>
        <w:t>研究伙伴，培养学生自主建构知识的能力，并且激发学生的探索研究精神、批判精神，培养学生的研究能力、决策和处理问题的能力。</w:t>
      </w:r>
    </w:p>
    <w:p>
      <w:pPr>
        <w:spacing w:line="360" w:lineRule="auto"/>
        <w:ind w:firstLine="300" w:firstLineChars="100"/>
        <w:rPr>
          <w:rFonts w:ascii="黑体" w:hAnsi="黑体" w:eastAsia="黑体" w:cs="黑体"/>
          <w:bCs/>
          <w:sz w:val="30"/>
          <w:szCs w:val="30"/>
        </w:rPr>
      </w:pPr>
      <w:r>
        <w:rPr>
          <w:rFonts w:hint="eastAsia" w:ascii="黑体" w:hAnsi="黑体" w:eastAsia="黑体" w:cs="黑体"/>
          <w:bCs/>
          <w:sz w:val="30"/>
          <w:szCs w:val="30"/>
        </w:rPr>
        <w:t>（四）加强“双师”素质教学团队建设</w:t>
      </w:r>
    </w:p>
    <w:p>
      <w:pPr>
        <w:spacing w:line="440" w:lineRule="exact"/>
        <w:ind w:firstLine="480" w:firstLineChars="200"/>
        <w:rPr>
          <w:color w:val="000000"/>
          <w:sz w:val="24"/>
        </w:rPr>
      </w:pPr>
      <w:r>
        <w:rPr>
          <w:sz w:val="24"/>
        </w:rPr>
        <w:t>通过引聘与培养相结合，建设专兼结合的双师素质专业教学团队。具体</w:t>
      </w:r>
      <w:r>
        <w:rPr>
          <w:color w:val="000000"/>
          <w:sz w:val="24"/>
        </w:rPr>
        <w:t>措施如下</w:t>
      </w:r>
      <w:r>
        <w:rPr>
          <w:rFonts w:hint="eastAsia"/>
          <w:color w:val="000000"/>
          <w:sz w:val="24"/>
        </w:rPr>
        <w:t>：</w:t>
      </w:r>
    </w:p>
    <w:p>
      <w:pPr>
        <w:spacing w:line="440" w:lineRule="exact"/>
        <w:ind w:firstLine="480" w:firstLineChars="200"/>
        <w:rPr>
          <w:color w:val="000000"/>
          <w:sz w:val="24"/>
        </w:rPr>
      </w:pPr>
      <w:r>
        <w:rPr>
          <w:rFonts w:hint="eastAsia"/>
          <w:color w:val="000000"/>
          <w:sz w:val="24"/>
        </w:rPr>
        <w:t>1．招聘或柔性引进具有双师素质的教师。</w:t>
      </w:r>
    </w:p>
    <w:p>
      <w:pPr>
        <w:spacing w:line="440" w:lineRule="exact"/>
        <w:ind w:firstLine="360" w:firstLineChars="150"/>
        <w:rPr>
          <w:color w:val="000000"/>
          <w:sz w:val="24"/>
        </w:rPr>
      </w:pPr>
      <w:r>
        <w:rPr>
          <w:rFonts w:hint="eastAsia"/>
          <w:color w:val="000000"/>
          <w:sz w:val="24"/>
        </w:rPr>
        <w:t>（1）调入一批具有3年及其以上企业工作经历、中级及其以上专技职称的技能型人才。</w:t>
      </w:r>
    </w:p>
    <w:p>
      <w:pPr>
        <w:spacing w:line="440" w:lineRule="exact"/>
        <w:ind w:firstLine="360" w:firstLineChars="150"/>
        <w:rPr>
          <w:color w:val="000000"/>
          <w:sz w:val="24"/>
        </w:rPr>
      </w:pPr>
      <w:r>
        <w:rPr>
          <w:rFonts w:hint="eastAsia"/>
          <w:color w:val="000000"/>
          <w:sz w:val="24"/>
        </w:rPr>
        <w:t>（2）引进一批在国内技能大赛中获奖的高技能人才和享受国务院政府特殊津贴（高技能）的专家。</w:t>
      </w:r>
    </w:p>
    <w:p>
      <w:pPr>
        <w:spacing w:line="440" w:lineRule="exact"/>
        <w:ind w:firstLine="360" w:firstLineChars="150"/>
        <w:rPr>
          <w:color w:val="000000"/>
          <w:sz w:val="24"/>
        </w:rPr>
      </w:pPr>
      <w:r>
        <w:rPr>
          <w:rFonts w:hint="eastAsia"/>
          <w:color w:val="000000"/>
          <w:sz w:val="24"/>
        </w:rPr>
        <w:t>（3）柔性引进一批企事业单位高管或高级技术人员、能工巧匠等为兼职教师,逐步形成较稳定的校外双师型兼职教师队伍。学校为外聘的双师型兼职教师从事教学实践活动提供相应的工作、生活条件，打通学校和行业企业人才流通渠道。具体安排由聘请学院和受聘人协商解决。</w:t>
      </w:r>
    </w:p>
    <w:p>
      <w:pPr>
        <w:spacing w:line="440" w:lineRule="exact"/>
        <w:ind w:firstLine="480" w:firstLineChars="200"/>
        <w:rPr>
          <w:color w:val="000000"/>
          <w:sz w:val="24"/>
        </w:rPr>
      </w:pPr>
      <w:r>
        <w:rPr>
          <w:rFonts w:hint="eastAsia"/>
          <w:color w:val="000000"/>
          <w:sz w:val="24"/>
        </w:rPr>
        <w:t>2．建立健全双师型教师培训提高的机制。</w:t>
      </w:r>
    </w:p>
    <w:p>
      <w:pPr>
        <w:spacing w:line="440" w:lineRule="exact"/>
        <w:ind w:firstLine="360" w:firstLineChars="150"/>
        <w:rPr>
          <w:color w:val="000000"/>
          <w:sz w:val="24"/>
        </w:rPr>
      </w:pPr>
      <w:r>
        <w:rPr>
          <w:rFonts w:hint="eastAsia"/>
          <w:color w:val="000000"/>
          <w:sz w:val="24"/>
        </w:rPr>
        <w:t>（1）鼓励理论课教师走出去到企业顶岗工作、实践锻炼。充分利用寒暑假时间，分期分批有计划地组织教师下企业挂职锻炼，了解企业生产管理过程和本专业的前沿动态，及时掌握本专业的新设备、新工艺、新材料、新产品，并及时充实到课堂教学中去，努力实现教师与企业、专业与职业、理论与实践的“零距离”对接。专业教师五年内到企业顶岗工作、实践锻炼累计不少于半年时间，否则不得申报晋升专业技术职务。鼓励所有从事专业教学和科研的教授不定期到企业进行科技开发、技术服务和项目研制等生产科研活动，各教学单位提供必要的时间保证和条件保证。</w:t>
      </w:r>
    </w:p>
    <w:p>
      <w:pPr>
        <w:spacing w:line="440" w:lineRule="exact"/>
        <w:ind w:firstLine="360" w:firstLineChars="150"/>
        <w:rPr>
          <w:color w:val="000000"/>
          <w:sz w:val="24"/>
        </w:rPr>
      </w:pPr>
      <w:r>
        <w:rPr>
          <w:rFonts w:hint="eastAsia"/>
          <w:color w:val="000000"/>
          <w:sz w:val="24"/>
        </w:rPr>
        <w:t>（2）将企事业单位高管或工程技术专家等具有丰富实践经验的专业技术人员请进来，对相关专业教师进行校内实践操作培训，传授技能技巧和前沿技术，力争在较短的时间内提高专业教师的实践能力和技能水平。另外，请有实践经验又能胜任教学任务的企业技术骨干或行业专家来校承担教学任务，进行实际操作示范，经常组织本校教师到现场进行观摩。</w:t>
      </w:r>
    </w:p>
    <w:p>
      <w:pPr>
        <w:spacing w:line="440" w:lineRule="exact"/>
        <w:ind w:firstLine="360" w:firstLineChars="150"/>
        <w:rPr>
          <w:color w:val="000000"/>
          <w:sz w:val="24"/>
        </w:rPr>
      </w:pPr>
      <w:r>
        <w:rPr>
          <w:rFonts w:hint="eastAsia"/>
          <w:color w:val="000000"/>
          <w:sz w:val="24"/>
        </w:rPr>
        <w:t>（3）鼓励教师积极参加由政府主管部门、行业协会等权威机构组织的与本专业实践技能相关的国家职业（执业）资格、专业技术任职资格、职业能力认证及职业技能鉴定考评员等资格认定。</w:t>
      </w:r>
    </w:p>
    <w:p>
      <w:pPr>
        <w:spacing w:line="440" w:lineRule="exact"/>
        <w:ind w:firstLine="360" w:firstLineChars="150"/>
        <w:rPr>
          <w:color w:val="000000"/>
          <w:sz w:val="24"/>
        </w:rPr>
      </w:pPr>
      <w:r>
        <w:rPr>
          <w:rFonts w:hint="eastAsia"/>
          <w:color w:val="000000"/>
          <w:sz w:val="24"/>
        </w:rPr>
        <w:t>（4）加大实验室和实训中心建设力度，为教师提供职业技能训练的环境。根据应用技术型大学发展规划要求，加大校内实验实训中心投入，积极为教学、科研、科技服务创造条件。各教学院部应有计划地轮流安排专业课教师，参与实验室和实训中心建设，并承担实验、实习教学任务。</w:t>
      </w:r>
    </w:p>
    <w:p>
      <w:pPr>
        <w:spacing w:line="440" w:lineRule="exact"/>
        <w:ind w:firstLine="360" w:firstLineChars="150"/>
        <w:rPr>
          <w:color w:val="000000"/>
          <w:sz w:val="24"/>
        </w:rPr>
      </w:pPr>
      <w:r>
        <w:rPr>
          <w:rFonts w:hint="eastAsia"/>
          <w:color w:val="000000"/>
          <w:sz w:val="24"/>
        </w:rPr>
        <w:t>（5）注重教学与科研、教学与生产的对接，以“产学研”为导向，采用三个“结合”的教学模式（专业教师与企业 “师傅”相结合；教学内容与生产实际相结合；教书育人与职业发展相结合），使课堂教学贴近企业生产,科学研究服务生产，促进课堂教学。</w:t>
      </w:r>
    </w:p>
    <w:p>
      <w:pPr>
        <w:spacing w:line="440" w:lineRule="exact"/>
        <w:ind w:firstLine="480" w:firstLineChars="200"/>
        <w:rPr>
          <w:color w:val="000000"/>
          <w:sz w:val="24"/>
        </w:rPr>
      </w:pPr>
      <w:r>
        <w:rPr>
          <w:rFonts w:hint="eastAsia"/>
          <w:color w:val="000000"/>
          <w:sz w:val="24"/>
        </w:rPr>
        <w:t>3．建立健全双师型教师的激励机制</w:t>
      </w:r>
    </w:p>
    <w:p>
      <w:pPr>
        <w:spacing w:line="440" w:lineRule="exact"/>
        <w:ind w:firstLine="360" w:firstLineChars="150"/>
        <w:rPr>
          <w:color w:val="000000"/>
          <w:sz w:val="24"/>
        </w:rPr>
      </w:pPr>
      <w:r>
        <w:rPr>
          <w:rFonts w:hint="eastAsia"/>
          <w:color w:val="000000"/>
          <w:sz w:val="24"/>
        </w:rPr>
        <w:t>（1）培养过程中的保障激励。对深入企事业单位进行实践锻炼的专任教师，按要求完成学院下达的实践目标任务且考核合格的，其奖励性绩效工资按满工作量的在岗同类教师享受。</w:t>
      </w:r>
    </w:p>
    <w:p>
      <w:pPr>
        <w:spacing w:line="440" w:lineRule="exact"/>
        <w:ind w:firstLine="360" w:firstLineChars="150"/>
        <w:rPr>
          <w:color w:val="000000"/>
          <w:sz w:val="24"/>
        </w:rPr>
      </w:pPr>
      <w:r>
        <w:rPr>
          <w:rFonts w:hint="eastAsia"/>
          <w:color w:val="000000"/>
          <w:sz w:val="24"/>
        </w:rPr>
        <w:t>（2）认定双师后的导向激励。被评定为双师型教师的，实行“五优先一倾斜”：在职称评审、岗位晋级时同等条件下优先；在应用研究项目评审推荐时同等条件下优先；在进修培养审批时同等条件下优先；在推荐各级各类技能大赛选手和经费资助时同等条件下优先；在评先评优时同等条件下优先；在奖励绩效绩效二次分配时予以政策倾斜。</w:t>
      </w:r>
    </w:p>
    <w:p>
      <w:pPr>
        <w:spacing w:line="440" w:lineRule="exact"/>
        <w:ind w:firstLine="360" w:firstLineChars="150"/>
        <w:rPr>
          <w:color w:val="000000"/>
          <w:sz w:val="24"/>
        </w:rPr>
      </w:pPr>
    </w:p>
    <w:p>
      <w:pPr>
        <w:spacing w:line="440" w:lineRule="exact"/>
        <w:ind w:firstLine="360" w:firstLineChars="150"/>
        <w:rPr>
          <w:color w:val="000000"/>
          <w:sz w:val="24"/>
        </w:rPr>
      </w:pPr>
    </w:p>
    <w:p>
      <w:pPr>
        <w:spacing w:line="440" w:lineRule="exact"/>
        <w:ind w:firstLine="360" w:firstLineChars="150"/>
        <w:rPr>
          <w:color w:val="000000"/>
          <w:sz w:val="24"/>
        </w:rPr>
      </w:pPr>
    </w:p>
    <w:p>
      <w:pPr>
        <w:spacing w:line="440" w:lineRule="exact"/>
        <w:ind w:firstLine="360" w:firstLineChars="150"/>
        <w:rPr>
          <w:color w:val="000000"/>
          <w:sz w:val="24"/>
        </w:rPr>
      </w:pPr>
    </w:p>
    <w:p>
      <w:pPr>
        <w:spacing w:line="440" w:lineRule="exact"/>
        <w:ind w:firstLine="360" w:firstLineChars="150"/>
        <w:rPr>
          <w:color w:val="000000"/>
          <w:sz w:val="24"/>
        </w:rPr>
      </w:pPr>
    </w:p>
    <w:p>
      <w:pPr>
        <w:spacing w:line="440" w:lineRule="exact"/>
        <w:ind w:firstLine="360" w:firstLineChars="150"/>
        <w:rPr>
          <w:color w:val="000000"/>
          <w:sz w:val="24"/>
        </w:rPr>
      </w:pPr>
    </w:p>
    <w:p>
      <w:pPr>
        <w:spacing w:line="440" w:lineRule="exact"/>
        <w:ind w:firstLine="360" w:firstLineChars="150"/>
        <w:rPr>
          <w:color w:val="000000"/>
          <w:sz w:val="24"/>
        </w:rPr>
      </w:pPr>
    </w:p>
    <w:p>
      <w:pPr>
        <w:spacing w:line="440" w:lineRule="exact"/>
        <w:ind w:firstLine="360" w:firstLineChars="150"/>
        <w:rPr>
          <w:color w:val="000000"/>
          <w:sz w:val="24"/>
        </w:rPr>
      </w:pPr>
    </w:p>
    <w:p>
      <w:pPr>
        <w:spacing w:line="440" w:lineRule="exact"/>
        <w:ind w:firstLine="360" w:firstLineChars="150"/>
        <w:rPr>
          <w:color w:val="000000"/>
          <w:sz w:val="24"/>
        </w:rPr>
      </w:pPr>
    </w:p>
    <w:p>
      <w:pPr>
        <w:spacing w:line="440" w:lineRule="exact"/>
        <w:ind w:firstLine="360" w:firstLineChars="150"/>
        <w:rPr>
          <w:color w:val="000000"/>
          <w:sz w:val="24"/>
        </w:rPr>
      </w:pPr>
    </w:p>
    <w:p>
      <w:pPr>
        <w:spacing w:line="440" w:lineRule="exact"/>
        <w:ind w:firstLine="360" w:firstLineChars="150"/>
        <w:rPr>
          <w:color w:val="000000"/>
          <w:sz w:val="24"/>
        </w:rPr>
      </w:pPr>
    </w:p>
    <w:p>
      <w:pPr>
        <w:spacing w:line="440" w:lineRule="exact"/>
        <w:ind w:firstLine="360" w:firstLineChars="150"/>
        <w:rPr>
          <w:color w:val="000000"/>
          <w:sz w:val="24"/>
        </w:rPr>
      </w:pPr>
    </w:p>
    <w:p>
      <w:pPr>
        <w:spacing w:line="440" w:lineRule="exact"/>
        <w:ind w:firstLine="360" w:firstLineChars="150"/>
        <w:rPr>
          <w:color w:val="000000"/>
          <w:sz w:val="24"/>
        </w:rPr>
      </w:pPr>
    </w:p>
    <w:p>
      <w:pPr>
        <w:spacing w:line="440" w:lineRule="exact"/>
        <w:ind w:firstLine="360" w:firstLineChars="150"/>
        <w:rPr>
          <w:color w:val="000000"/>
          <w:sz w:val="24"/>
        </w:rPr>
      </w:pPr>
    </w:p>
    <w:p>
      <w:pPr>
        <w:spacing w:line="440" w:lineRule="exact"/>
        <w:ind w:firstLine="360" w:firstLineChars="150"/>
        <w:rPr>
          <w:color w:val="000000"/>
          <w:sz w:val="24"/>
        </w:rPr>
      </w:pPr>
    </w:p>
    <w:p>
      <w:pPr>
        <w:spacing w:line="440" w:lineRule="exact"/>
        <w:ind w:firstLine="360" w:firstLineChars="150"/>
        <w:rPr>
          <w:color w:val="000000"/>
          <w:sz w:val="24"/>
        </w:rPr>
      </w:pPr>
    </w:p>
    <w:p>
      <w:pPr>
        <w:spacing w:line="440" w:lineRule="exact"/>
        <w:ind w:firstLine="360" w:firstLineChars="150"/>
        <w:rPr>
          <w:color w:val="000000"/>
          <w:sz w:val="24"/>
        </w:rPr>
      </w:pPr>
    </w:p>
    <w:p>
      <w:pPr>
        <w:spacing w:line="440" w:lineRule="exact"/>
        <w:ind w:firstLine="360" w:firstLineChars="150"/>
        <w:rPr>
          <w:color w:val="000000"/>
          <w:sz w:val="24"/>
        </w:rPr>
      </w:pPr>
    </w:p>
    <w:p>
      <w:pPr>
        <w:spacing w:line="440" w:lineRule="exact"/>
        <w:ind w:firstLine="360" w:firstLineChars="150"/>
        <w:rPr>
          <w:color w:val="000000"/>
          <w:sz w:val="24"/>
        </w:rPr>
      </w:pPr>
    </w:p>
    <w:p>
      <w:pPr>
        <w:pStyle w:val="2"/>
        <w:adjustRightInd w:val="0"/>
        <w:snapToGrid w:val="0"/>
        <w:spacing w:before="0" w:after="0" w:line="360" w:lineRule="auto"/>
        <w:jc w:val="center"/>
        <w:rPr>
          <w:rFonts w:ascii="黑体" w:hAnsi="宋体" w:eastAsia="黑体"/>
          <w:b w:val="0"/>
          <w:sz w:val="36"/>
          <w:szCs w:val="36"/>
        </w:rPr>
      </w:pPr>
      <w:bookmarkStart w:id="50" w:name="_Toc26693"/>
      <w:bookmarkStart w:id="51" w:name="_Toc17278753"/>
      <w:r>
        <w:rPr>
          <w:rFonts w:hint="eastAsia" w:ascii="黑体" w:hAnsi="宋体" w:eastAsia="黑体"/>
          <w:b w:val="0"/>
          <w:sz w:val="36"/>
          <w:szCs w:val="36"/>
        </w:rPr>
        <w:t>第三部分应用化工技术专业职业岗位</w:t>
      </w:r>
      <w:bookmarkEnd w:id="50"/>
      <w:bookmarkEnd w:id="51"/>
    </w:p>
    <w:p>
      <w:pPr>
        <w:pStyle w:val="2"/>
        <w:adjustRightInd w:val="0"/>
        <w:snapToGrid w:val="0"/>
        <w:spacing w:before="0" w:after="0" w:line="360" w:lineRule="auto"/>
        <w:jc w:val="center"/>
        <w:rPr>
          <w:rFonts w:ascii="黑体" w:hAnsi="宋体" w:eastAsia="黑体"/>
          <w:b w:val="0"/>
          <w:sz w:val="36"/>
          <w:szCs w:val="36"/>
        </w:rPr>
      </w:pPr>
      <w:bookmarkStart w:id="52" w:name="_Toc17278754"/>
      <w:bookmarkStart w:id="53" w:name="_Toc13748"/>
      <w:r>
        <w:rPr>
          <w:rFonts w:hint="eastAsia" w:ascii="黑体" w:hAnsi="宋体" w:eastAsia="黑体"/>
          <w:b w:val="0"/>
          <w:sz w:val="36"/>
          <w:szCs w:val="36"/>
        </w:rPr>
        <w:t>与工作任务分析报告</w:t>
      </w:r>
      <w:bookmarkEnd w:id="52"/>
      <w:bookmarkEnd w:id="53"/>
    </w:p>
    <w:p>
      <w:pPr>
        <w:pStyle w:val="3"/>
        <w:ind w:firstLine="480" w:firstLineChars="150"/>
        <w:rPr>
          <w:b w:val="0"/>
        </w:rPr>
      </w:pPr>
      <w:bookmarkStart w:id="54" w:name="_Toc339913813"/>
      <w:bookmarkStart w:id="55" w:name="_Toc17278755"/>
      <w:bookmarkStart w:id="56" w:name="_Toc339985614"/>
      <w:bookmarkStart w:id="57" w:name="_Toc341338643"/>
      <w:bookmarkStart w:id="58" w:name="_Toc6179"/>
      <w:r>
        <w:rPr>
          <w:rFonts w:hint="eastAsia"/>
          <w:b w:val="0"/>
        </w:rPr>
        <w:t>一、就业岗位</w:t>
      </w:r>
      <w:bookmarkEnd w:id="54"/>
      <w:bookmarkEnd w:id="55"/>
      <w:bookmarkEnd w:id="56"/>
      <w:bookmarkEnd w:id="57"/>
      <w:bookmarkEnd w:id="58"/>
    </w:p>
    <w:p>
      <w:pPr>
        <w:spacing w:line="360" w:lineRule="auto"/>
        <w:ind w:firstLine="480" w:firstLineChars="200"/>
        <w:rPr>
          <w:sz w:val="24"/>
        </w:rPr>
      </w:pPr>
      <w:bookmarkStart w:id="59" w:name="_Toc339913814"/>
      <w:bookmarkStart w:id="60" w:name="_Toc339985615"/>
      <w:bookmarkStart w:id="61" w:name="_Toc341338644"/>
      <w:r>
        <w:rPr>
          <w:sz w:val="24"/>
        </w:rPr>
        <w:t>化工专业涉及的范围非常广泛</w:t>
      </w:r>
      <w:r>
        <w:rPr>
          <w:rFonts w:hint="eastAsia"/>
          <w:sz w:val="24"/>
        </w:rPr>
        <w:t>，</w:t>
      </w:r>
      <w:r>
        <w:rPr>
          <w:sz w:val="24"/>
        </w:rPr>
        <w:t>许多行业都有化工的身影</w:t>
      </w:r>
      <w:r>
        <w:rPr>
          <w:rFonts w:hint="eastAsia"/>
          <w:sz w:val="24"/>
        </w:rPr>
        <w:t>，应用化工技术</w:t>
      </w:r>
    </w:p>
    <w:p>
      <w:pPr>
        <w:spacing w:line="360" w:lineRule="auto"/>
        <w:rPr>
          <w:rFonts w:ascii="宋体" w:hAnsi="宋体"/>
          <w:sz w:val="24"/>
        </w:rPr>
      </w:pPr>
      <w:r>
        <w:rPr>
          <w:rFonts w:hint="eastAsia"/>
          <w:sz w:val="24"/>
        </w:rPr>
        <w:t>专业的学生毕业后可选择在煤化工、石油化工、能源、医药、环保、精细化工、冶金等领域就业。</w:t>
      </w:r>
    </w:p>
    <w:p>
      <w:pPr>
        <w:spacing w:line="360" w:lineRule="auto"/>
        <w:ind w:firstLine="480" w:firstLineChars="200"/>
        <w:rPr>
          <w:color w:val="000000" w:themeColor="text1"/>
          <w:sz w:val="24"/>
        </w:rPr>
      </w:pPr>
      <w:r>
        <w:rPr>
          <w:rFonts w:hint="eastAsia"/>
          <w:kern w:val="0"/>
          <w:sz w:val="24"/>
        </w:rPr>
        <w:t>首次就业岗位：</w:t>
      </w:r>
      <w:r>
        <w:rPr>
          <w:rFonts w:hint="eastAsia"/>
          <w:color w:val="000000" w:themeColor="text1"/>
          <w:sz w:val="24"/>
        </w:rPr>
        <w:t>化工生产现场操作、化工设备操作与维护、化工生产中控</w:t>
      </w:r>
    </w:p>
    <w:p>
      <w:pPr>
        <w:spacing w:line="360" w:lineRule="auto"/>
        <w:rPr>
          <w:color w:val="000000" w:themeColor="text1"/>
          <w:sz w:val="24"/>
        </w:rPr>
      </w:pPr>
      <w:r>
        <w:rPr>
          <w:rFonts w:hint="eastAsia"/>
          <w:color w:val="000000" w:themeColor="text1"/>
          <w:sz w:val="24"/>
        </w:rPr>
        <w:t>操作、化工仪表使用及维护、化工产品检验（化工分析）等岗位。</w:t>
      </w:r>
    </w:p>
    <w:p>
      <w:pPr>
        <w:autoSpaceDE w:val="0"/>
        <w:autoSpaceDN w:val="0"/>
        <w:spacing w:line="360" w:lineRule="auto"/>
        <w:ind w:firstLine="480" w:firstLineChars="200"/>
        <w:rPr>
          <w:rFonts w:ascii="宋体" w:hAnsi="宋体"/>
          <w:sz w:val="24"/>
        </w:rPr>
      </w:pPr>
      <w:r>
        <w:rPr>
          <w:rFonts w:hint="eastAsia" w:ascii="宋体" w:hAnsi="宋体"/>
          <w:sz w:val="24"/>
        </w:rPr>
        <w:t>发展岗位：化工生产班长组、化工生产技术及管理岗（如车间主任、运行工程师等）。</w:t>
      </w:r>
    </w:p>
    <w:p>
      <w:pPr>
        <w:pStyle w:val="3"/>
        <w:ind w:firstLine="480" w:firstLineChars="150"/>
        <w:rPr>
          <w:b w:val="0"/>
        </w:rPr>
      </w:pPr>
      <w:bookmarkStart w:id="62" w:name="_Toc17278756"/>
      <w:bookmarkStart w:id="63" w:name="_Toc25555"/>
      <w:r>
        <w:rPr>
          <w:rFonts w:hint="eastAsia"/>
          <w:b w:val="0"/>
        </w:rPr>
        <w:t>二、职业岗位分析</w:t>
      </w:r>
      <w:bookmarkEnd w:id="59"/>
      <w:bookmarkEnd w:id="60"/>
      <w:bookmarkEnd w:id="61"/>
      <w:bookmarkEnd w:id="62"/>
      <w:bookmarkEnd w:id="63"/>
    </w:p>
    <w:p>
      <w:pPr>
        <w:spacing w:line="360" w:lineRule="auto"/>
        <w:ind w:firstLine="480" w:firstLineChars="200"/>
        <w:rPr>
          <w:kern w:val="0"/>
          <w:sz w:val="24"/>
        </w:rPr>
      </w:pPr>
      <w:bookmarkStart w:id="64" w:name="_Toc341338645"/>
      <w:bookmarkStart w:id="65" w:name="_Toc339985616"/>
      <w:bookmarkStart w:id="66" w:name="_Toc339913815"/>
      <w:r>
        <w:rPr>
          <w:rFonts w:hint="eastAsia"/>
          <w:kern w:val="0"/>
          <w:sz w:val="24"/>
        </w:rPr>
        <w:t>通过对晋城及周边</w:t>
      </w:r>
      <w:r>
        <w:rPr>
          <w:kern w:val="0"/>
          <w:sz w:val="24"/>
        </w:rPr>
        <w:t>典型的大型化工企业</w:t>
      </w:r>
      <w:r>
        <w:rPr>
          <w:rFonts w:hint="eastAsia"/>
          <w:kern w:val="0"/>
          <w:sz w:val="24"/>
        </w:rPr>
        <w:t>山西天泽煤化工集团股份公司和</w:t>
      </w:r>
      <w:r>
        <w:rPr>
          <w:kern w:val="0"/>
          <w:sz w:val="24"/>
        </w:rPr>
        <w:t>山西兰花科技创业股份有限公司下属化工厂</w:t>
      </w:r>
      <w:r>
        <w:rPr>
          <w:rFonts w:hint="eastAsia"/>
          <w:kern w:val="0"/>
          <w:sz w:val="24"/>
        </w:rPr>
        <w:t>，</w:t>
      </w:r>
      <w:r>
        <w:rPr>
          <w:kern w:val="0"/>
          <w:sz w:val="24"/>
        </w:rPr>
        <w:t>以及一些私营小型化工企业调研</w:t>
      </w:r>
      <w:r>
        <w:rPr>
          <w:rFonts w:hint="eastAsia"/>
          <w:kern w:val="0"/>
          <w:sz w:val="24"/>
        </w:rPr>
        <w:t>，主要通过现场调研、问卷调查、个别面谈、电话访谈、座谈会、毕业生跟踪调查等形式，对企业生产岗位上的技术骨干、生产一线的管理人员和操作能手进行调查, 进一步确定应用化工技术专业对应的就业岗位可归纳为三个工作岗位群，其中本专业首次就业岗位中的化工生产现场操作、化工设备操作与维护、化工仪表使用及维护岗位可划归为化工生产装置操作与维护岗(外操)；化工生产中控、化工产品检验（化工分析）可划归为化工生产工艺运行控制岗(内操)。发展岗位中的化工生产班长组、化工生产技术及管理岗（如车间主任、运行工程师等）均划归为化工工艺管理岗位（群）。</w:t>
      </w:r>
    </w:p>
    <w:p>
      <w:pPr>
        <w:spacing w:line="360" w:lineRule="auto"/>
        <w:rPr>
          <w:kern w:val="0"/>
          <w:sz w:val="24"/>
        </w:rPr>
      </w:pPr>
      <w:r>
        <w:rPr>
          <w:rFonts w:hint="eastAsia"/>
          <w:kern w:val="0"/>
          <w:sz w:val="24"/>
        </w:rPr>
        <w:t>1．岗位（群）典型工作任务</w:t>
      </w:r>
    </w:p>
    <w:p>
      <w:pPr>
        <w:spacing w:line="360" w:lineRule="auto"/>
        <w:ind w:firstLine="480" w:firstLineChars="200"/>
        <w:rPr>
          <w:kern w:val="0"/>
          <w:sz w:val="24"/>
        </w:rPr>
      </w:pPr>
      <w:r>
        <w:rPr>
          <w:rFonts w:hint="eastAsia"/>
          <w:kern w:val="0"/>
          <w:sz w:val="24"/>
        </w:rPr>
        <w:t>本专业主要面向生产岗位(群)所需要完成的典型工作任务如表3.1所示：</w:t>
      </w:r>
    </w:p>
    <w:p>
      <w:pPr>
        <w:spacing w:line="360" w:lineRule="auto"/>
        <w:ind w:firstLine="480" w:firstLineChars="200"/>
        <w:rPr>
          <w:kern w:val="0"/>
          <w:sz w:val="24"/>
        </w:rPr>
      </w:pPr>
    </w:p>
    <w:p>
      <w:pPr>
        <w:spacing w:line="360" w:lineRule="auto"/>
        <w:ind w:firstLine="480" w:firstLineChars="200"/>
        <w:rPr>
          <w:kern w:val="0"/>
          <w:sz w:val="24"/>
        </w:rPr>
      </w:pPr>
    </w:p>
    <w:p>
      <w:pPr>
        <w:spacing w:line="360" w:lineRule="auto"/>
        <w:ind w:firstLine="480" w:firstLineChars="200"/>
        <w:rPr>
          <w:kern w:val="0"/>
          <w:sz w:val="24"/>
        </w:rPr>
      </w:pPr>
    </w:p>
    <w:p>
      <w:pPr>
        <w:spacing w:line="360" w:lineRule="auto"/>
        <w:jc w:val="center"/>
        <w:rPr>
          <w:kern w:val="0"/>
          <w:sz w:val="24"/>
        </w:rPr>
      </w:pPr>
      <w:r>
        <w:rPr>
          <w:rFonts w:hint="eastAsia"/>
          <w:kern w:val="0"/>
          <w:sz w:val="24"/>
        </w:rPr>
        <w:t>表3.1应用化工技术专业岗位群典型工作任务</w:t>
      </w:r>
    </w:p>
    <w:tbl>
      <w:tblPr>
        <w:tblStyle w:val="19"/>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383"/>
        <w:gridCol w:w="3258"/>
        <w:gridCol w:w="388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641" w:type="dxa"/>
            <w:gridSpan w:val="2"/>
          </w:tcPr>
          <w:p>
            <w:pPr>
              <w:jc w:val="center"/>
              <w:rPr>
                <w:rFonts w:asciiTheme="minorEastAsia" w:hAnsiTheme="minorEastAsia"/>
                <w:b/>
                <w:kern w:val="0"/>
                <w:szCs w:val="21"/>
              </w:rPr>
            </w:pPr>
            <w:r>
              <w:rPr>
                <w:rFonts w:hint="eastAsia" w:asciiTheme="minorEastAsia" w:hAnsiTheme="minorEastAsia"/>
                <w:b/>
                <w:kern w:val="0"/>
                <w:szCs w:val="21"/>
              </w:rPr>
              <w:t>职业岗位群</w:t>
            </w:r>
          </w:p>
        </w:tc>
        <w:tc>
          <w:tcPr>
            <w:tcW w:w="3881" w:type="dxa"/>
          </w:tcPr>
          <w:p>
            <w:pPr>
              <w:jc w:val="center"/>
              <w:rPr>
                <w:rFonts w:asciiTheme="minorEastAsia" w:hAnsiTheme="minorEastAsia"/>
                <w:b/>
                <w:kern w:val="0"/>
                <w:szCs w:val="21"/>
              </w:rPr>
            </w:pPr>
            <w:r>
              <w:rPr>
                <w:rFonts w:hint="eastAsia" w:asciiTheme="minorEastAsia" w:hAnsiTheme="minorEastAsia"/>
                <w:b/>
                <w:kern w:val="0"/>
                <w:szCs w:val="21"/>
              </w:rPr>
              <w:t>典型工作任务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restart"/>
          </w:tcPr>
          <w:p>
            <w:pPr>
              <w:jc w:val="center"/>
              <w:rPr>
                <w:rFonts w:asciiTheme="minorEastAsia" w:hAnsiTheme="minorEastAsia"/>
                <w:kern w:val="0"/>
                <w:szCs w:val="21"/>
              </w:rPr>
            </w:pPr>
          </w:p>
          <w:p>
            <w:pPr>
              <w:jc w:val="center"/>
              <w:rPr>
                <w:rFonts w:asciiTheme="minorEastAsia" w:hAnsiTheme="minorEastAsia"/>
                <w:kern w:val="0"/>
                <w:szCs w:val="21"/>
              </w:rPr>
            </w:pPr>
          </w:p>
          <w:p>
            <w:pPr>
              <w:jc w:val="center"/>
              <w:rPr>
                <w:rFonts w:asciiTheme="minorEastAsia" w:hAnsiTheme="minorEastAsia"/>
                <w:kern w:val="0"/>
                <w:szCs w:val="21"/>
              </w:rPr>
            </w:pPr>
          </w:p>
          <w:p>
            <w:pPr>
              <w:jc w:val="center"/>
              <w:rPr>
                <w:rFonts w:asciiTheme="minorEastAsia" w:hAnsiTheme="minorEastAsia"/>
                <w:kern w:val="0"/>
                <w:szCs w:val="21"/>
              </w:rPr>
            </w:pPr>
          </w:p>
          <w:p>
            <w:pPr>
              <w:jc w:val="center"/>
              <w:rPr>
                <w:rFonts w:asciiTheme="minorEastAsia" w:hAnsiTheme="minorEastAsia"/>
                <w:kern w:val="0"/>
                <w:szCs w:val="21"/>
              </w:rPr>
            </w:pPr>
          </w:p>
          <w:p>
            <w:pPr>
              <w:jc w:val="center"/>
              <w:rPr>
                <w:rFonts w:asciiTheme="minorEastAsia" w:hAnsiTheme="minorEastAsia"/>
                <w:kern w:val="0"/>
                <w:szCs w:val="21"/>
              </w:rPr>
            </w:pPr>
          </w:p>
          <w:p>
            <w:pPr>
              <w:jc w:val="center"/>
              <w:rPr>
                <w:rFonts w:asciiTheme="minorEastAsia" w:hAnsiTheme="minorEastAsia"/>
                <w:kern w:val="0"/>
                <w:szCs w:val="21"/>
              </w:rPr>
            </w:pPr>
            <w:r>
              <w:rPr>
                <w:rFonts w:asciiTheme="minorEastAsia" w:hAnsiTheme="minorEastAsia"/>
                <w:kern w:val="0"/>
                <w:szCs w:val="21"/>
              </w:rPr>
              <w:t>首</w:t>
            </w:r>
          </w:p>
          <w:p>
            <w:pPr>
              <w:jc w:val="center"/>
              <w:rPr>
                <w:rFonts w:asciiTheme="minorEastAsia" w:hAnsiTheme="minorEastAsia"/>
                <w:kern w:val="0"/>
                <w:szCs w:val="21"/>
              </w:rPr>
            </w:pPr>
            <w:r>
              <w:rPr>
                <w:rFonts w:asciiTheme="minorEastAsia" w:hAnsiTheme="minorEastAsia"/>
                <w:kern w:val="0"/>
                <w:szCs w:val="21"/>
              </w:rPr>
              <w:t>次</w:t>
            </w:r>
          </w:p>
          <w:p>
            <w:pPr>
              <w:jc w:val="center"/>
              <w:rPr>
                <w:rFonts w:asciiTheme="minorEastAsia" w:hAnsiTheme="minorEastAsia"/>
                <w:kern w:val="0"/>
                <w:szCs w:val="21"/>
              </w:rPr>
            </w:pPr>
            <w:r>
              <w:rPr>
                <w:rFonts w:asciiTheme="minorEastAsia" w:hAnsiTheme="minorEastAsia"/>
                <w:kern w:val="0"/>
                <w:szCs w:val="21"/>
              </w:rPr>
              <w:t>就</w:t>
            </w:r>
          </w:p>
          <w:p>
            <w:pPr>
              <w:jc w:val="center"/>
              <w:rPr>
                <w:rFonts w:asciiTheme="minorEastAsia" w:hAnsiTheme="minorEastAsia"/>
                <w:kern w:val="0"/>
                <w:szCs w:val="21"/>
              </w:rPr>
            </w:pPr>
            <w:r>
              <w:rPr>
                <w:rFonts w:asciiTheme="minorEastAsia" w:hAnsiTheme="minorEastAsia"/>
                <w:kern w:val="0"/>
                <w:szCs w:val="21"/>
              </w:rPr>
              <w:t>业</w:t>
            </w:r>
          </w:p>
          <w:p>
            <w:pPr>
              <w:jc w:val="center"/>
              <w:rPr>
                <w:rFonts w:asciiTheme="minorEastAsia" w:hAnsiTheme="minorEastAsia"/>
                <w:kern w:val="0"/>
                <w:szCs w:val="21"/>
              </w:rPr>
            </w:pPr>
            <w:r>
              <w:rPr>
                <w:rFonts w:asciiTheme="minorEastAsia" w:hAnsiTheme="minorEastAsia"/>
                <w:kern w:val="0"/>
                <w:szCs w:val="21"/>
              </w:rPr>
              <w:t>岗</w:t>
            </w:r>
          </w:p>
          <w:p>
            <w:pPr>
              <w:jc w:val="center"/>
              <w:rPr>
                <w:rFonts w:asciiTheme="minorEastAsia" w:hAnsiTheme="minorEastAsia"/>
                <w:kern w:val="0"/>
                <w:szCs w:val="21"/>
              </w:rPr>
            </w:pPr>
            <w:r>
              <w:rPr>
                <w:rFonts w:asciiTheme="minorEastAsia" w:hAnsiTheme="minorEastAsia"/>
                <w:kern w:val="0"/>
                <w:szCs w:val="21"/>
              </w:rPr>
              <w:t>位</w:t>
            </w:r>
          </w:p>
        </w:tc>
        <w:tc>
          <w:tcPr>
            <w:tcW w:w="3258" w:type="dxa"/>
            <w:vMerge w:val="restart"/>
          </w:tcPr>
          <w:p>
            <w:pPr>
              <w:rPr>
                <w:rFonts w:asciiTheme="minorEastAsia" w:hAnsiTheme="minorEastAsia"/>
                <w:kern w:val="0"/>
                <w:szCs w:val="21"/>
              </w:rPr>
            </w:pPr>
          </w:p>
          <w:p>
            <w:pPr>
              <w:rPr>
                <w:rFonts w:asciiTheme="minorEastAsia" w:hAnsiTheme="minorEastAsia"/>
                <w:kern w:val="0"/>
                <w:szCs w:val="21"/>
              </w:rPr>
            </w:pPr>
          </w:p>
          <w:p>
            <w:pPr>
              <w:rPr>
                <w:rFonts w:asciiTheme="minorEastAsia" w:hAnsiTheme="minorEastAsia"/>
                <w:kern w:val="0"/>
                <w:szCs w:val="21"/>
              </w:rPr>
            </w:pPr>
          </w:p>
          <w:p>
            <w:pPr>
              <w:rPr>
                <w:rFonts w:asciiTheme="minorEastAsia" w:hAnsiTheme="minorEastAsia"/>
                <w:kern w:val="0"/>
                <w:szCs w:val="21"/>
              </w:rPr>
            </w:pPr>
          </w:p>
          <w:p>
            <w:pPr>
              <w:rPr>
                <w:rFonts w:asciiTheme="minorEastAsia" w:hAnsiTheme="minorEastAsia"/>
                <w:kern w:val="0"/>
                <w:szCs w:val="21"/>
              </w:rPr>
            </w:pPr>
            <w:r>
              <w:rPr>
                <w:rFonts w:hint="eastAsia" w:asciiTheme="minorEastAsia" w:hAnsiTheme="minorEastAsia"/>
                <w:kern w:val="0"/>
                <w:szCs w:val="21"/>
              </w:rPr>
              <w:t>化工生产装置操作及维护岗</w:t>
            </w:r>
          </w:p>
        </w:tc>
        <w:tc>
          <w:tcPr>
            <w:tcW w:w="3881" w:type="dxa"/>
          </w:tcPr>
          <w:p>
            <w:pPr>
              <w:jc w:val="center"/>
              <w:rPr>
                <w:rFonts w:asciiTheme="minorEastAsia" w:hAnsiTheme="minorEastAsia"/>
                <w:kern w:val="0"/>
                <w:szCs w:val="21"/>
              </w:rPr>
            </w:pPr>
            <w:r>
              <w:rPr>
                <w:rFonts w:hint="eastAsia" w:asciiTheme="minorEastAsia" w:hAnsiTheme="minorEastAsia"/>
                <w:kern w:val="0"/>
                <w:szCs w:val="21"/>
              </w:rPr>
              <w:t>工艺流程图识读</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continue"/>
          </w:tcPr>
          <w:p>
            <w:pPr>
              <w:jc w:val="center"/>
              <w:rPr>
                <w:rFonts w:asciiTheme="minorEastAsia" w:hAnsiTheme="minorEastAsia"/>
                <w:kern w:val="0"/>
                <w:szCs w:val="21"/>
              </w:rPr>
            </w:pPr>
          </w:p>
        </w:tc>
        <w:tc>
          <w:tcPr>
            <w:tcW w:w="3258" w:type="dxa"/>
            <w:vMerge w:val="continue"/>
          </w:tcPr>
          <w:p>
            <w:pPr>
              <w:jc w:val="center"/>
              <w:rPr>
                <w:rFonts w:asciiTheme="minorEastAsia" w:hAnsiTheme="minorEastAsia"/>
                <w:kern w:val="0"/>
                <w:szCs w:val="21"/>
              </w:rPr>
            </w:pPr>
          </w:p>
        </w:tc>
        <w:tc>
          <w:tcPr>
            <w:tcW w:w="3881" w:type="dxa"/>
          </w:tcPr>
          <w:p>
            <w:pPr>
              <w:jc w:val="center"/>
              <w:rPr>
                <w:rFonts w:asciiTheme="minorEastAsia" w:hAnsiTheme="minorEastAsia"/>
                <w:kern w:val="0"/>
                <w:szCs w:val="21"/>
              </w:rPr>
            </w:pPr>
            <w:r>
              <w:rPr>
                <w:rFonts w:hint="eastAsia" w:asciiTheme="minorEastAsia" w:hAnsiTheme="minorEastAsia"/>
                <w:kern w:val="0"/>
                <w:szCs w:val="21"/>
              </w:rPr>
              <w:t>装置操作与调控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continue"/>
          </w:tcPr>
          <w:p>
            <w:pPr>
              <w:jc w:val="center"/>
              <w:rPr>
                <w:rFonts w:asciiTheme="minorEastAsia" w:hAnsiTheme="minorEastAsia"/>
                <w:kern w:val="0"/>
                <w:szCs w:val="21"/>
              </w:rPr>
            </w:pPr>
          </w:p>
        </w:tc>
        <w:tc>
          <w:tcPr>
            <w:tcW w:w="3258" w:type="dxa"/>
            <w:vMerge w:val="continue"/>
          </w:tcPr>
          <w:p>
            <w:pPr>
              <w:jc w:val="center"/>
              <w:rPr>
                <w:rFonts w:asciiTheme="minorEastAsia" w:hAnsiTheme="minorEastAsia"/>
                <w:kern w:val="0"/>
                <w:szCs w:val="21"/>
              </w:rPr>
            </w:pPr>
          </w:p>
        </w:tc>
        <w:tc>
          <w:tcPr>
            <w:tcW w:w="3881" w:type="dxa"/>
          </w:tcPr>
          <w:p>
            <w:pPr>
              <w:jc w:val="center"/>
              <w:rPr>
                <w:rFonts w:asciiTheme="minorEastAsia" w:hAnsiTheme="minorEastAsia"/>
                <w:kern w:val="0"/>
                <w:szCs w:val="21"/>
              </w:rPr>
            </w:pPr>
            <w:r>
              <w:rPr>
                <w:rFonts w:hint="eastAsia" w:asciiTheme="minorEastAsia" w:hAnsiTheme="minorEastAsia"/>
                <w:kern w:val="0"/>
                <w:szCs w:val="21"/>
              </w:rPr>
              <w:t>装置巡检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70" w:hRule="atLeast"/>
        </w:trPr>
        <w:tc>
          <w:tcPr>
            <w:tcW w:w="1383" w:type="dxa"/>
            <w:vMerge w:val="continue"/>
          </w:tcPr>
          <w:p>
            <w:pPr>
              <w:jc w:val="center"/>
              <w:rPr>
                <w:rFonts w:asciiTheme="minorEastAsia" w:hAnsiTheme="minorEastAsia"/>
                <w:kern w:val="0"/>
                <w:szCs w:val="21"/>
              </w:rPr>
            </w:pPr>
          </w:p>
        </w:tc>
        <w:tc>
          <w:tcPr>
            <w:tcW w:w="3258" w:type="dxa"/>
            <w:vMerge w:val="continue"/>
          </w:tcPr>
          <w:p>
            <w:pPr>
              <w:jc w:val="center"/>
              <w:rPr>
                <w:rFonts w:asciiTheme="minorEastAsia" w:hAnsiTheme="minorEastAsia"/>
                <w:kern w:val="0"/>
                <w:szCs w:val="21"/>
              </w:rPr>
            </w:pPr>
          </w:p>
        </w:tc>
        <w:tc>
          <w:tcPr>
            <w:tcW w:w="3881" w:type="dxa"/>
          </w:tcPr>
          <w:p>
            <w:pPr>
              <w:jc w:val="center"/>
              <w:rPr>
                <w:rFonts w:asciiTheme="minorEastAsia" w:hAnsiTheme="minorEastAsia"/>
                <w:kern w:val="0"/>
                <w:szCs w:val="21"/>
              </w:rPr>
            </w:pPr>
            <w:r>
              <w:rPr>
                <w:rFonts w:hint="eastAsia" w:asciiTheme="minorEastAsia" w:hAnsiTheme="minorEastAsia"/>
                <w:kern w:val="0"/>
                <w:szCs w:val="21"/>
              </w:rPr>
              <w:t>设备维护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70" w:hRule="atLeast"/>
        </w:trPr>
        <w:tc>
          <w:tcPr>
            <w:tcW w:w="1383" w:type="dxa"/>
            <w:vMerge w:val="continue"/>
          </w:tcPr>
          <w:p>
            <w:pPr>
              <w:jc w:val="center"/>
              <w:rPr>
                <w:rFonts w:asciiTheme="minorEastAsia" w:hAnsiTheme="minorEastAsia"/>
                <w:kern w:val="0"/>
                <w:szCs w:val="21"/>
              </w:rPr>
            </w:pPr>
          </w:p>
        </w:tc>
        <w:tc>
          <w:tcPr>
            <w:tcW w:w="3258" w:type="dxa"/>
            <w:vMerge w:val="continue"/>
          </w:tcPr>
          <w:p>
            <w:pPr>
              <w:jc w:val="center"/>
              <w:rPr>
                <w:rFonts w:asciiTheme="minorEastAsia" w:hAnsiTheme="minorEastAsia"/>
                <w:kern w:val="0"/>
                <w:szCs w:val="21"/>
              </w:rPr>
            </w:pPr>
          </w:p>
        </w:tc>
        <w:tc>
          <w:tcPr>
            <w:tcW w:w="3881" w:type="dxa"/>
          </w:tcPr>
          <w:p>
            <w:pPr>
              <w:jc w:val="center"/>
              <w:rPr>
                <w:rFonts w:asciiTheme="minorEastAsia" w:hAnsiTheme="minorEastAsia"/>
                <w:kern w:val="0"/>
                <w:szCs w:val="21"/>
              </w:rPr>
            </w:pPr>
            <w:r>
              <w:rPr>
                <w:rFonts w:hint="eastAsia" w:asciiTheme="minorEastAsia" w:hAnsiTheme="minorEastAsia"/>
                <w:kern w:val="0"/>
                <w:szCs w:val="21"/>
              </w:rPr>
              <w:t>仪表使用、维护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continue"/>
          </w:tcPr>
          <w:p>
            <w:pPr>
              <w:jc w:val="center"/>
              <w:rPr>
                <w:rFonts w:asciiTheme="minorEastAsia" w:hAnsiTheme="minorEastAsia"/>
                <w:kern w:val="0"/>
                <w:szCs w:val="21"/>
              </w:rPr>
            </w:pPr>
          </w:p>
        </w:tc>
        <w:tc>
          <w:tcPr>
            <w:tcW w:w="3258" w:type="dxa"/>
            <w:vMerge w:val="continue"/>
          </w:tcPr>
          <w:p>
            <w:pPr>
              <w:jc w:val="center"/>
              <w:rPr>
                <w:rFonts w:asciiTheme="minorEastAsia" w:hAnsiTheme="minorEastAsia"/>
                <w:kern w:val="0"/>
                <w:szCs w:val="21"/>
              </w:rPr>
            </w:pPr>
          </w:p>
        </w:tc>
        <w:tc>
          <w:tcPr>
            <w:tcW w:w="3881" w:type="dxa"/>
          </w:tcPr>
          <w:p>
            <w:pPr>
              <w:jc w:val="center"/>
              <w:rPr>
                <w:rFonts w:asciiTheme="minorEastAsia" w:hAnsiTheme="minorEastAsia"/>
                <w:kern w:val="0"/>
                <w:szCs w:val="21"/>
              </w:rPr>
            </w:pPr>
            <w:r>
              <w:rPr>
                <w:rFonts w:hint="eastAsia" w:asciiTheme="minorEastAsia" w:hAnsiTheme="minorEastAsia"/>
                <w:kern w:val="0"/>
                <w:szCs w:val="21"/>
              </w:rPr>
              <w:t>化工装置安全防护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continue"/>
          </w:tcPr>
          <w:p>
            <w:pPr>
              <w:jc w:val="center"/>
              <w:rPr>
                <w:rFonts w:asciiTheme="minorEastAsia" w:hAnsiTheme="minorEastAsia"/>
                <w:kern w:val="0"/>
                <w:szCs w:val="21"/>
              </w:rPr>
            </w:pPr>
          </w:p>
        </w:tc>
        <w:tc>
          <w:tcPr>
            <w:tcW w:w="3258" w:type="dxa"/>
            <w:vMerge w:val="continue"/>
          </w:tcPr>
          <w:p>
            <w:pPr>
              <w:jc w:val="center"/>
              <w:rPr>
                <w:rFonts w:asciiTheme="minorEastAsia" w:hAnsiTheme="minorEastAsia"/>
                <w:kern w:val="0"/>
                <w:szCs w:val="21"/>
              </w:rPr>
            </w:pPr>
          </w:p>
        </w:tc>
        <w:tc>
          <w:tcPr>
            <w:tcW w:w="3881" w:type="dxa"/>
          </w:tcPr>
          <w:p>
            <w:pPr>
              <w:jc w:val="center"/>
              <w:rPr>
                <w:rFonts w:asciiTheme="minorEastAsia" w:hAnsiTheme="minorEastAsia"/>
                <w:kern w:val="0"/>
                <w:szCs w:val="21"/>
              </w:rPr>
            </w:pPr>
            <w:r>
              <w:rPr>
                <w:rFonts w:hint="eastAsia" w:asciiTheme="minorEastAsia" w:hAnsiTheme="minorEastAsia"/>
                <w:kern w:val="0"/>
                <w:szCs w:val="21"/>
              </w:rPr>
              <w:t>交接班日志记录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continue"/>
          </w:tcPr>
          <w:p>
            <w:pPr>
              <w:jc w:val="center"/>
              <w:rPr>
                <w:rFonts w:asciiTheme="minorEastAsia" w:hAnsiTheme="minorEastAsia"/>
                <w:kern w:val="0"/>
                <w:szCs w:val="21"/>
              </w:rPr>
            </w:pPr>
          </w:p>
        </w:tc>
        <w:tc>
          <w:tcPr>
            <w:tcW w:w="3258" w:type="dxa"/>
            <w:vMerge w:val="continue"/>
          </w:tcPr>
          <w:p>
            <w:pPr>
              <w:jc w:val="center"/>
              <w:rPr>
                <w:rFonts w:asciiTheme="minorEastAsia" w:hAnsiTheme="minorEastAsia"/>
                <w:kern w:val="0"/>
                <w:szCs w:val="21"/>
              </w:rPr>
            </w:pPr>
          </w:p>
        </w:tc>
        <w:tc>
          <w:tcPr>
            <w:tcW w:w="3881" w:type="dxa"/>
          </w:tcPr>
          <w:p>
            <w:pPr>
              <w:jc w:val="center"/>
              <w:rPr>
                <w:rFonts w:asciiTheme="minorEastAsia" w:hAnsiTheme="minorEastAsia"/>
                <w:kern w:val="0"/>
                <w:szCs w:val="21"/>
              </w:rPr>
            </w:pPr>
            <w:r>
              <w:rPr>
                <w:rFonts w:hint="eastAsia" w:asciiTheme="minorEastAsia" w:hAnsiTheme="minorEastAsia"/>
                <w:kern w:val="0"/>
                <w:szCs w:val="21"/>
              </w:rPr>
              <w:t>岗位操作原始记录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continue"/>
          </w:tcPr>
          <w:p>
            <w:pPr>
              <w:jc w:val="center"/>
              <w:rPr>
                <w:rFonts w:asciiTheme="minorEastAsia" w:hAnsiTheme="minorEastAsia"/>
                <w:kern w:val="0"/>
                <w:szCs w:val="21"/>
              </w:rPr>
            </w:pPr>
          </w:p>
        </w:tc>
        <w:tc>
          <w:tcPr>
            <w:tcW w:w="3258" w:type="dxa"/>
            <w:vMerge w:val="restart"/>
          </w:tcPr>
          <w:p>
            <w:pPr>
              <w:jc w:val="center"/>
              <w:rPr>
                <w:rFonts w:asciiTheme="minorEastAsia" w:hAnsiTheme="minorEastAsia"/>
                <w:kern w:val="0"/>
                <w:szCs w:val="21"/>
              </w:rPr>
            </w:pPr>
          </w:p>
          <w:p>
            <w:pPr>
              <w:jc w:val="center"/>
              <w:rPr>
                <w:rFonts w:asciiTheme="minorEastAsia" w:hAnsiTheme="minorEastAsia"/>
                <w:kern w:val="0"/>
                <w:szCs w:val="21"/>
              </w:rPr>
            </w:pPr>
          </w:p>
          <w:p>
            <w:pPr>
              <w:jc w:val="center"/>
              <w:rPr>
                <w:rFonts w:asciiTheme="minorEastAsia" w:hAnsiTheme="minorEastAsia"/>
                <w:kern w:val="0"/>
                <w:szCs w:val="21"/>
              </w:rPr>
            </w:pPr>
          </w:p>
          <w:p>
            <w:pPr>
              <w:jc w:val="center"/>
              <w:rPr>
                <w:rFonts w:asciiTheme="minorEastAsia" w:hAnsiTheme="minorEastAsia"/>
                <w:kern w:val="0"/>
                <w:szCs w:val="21"/>
              </w:rPr>
            </w:pPr>
          </w:p>
          <w:p>
            <w:pPr>
              <w:ind w:firstLine="105" w:firstLineChars="50"/>
              <w:rPr>
                <w:rFonts w:asciiTheme="minorEastAsia" w:hAnsiTheme="minorEastAsia"/>
                <w:kern w:val="0"/>
                <w:szCs w:val="21"/>
              </w:rPr>
            </w:pPr>
            <w:r>
              <w:rPr>
                <w:rFonts w:hint="eastAsia" w:asciiTheme="minorEastAsia" w:hAnsiTheme="minorEastAsia"/>
                <w:kern w:val="0"/>
                <w:szCs w:val="21"/>
              </w:rPr>
              <w:t>化工生产工艺运行控制岗</w:t>
            </w:r>
          </w:p>
        </w:tc>
        <w:tc>
          <w:tcPr>
            <w:tcW w:w="3881" w:type="dxa"/>
          </w:tcPr>
          <w:p>
            <w:pPr>
              <w:jc w:val="center"/>
              <w:rPr>
                <w:rFonts w:asciiTheme="minorEastAsia" w:hAnsiTheme="minorEastAsia"/>
                <w:kern w:val="0"/>
                <w:szCs w:val="21"/>
              </w:rPr>
            </w:pPr>
            <w:r>
              <w:rPr>
                <w:rFonts w:hint="eastAsia" w:asciiTheme="minorEastAsia" w:hAnsiTheme="minorEastAsia"/>
                <w:kern w:val="0"/>
                <w:szCs w:val="21"/>
              </w:rPr>
              <w:t>工艺流程图识读</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continue"/>
          </w:tcPr>
          <w:p>
            <w:pPr>
              <w:jc w:val="center"/>
              <w:rPr>
                <w:rFonts w:asciiTheme="minorEastAsia" w:hAnsiTheme="minorEastAsia"/>
                <w:kern w:val="0"/>
                <w:szCs w:val="21"/>
              </w:rPr>
            </w:pPr>
          </w:p>
        </w:tc>
        <w:tc>
          <w:tcPr>
            <w:tcW w:w="3258" w:type="dxa"/>
            <w:vMerge w:val="continue"/>
          </w:tcPr>
          <w:p>
            <w:pPr>
              <w:jc w:val="center"/>
              <w:rPr>
                <w:rFonts w:asciiTheme="minorEastAsia" w:hAnsiTheme="minorEastAsia"/>
                <w:kern w:val="0"/>
                <w:szCs w:val="21"/>
              </w:rPr>
            </w:pPr>
          </w:p>
        </w:tc>
        <w:tc>
          <w:tcPr>
            <w:tcW w:w="3881" w:type="dxa"/>
          </w:tcPr>
          <w:p>
            <w:pPr>
              <w:jc w:val="center"/>
              <w:rPr>
                <w:rFonts w:asciiTheme="minorEastAsia" w:hAnsiTheme="minorEastAsia"/>
                <w:kern w:val="0"/>
                <w:szCs w:val="21"/>
              </w:rPr>
            </w:pPr>
            <w:r>
              <w:rPr>
                <w:rFonts w:hint="eastAsia" w:asciiTheme="minorEastAsia" w:hAnsiTheme="minorEastAsia"/>
                <w:kern w:val="0"/>
                <w:szCs w:val="21"/>
              </w:rPr>
              <w:t>原料预处理过程工艺运行控制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continue"/>
          </w:tcPr>
          <w:p>
            <w:pPr>
              <w:jc w:val="center"/>
              <w:rPr>
                <w:rFonts w:asciiTheme="minorEastAsia" w:hAnsiTheme="minorEastAsia"/>
                <w:kern w:val="0"/>
                <w:szCs w:val="21"/>
              </w:rPr>
            </w:pPr>
          </w:p>
        </w:tc>
        <w:tc>
          <w:tcPr>
            <w:tcW w:w="3258" w:type="dxa"/>
            <w:vMerge w:val="continue"/>
          </w:tcPr>
          <w:p>
            <w:pPr>
              <w:jc w:val="center"/>
              <w:rPr>
                <w:rFonts w:asciiTheme="minorEastAsia" w:hAnsiTheme="minorEastAsia"/>
                <w:kern w:val="0"/>
                <w:szCs w:val="21"/>
              </w:rPr>
            </w:pPr>
          </w:p>
        </w:tc>
        <w:tc>
          <w:tcPr>
            <w:tcW w:w="3881" w:type="dxa"/>
          </w:tcPr>
          <w:p>
            <w:pPr>
              <w:jc w:val="center"/>
              <w:rPr>
                <w:rFonts w:asciiTheme="minorEastAsia" w:hAnsiTheme="minorEastAsia"/>
                <w:kern w:val="0"/>
                <w:szCs w:val="21"/>
              </w:rPr>
            </w:pPr>
            <w:r>
              <w:rPr>
                <w:rFonts w:hint="eastAsia" w:asciiTheme="minorEastAsia" w:hAnsiTheme="minorEastAsia"/>
                <w:kern w:val="0"/>
                <w:szCs w:val="21"/>
              </w:rPr>
              <w:t>反应过程工艺参数运行控制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continue"/>
          </w:tcPr>
          <w:p>
            <w:pPr>
              <w:jc w:val="center"/>
              <w:rPr>
                <w:rFonts w:asciiTheme="minorEastAsia" w:hAnsiTheme="minorEastAsia"/>
                <w:kern w:val="0"/>
                <w:szCs w:val="21"/>
              </w:rPr>
            </w:pPr>
          </w:p>
        </w:tc>
        <w:tc>
          <w:tcPr>
            <w:tcW w:w="3258" w:type="dxa"/>
            <w:vMerge w:val="continue"/>
          </w:tcPr>
          <w:p>
            <w:pPr>
              <w:jc w:val="center"/>
              <w:rPr>
                <w:rFonts w:asciiTheme="minorEastAsia" w:hAnsiTheme="minorEastAsia"/>
                <w:kern w:val="0"/>
                <w:szCs w:val="21"/>
              </w:rPr>
            </w:pPr>
          </w:p>
        </w:tc>
        <w:tc>
          <w:tcPr>
            <w:tcW w:w="3881" w:type="dxa"/>
          </w:tcPr>
          <w:p>
            <w:pPr>
              <w:jc w:val="center"/>
              <w:rPr>
                <w:rFonts w:asciiTheme="minorEastAsia" w:hAnsiTheme="minorEastAsia"/>
                <w:kern w:val="0"/>
                <w:szCs w:val="21"/>
              </w:rPr>
            </w:pPr>
            <w:r>
              <w:rPr>
                <w:rFonts w:hint="eastAsia" w:asciiTheme="minorEastAsia" w:hAnsiTheme="minorEastAsia"/>
                <w:kern w:val="0"/>
                <w:szCs w:val="21"/>
              </w:rPr>
              <w:t>粗产品精制过程工艺运行控制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continue"/>
          </w:tcPr>
          <w:p>
            <w:pPr>
              <w:jc w:val="center"/>
              <w:rPr>
                <w:rFonts w:asciiTheme="minorEastAsia" w:hAnsiTheme="minorEastAsia"/>
                <w:kern w:val="0"/>
                <w:szCs w:val="21"/>
              </w:rPr>
            </w:pPr>
          </w:p>
        </w:tc>
        <w:tc>
          <w:tcPr>
            <w:tcW w:w="3258" w:type="dxa"/>
            <w:vMerge w:val="continue"/>
          </w:tcPr>
          <w:p>
            <w:pPr>
              <w:jc w:val="center"/>
              <w:rPr>
                <w:rFonts w:asciiTheme="minorEastAsia" w:hAnsiTheme="minorEastAsia"/>
                <w:kern w:val="0"/>
                <w:szCs w:val="21"/>
              </w:rPr>
            </w:pPr>
          </w:p>
        </w:tc>
        <w:tc>
          <w:tcPr>
            <w:tcW w:w="3881" w:type="dxa"/>
          </w:tcPr>
          <w:p>
            <w:pPr>
              <w:jc w:val="center"/>
              <w:rPr>
                <w:rFonts w:asciiTheme="minorEastAsia" w:hAnsiTheme="minorEastAsia"/>
                <w:kern w:val="0"/>
                <w:szCs w:val="21"/>
              </w:rPr>
            </w:pPr>
            <w:r>
              <w:rPr>
                <w:rFonts w:hint="eastAsia" w:asciiTheme="minorEastAsia" w:hAnsiTheme="minorEastAsia"/>
                <w:kern w:val="0"/>
                <w:szCs w:val="21"/>
              </w:rPr>
              <w:t>物料输送过程工艺运行控制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continue"/>
          </w:tcPr>
          <w:p>
            <w:pPr>
              <w:jc w:val="center"/>
              <w:rPr>
                <w:rFonts w:asciiTheme="minorEastAsia" w:hAnsiTheme="minorEastAsia"/>
                <w:kern w:val="0"/>
                <w:szCs w:val="21"/>
              </w:rPr>
            </w:pPr>
          </w:p>
        </w:tc>
        <w:tc>
          <w:tcPr>
            <w:tcW w:w="3258" w:type="dxa"/>
            <w:vMerge w:val="continue"/>
          </w:tcPr>
          <w:p>
            <w:pPr>
              <w:jc w:val="center"/>
              <w:rPr>
                <w:rFonts w:asciiTheme="minorEastAsia" w:hAnsiTheme="minorEastAsia"/>
                <w:kern w:val="0"/>
                <w:szCs w:val="21"/>
              </w:rPr>
            </w:pPr>
          </w:p>
        </w:tc>
        <w:tc>
          <w:tcPr>
            <w:tcW w:w="3881" w:type="dxa"/>
          </w:tcPr>
          <w:p>
            <w:pPr>
              <w:jc w:val="center"/>
              <w:rPr>
                <w:rFonts w:asciiTheme="minorEastAsia" w:hAnsiTheme="minorEastAsia"/>
                <w:kern w:val="0"/>
                <w:szCs w:val="21"/>
              </w:rPr>
            </w:pPr>
            <w:r>
              <w:rPr>
                <w:rFonts w:hint="eastAsia" w:asciiTheme="minorEastAsia" w:hAnsiTheme="minorEastAsia"/>
                <w:kern w:val="0"/>
                <w:szCs w:val="21"/>
              </w:rPr>
              <w:t>原料、中间产品、产品检验</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continue"/>
          </w:tcPr>
          <w:p>
            <w:pPr>
              <w:jc w:val="center"/>
              <w:rPr>
                <w:rFonts w:asciiTheme="minorEastAsia" w:hAnsiTheme="minorEastAsia"/>
                <w:kern w:val="0"/>
                <w:szCs w:val="21"/>
              </w:rPr>
            </w:pPr>
          </w:p>
        </w:tc>
        <w:tc>
          <w:tcPr>
            <w:tcW w:w="3258" w:type="dxa"/>
            <w:vMerge w:val="continue"/>
          </w:tcPr>
          <w:p>
            <w:pPr>
              <w:jc w:val="center"/>
              <w:rPr>
                <w:rFonts w:asciiTheme="minorEastAsia" w:hAnsiTheme="minorEastAsia"/>
                <w:kern w:val="0"/>
                <w:szCs w:val="21"/>
              </w:rPr>
            </w:pPr>
          </w:p>
        </w:tc>
        <w:tc>
          <w:tcPr>
            <w:tcW w:w="3881" w:type="dxa"/>
          </w:tcPr>
          <w:p>
            <w:pPr>
              <w:jc w:val="center"/>
              <w:rPr>
                <w:rFonts w:asciiTheme="minorEastAsia" w:hAnsiTheme="minorEastAsia"/>
                <w:kern w:val="0"/>
                <w:szCs w:val="21"/>
              </w:rPr>
            </w:pPr>
            <w:r>
              <w:rPr>
                <w:rFonts w:hint="eastAsia" w:asciiTheme="minorEastAsia" w:hAnsiTheme="minorEastAsia"/>
                <w:kern w:val="0"/>
                <w:szCs w:val="21"/>
              </w:rPr>
              <w:t>三废处理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continue"/>
          </w:tcPr>
          <w:p>
            <w:pPr>
              <w:jc w:val="center"/>
              <w:rPr>
                <w:rFonts w:asciiTheme="minorEastAsia" w:hAnsiTheme="minorEastAsia"/>
                <w:kern w:val="0"/>
                <w:szCs w:val="21"/>
              </w:rPr>
            </w:pPr>
          </w:p>
        </w:tc>
        <w:tc>
          <w:tcPr>
            <w:tcW w:w="3258" w:type="dxa"/>
            <w:vMerge w:val="continue"/>
          </w:tcPr>
          <w:p>
            <w:pPr>
              <w:jc w:val="center"/>
              <w:rPr>
                <w:rFonts w:asciiTheme="minorEastAsia" w:hAnsiTheme="minorEastAsia"/>
                <w:kern w:val="0"/>
                <w:szCs w:val="21"/>
              </w:rPr>
            </w:pPr>
          </w:p>
        </w:tc>
        <w:tc>
          <w:tcPr>
            <w:tcW w:w="3881" w:type="dxa"/>
          </w:tcPr>
          <w:p>
            <w:pPr>
              <w:jc w:val="center"/>
              <w:rPr>
                <w:rFonts w:asciiTheme="minorEastAsia" w:hAnsiTheme="minorEastAsia"/>
                <w:kern w:val="0"/>
                <w:szCs w:val="21"/>
              </w:rPr>
            </w:pPr>
            <w:r>
              <w:rPr>
                <w:rFonts w:hint="eastAsia" w:asciiTheme="minorEastAsia" w:hAnsiTheme="minorEastAsia"/>
                <w:kern w:val="0"/>
                <w:szCs w:val="21"/>
              </w:rPr>
              <w:t>交接班日志记录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continue"/>
          </w:tcPr>
          <w:p>
            <w:pPr>
              <w:jc w:val="center"/>
              <w:rPr>
                <w:rFonts w:asciiTheme="minorEastAsia" w:hAnsiTheme="minorEastAsia"/>
                <w:kern w:val="0"/>
                <w:szCs w:val="21"/>
              </w:rPr>
            </w:pPr>
          </w:p>
        </w:tc>
        <w:tc>
          <w:tcPr>
            <w:tcW w:w="3258" w:type="dxa"/>
            <w:vMerge w:val="continue"/>
          </w:tcPr>
          <w:p>
            <w:pPr>
              <w:jc w:val="center"/>
              <w:rPr>
                <w:rFonts w:asciiTheme="minorEastAsia" w:hAnsiTheme="minorEastAsia"/>
                <w:kern w:val="0"/>
                <w:szCs w:val="21"/>
              </w:rPr>
            </w:pPr>
          </w:p>
        </w:tc>
        <w:tc>
          <w:tcPr>
            <w:tcW w:w="3881" w:type="dxa"/>
          </w:tcPr>
          <w:p>
            <w:pPr>
              <w:jc w:val="center"/>
              <w:rPr>
                <w:rFonts w:asciiTheme="minorEastAsia" w:hAnsiTheme="minorEastAsia"/>
                <w:kern w:val="0"/>
                <w:szCs w:val="21"/>
              </w:rPr>
            </w:pPr>
            <w:r>
              <w:rPr>
                <w:rFonts w:hint="eastAsia" w:asciiTheme="minorEastAsia" w:hAnsiTheme="minorEastAsia"/>
                <w:kern w:val="0"/>
                <w:szCs w:val="21"/>
              </w:rPr>
              <w:t>主控室装置监控及操作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continue"/>
          </w:tcPr>
          <w:p>
            <w:pPr>
              <w:jc w:val="center"/>
              <w:rPr>
                <w:rFonts w:asciiTheme="minorEastAsia" w:hAnsiTheme="minorEastAsia"/>
                <w:kern w:val="0"/>
                <w:szCs w:val="21"/>
              </w:rPr>
            </w:pPr>
          </w:p>
        </w:tc>
        <w:tc>
          <w:tcPr>
            <w:tcW w:w="3258" w:type="dxa"/>
            <w:vMerge w:val="continue"/>
          </w:tcPr>
          <w:p>
            <w:pPr>
              <w:jc w:val="center"/>
              <w:rPr>
                <w:rFonts w:asciiTheme="minorEastAsia" w:hAnsiTheme="minorEastAsia"/>
                <w:kern w:val="0"/>
                <w:szCs w:val="21"/>
              </w:rPr>
            </w:pPr>
          </w:p>
        </w:tc>
        <w:tc>
          <w:tcPr>
            <w:tcW w:w="3881" w:type="dxa"/>
          </w:tcPr>
          <w:p>
            <w:pPr>
              <w:jc w:val="center"/>
              <w:rPr>
                <w:rFonts w:asciiTheme="minorEastAsia" w:hAnsiTheme="minorEastAsia"/>
                <w:kern w:val="0"/>
                <w:szCs w:val="21"/>
              </w:rPr>
            </w:pPr>
            <w:r>
              <w:rPr>
                <w:rFonts w:hint="eastAsia" w:asciiTheme="minorEastAsia" w:hAnsiTheme="minorEastAsia"/>
                <w:kern w:val="0"/>
                <w:szCs w:val="21"/>
              </w:rPr>
              <w:t>岗位操作原始记录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restart"/>
          </w:tcPr>
          <w:p>
            <w:pPr>
              <w:jc w:val="center"/>
              <w:rPr>
                <w:rFonts w:asciiTheme="minorEastAsia" w:hAnsiTheme="minorEastAsia"/>
                <w:kern w:val="0"/>
                <w:szCs w:val="21"/>
              </w:rPr>
            </w:pPr>
          </w:p>
          <w:p>
            <w:pPr>
              <w:jc w:val="center"/>
              <w:rPr>
                <w:rFonts w:asciiTheme="minorEastAsia" w:hAnsiTheme="minorEastAsia"/>
                <w:kern w:val="0"/>
                <w:szCs w:val="21"/>
              </w:rPr>
            </w:pPr>
            <w:r>
              <w:rPr>
                <w:rFonts w:asciiTheme="minorEastAsia" w:hAnsiTheme="minorEastAsia"/>
                <w:kern w:val="0"/>
                <w:szCs w:val="21"/>
              </w:rPr>
              <w:t>发</w:t>
            </w:r>
          </w:p>
          <w:p>
            <w:pPr>
              <w:jc w:val="center"/>
              <w:rPr>
                <w:rFonts w:asciiTheme="minorEastAsia" w:hAnsiTheme="minorEastAsia"/>
                <w:kern w:val="0"/>
                <w:szCs w:val="21"/>
              </w:rPr>
            </w:pPr>
            <w:r>
              <w:rPr>
                <w:rFonts w:asciiTheme="minorEastAsia" w:hAnsiTheme="minorEastAsia"/>
                <w:kern w:val="0"/>
                <w:szCs w:val="21"/>
              </w:rPr>
              <w:t>展</w:t>
            </w:r>
          </w:p>
          <w:p>
            <w:pPr>
              <w:jc w:val="center"/>
              <w:rPr>
                <w:rFonts w:asciiTheme="minorEastAsia" w:hAnsiTheme="minorEastAsia"/>
                <w:kern w:val="0"/>
                <w:szCs w:val="21"/>
              </w:rPr>
            </w:pPr>
            <w:r>
              <w:rPr>
                <w:rFonts w:asciiTheme="minorEastAsia" w:hAnsiTheme="minorEastAsia"/>
                <w:kern w:val="0"/>
                <w:szCs w:val="21"/>
              </w:rPr>
              <w:t>岗</w:t>
            </w:r>
          </w:p>
          <w:p>
            <w:pPr>
              <w:jc w:val="center"/>
              <w:rPr>
                <w:rFonts w:asciiTheme="minorEastAsia" w:hAnsiTheme="minorEastAsia"/>
                <w:kern w:val="0"/>
                <w:szCs w:val="21"/>
              </w:rPr>
            </w:pPr>
            <w:r>
              <w:rPr>
                <w:rFonts w:asciiTheme="minorEastAsia" w:hAnsiTheme="minorEastAsia"/>
                <w:kern w:val="0"/>
                <w:szCs w:val="21"/>
              </w:rPr>
              <w:t>位</w:t>
            </w:r>
          </w:p>
        </w:tc>
        <w:tc>
          <w:tcPr>
            <w:tcW w:w="3258" w:type="dxa"/>
            <w:vMerge w:val="restart"/>
          </w:tcPr>
          <w:p>
            <w:pPr>
              <w:jc w:val="center"/>
              <w:rPr>
                <w:rFonts w:asciiTheme="minorEastAsia" w:hAnsiTheme="minorEastAsia"/>
                <w:kern w:val="0"/>
                <w:szCs w:val="21"/>
              </w:rPr>
            </w:pPr>
          </w:p>
          <w:p>
            <w:pPr>
              <w:jc w:val="center"/>
              <w:rPr>
                <w:rFonts w:asciiTheme="minorEastAsia" w:hAnsiTheme="minorEastAsia"/>
                <w:kern w:val="0"/>
                <w:szCs w:val="21"/>
              </w:rPr>
            </w:pPr>
          </w:p>
          <w:p>
            <w:pPr>
              <w:jc w:val="center"/>
              <w:rPr>
                <w:rFonts w:asciiTheme="minorEastAsia" w:hAnsiTheme="minorEastAsia"/>
                <w:kern w:val="0"/>
                <w:szCs w:val="21"/>
              </w:rPr>
            </w:pPr>
            <w:r>
              <w:rPr>
                <w:rFonts w:hint="eastAsia" w:asciiTheme="minorEastAsia" w:hAnsiTheme="minorEastAsia"/>
                <w:kern w:val="0"/>
                <w:szCs w:val="21"/>
              </w:rPr>
              <w:t>化工工艺管理岗位</w:t>
            </w:r>
          </w:p>
        </w:tc>
        <w:tc>
          <w:tcPr>
            <w:tcW w:w="3881" w:type="dxa"/>
          </w:tcPr>
          <w:p>
            <w:pPr>
              <w:jc w:val="center"/>
              <w:rPr>
                <w:rFonts w:asciiTheme="minorEastAsia" w:hAnsiTheme="minorEastAsia"/>
                <w:kern w:val="0"/>
                <w:szCs w:val="21"/>
              </w:rPr>
            </w:pPr>
            <w:r>
              <w:rPr>
                <w:rFonts w:hint="eastAsia" w:asciiTheme="minorEastAsia" w:hAnsiTheme="minorEastAsia"/>
                <w:kern w:val="0"/>
                <w:szCs w:val="21"/>
              </w:rPr>
              <w:t>生产过程管理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continue"/>
          </w:tcPr>
          <w:p>
            <w:pPr>
              <w:jc w:val="center"/>
              <w:rPr>
                <w:rFonts w:asciiTheme="minorEastAsia" w:hAnsiTheme="minorEastAsia"/>
                <w:kern w:val="0"/>
                <w:szCs w:val="21"/>
              </w:rPr>
            </w:pPr>
          </w:p>
        </w:tc>
        <w:tc>
          <w:tcPr>
            <w:tcW w:w="3258" w:type="dxa"/>
            <w:vMerge w:val="continue"/>
          </w:tcPr>
          <w:p>
            <w:pPr>
              <w:jc w:val="center"/>
              <w:rPr>
                <w:rFonts w:asciiTheme="minorEastAsia" w:hAnsiTheme="minorEastAsia"/>
                <w:kern w:val="0"/>
                <w:szCs w:val="21"/>
              </w:rPr>
            </w:pPr>
          </w:p>
        </w:tc>
        <w:tc>
          <w:tcPr>
            <w:tcW w:w="3881" w:type="dxa"/>
          </w:tcPr>
          <w:p>
            <w:pPr>
              <w:jc w:val="center"/>
              <w:rPr>
                <w:rFonts w:asciiTheme="minorEastAsia" w:hAnsiTheme="minorEastAsia"/>
                <w:kern w:val="0"/>
                <w:szCs w:val="21"/>
              </w:rPr>
            </w:pPr>
            <w:r>
              <w:rPr>
                <w:rFonts w:hint="eastAsia" w:asciiTheme="minorEastAsia" w:hAnsiTheme="minorEastAsia"/>
                <w:kern w:val="0"/>
                <w:szCs w:val="21"/>
              </w:rPr>
              <w:t>组织工艺培训</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continue"/>
          </w:tcPr>
          <w:p>
            <w:pPr>
              <w:jc w:val="center"/>
              <w:rPr>
                <w:rFonts w:asciiTheme="minorEastAsia" w:hAnsiTheme="minorEastAsia"/>
                <w:kern w:val="0"/>
                <w:szCs w:val="21"/>
              </w:rPr>
            </w:pPr>
          </w:p>
        </w:tc>
        <w:tc>
          <w:tcPr>
            <w:tcW w:w="3258" w:type="dxa"/>
            <w:vMerge w:val="continue"/>
          </w:tcPr>
          <w:p>
            <w:pPr>
              <w:jc w:val="center"/>
              <w:rPr>
                <w:rFonts w:asciiTheme="minorEastAsia" w:hAnsiTheme="minorEastAsia"/>
                <w:kern w:val="0"/>
                <w:szCs w:val="21"/>
              </w:rPr>
            </w:pPr>
          </w:p>
        </w:tc>
        <w:tc>
          <w:tcPr>
            <w:tcW w:w="3881" w:type="dxa"/>
          </w:tcPr>
          <w:p>
            <w:pPr>
              <w:jc w:val="center"/>
              <w:rPr>
                <w:rFonts w:asciiTheme="minorEastAsia" w:hAnsiTheme="minorEastAsia"/>
                <w:kern w:val="0"/>
                <w:szCs w:val="21"/>
              </w:rPr>
            </w:pPr>
            <w:r>
              <w:rPr>
                <w:rFonts w:asciiTheme="minorEastAsia" w:hAnsiTheme="minorEastAsia"/>
                <w:kern w:val="0"/>
                <w:szCs w:val="21"/>
              </w:rPr>
              <w:t>检查工艺条件执行情况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continue"/>
          </w:tcPr>
          <w:p>
            <w:pPr>
              <w:jc w:val="center"/>
              <w:rPr>
                <w:rFonts w:asciiTheme="minorEastAsia" w:hAnsiTheme="minorEastAsia"/>
                <w:kern w:val="0"/>
                <w:szCs w:val="21"/>
              </w:rPr>
            </w:pPr>
          </w:p>
        </w:tc>
        <w:tc>
          <w:tcPr>
            <w:tcW w:w="3258" w:type="dxa"/>
            <w:vMerge w:val="continue"/>
          </w:tcPr>
          <w:p>
            <w:pPr>
              <w:jc w:val="center"/>
              <w:rPr>
                <w:rFonts w:asciiTheme="minorEastAsia" w:hAnsiTheme="minorEastAsia"/>
                <w:kern w:val="0"/>
                <w:szCs w:val="21"/>
              </w:rPr>
            </w:pPr>
          </w:p>
        </w:tc>
        <w:tc>
          <w:tcPr>
            <w:tcW w:w="3881" w:type="dxa"/>
          </w:tcPr>
          <w:p>
            <w:pPr>
              <w:jc w:val="center"/>
              <w:rPr>
                <w:rFonts w:asciiTheme="minorEastAsia" w:hAnsiTheme="minorEastAsia"/>
                <w:kern w:val="0"/>
                <w:szCs w:val="21"/>
              </w:rPr>
            </w:pPr>
            <w:r>
              <w:rPr>
                <w:rFonts w:hint="eastAsia" w:asciiTheme="minorEastAsia" w:hAnsiTheme="minorEastAsia"/>
                <w:kern w:val="0"/>
                <w:szCs w:val="21"/>
              </w:rPr>
              <w:t>参与处理生产中出现的技术问题</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3" w:type="dxa"/>
            <w:vMerge w:val="continue"/>
          </w:tcPr>
          <w:p>
            <w:pPr>
              <w:jc w:val="center"/>
              <w:rPr>
                <w:rFonts w:asciiTheme="minorEastAsia" w:hAnsiTheme="minorEastAsia"/>
                <w:kern w:val="0"/>
                <w:szCs w:val="21"/>
              </w:rPr>
            </w:pPr>
          </w:p>
        </w:tc>
        <w:tc>
          <w:tcPr>
            <w:tcW w:w="3258" w:type="dxa"/>
            <w:vMerge w:val="continue"/>
          </w:tcPr>
          <w:p>
            <w:pPr>
              <w:jc w:val="center"/>
              <w:rPr>
                <w:rFonts w:asciiTheme="minorEastAsia" w:hAnsiTheme="minorEastAsia"/>
                <w:kern w:val="0"/>
                <w:szCs w:val="21"/>
              </w:rPr>
            </w:pPr>
          </w:p>
        </w:tc>
        <w:tc>
          <w:tcPr>
            <w:tcW w:w="3881" w:type="dxa"/>
          </w:tcPr>
          <w:p>
            <w:pPr>
              <w:jc w:val="center"/>
              <w:rPr>
                <w:rFonts w:asciiTheme="minorEastAsia" w:hAnsiTheme="minorEastAsia"/>
                <w:kern w:val="0"/>
                <w:szCs w:val="21"/>
              </w:rPr>
            </w:pPr>
            <w:r>
              <w:rPr>
                <w:rFonts w:hint="eastAsia" w:asciiTheme="minorEastAsia" w:hAnsiTheme="minorEastAsia"/>
                <w:kern w:val="0"/>
                <w:szCs w:val="21"/>
              </w:rPr>
              <w:t>参与开停车方案制定</w:t>
            </w:r>
          </w:p>
        </w:tc>
      </w:tr>
    </w:tbl>
    <w:p>
      <w:pPr>
        <w:spacing w:line="360" w:lineRule="auto"/>
        <w:jc w:val="left"/>
        <w:rPr>
          <w:kern w:val="0"/>
          <w:sz w:val="24"/>
        </w:rPr>
      </w:pPr>
      <w:r>
        <w:rPr>
          <w:rFonts w:hint="eastAsia"/>
          <w:kern w:val="0"/>
          <w:sz w:val="24"/>
        </w:rPr>
        <w:t>2．岗位（群）职业能力</w:t>
      </w:r>
    </w:p>
    <w:p>
      <w:pPr>
        <w:spacing w:line="360" w:lineRule="auto"/>
        <w:ind w:firstLine="480" w:firstLineChars="200"/>
        <w:rPr>
          <w:kern w:val="0"/>
          <w:sz w:val="24"/>
        </w:rPr>
      </w:pPr>
      <w:r>
        <w:rPr>
          <w:rFonts w:hint="eastAsia"/>
          <w:kern w:val="0"/>
          <w:sz w:val="24"/>
        </w:rPr>
        <w:t>在广泛调研岗位(群)典型工作任务的基础上，我们对化工生产装置操作与维护岗(外操)和化工生产工艺运行控制岗(内操)，化工工艺管理岗位所需要的职业能力进行调研，并按照所需要的专业能力、社会能力和方法能力进行归纳总结。结果如表3.2所示。</w:t>
      </w:r>
    </w:p>
    <w:p>
      <w:pPr>
        <w:spacing w:line="360" w:lineRule="auto"/>
        <w:ind w:firstLine="480" w:firstLineChars="200"/>
        <w:rPr>
          <w:kern w:val="0"/>
          <w:sz w:val="24"/>
        </w:rPr>
      </w:pPr>
    </w:p>
    <w:p>
      <w:pPr>
        <w:spacing w:line="360" w:lineRule="auto"/>
        <w:ind w:firstLine="480" w:firstLineChars="200"/>
        <w:rPr>
          <w:kern w:val="0"/>
          <w:sz w:val="24"/>
        </w:rPr>
      </w:pPr>
    </w:p>
    <w:p>
      <w:pPr>
        <w:spacing w:line="360" w:lineRule="auto"/>
        <w:ind w:firstLine="480" w:firstLineChars="200"/>
        <w:rPr>
          <w:kern w:val="0"/>
          <w:sz w:val="24"/>
        </w:rPr>
      </w:pPr>
    </w:p>
    <w:p>
      <w:pPr>
        <w:spacing w:line="360" w:lineRule="auto"/>
        <w:ind w:firstLine="480" w:firstLineChars="200"/>
        <w:rPr>
          <w:kern w:val="0"/>
          <w:sz w:val="24"/>
        </w:rPr>
      </w:pPr>
    </w:p>
    <w:p>
      <w:pPr>
        <w:spacing w:line="360" w:lineRule="auto"/>
        <w:ind w:firstLine="480" w:firstLineChars="200"/>
        <w:rPr>
          <w:kern w:val="0"/>
          <w:sz w:val="24"/>
        </w:rPr>
      </w:pPr>
    </w:p>
    <w:p>
      <w:pPr>
        <w:spacing w:line="360" w:lineRule="auto"/>
        <w:jc w:val="center"/>
        <w:rPr>
          <w:kern w:val="0"/>
          <w:sz w:val="24"/>
        </w:rPr>
      </w:pPr>
      <w:r>
        <w:rPr>
          <w:rFonts w:hint="eastAsia"/>
          <w:kern w:val="0"/>
          <w:sz w:val="24"/>
        </w:rPr>
        <w:t>表3.2应用化工技术专业岗位职业能力</w:t>
      </w:r>
    </w:p>
    <w:p>
      <w:pPr>
        <w:ind w:firstLine="1050" w:firstLineChars="500"/>
        <w:rPr>
          <w:rFonts w:ascii="黑体" w:hAnsi="宋体" w:eastAsia="黑体"/>
          <w:szCs w:val="21"/>
        </w:rPr>
      </w:pPr>
    </w:p>
    <w:tbl>
      <w:tblPr>
        <w:tblStyle w:val="19"/>
        <w:tblW w:w="852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3"/>
        <w:gridCol w:w="1841"/>
        <w:gridCol w:w="2738"/>
        <w:gridCol w:w="1705"/>
        <w:gridCol w:w="170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374" w:type="dxa"/>
            <w:gridSpan w:val="2"/>
          </w:tcPr>
          <w:p>
            <w:pPr>
              <w:jc w:val="center"/>
              <w:rPr>
                <w:rFonts w:asciiTheme="minorEastAsia" w:hAnsiTheme="minorEastAsia"/>
                <w:b/>
                <w:szCs w:val="21"/>
              </w:rPr>
            </w:pPr>
            <w:r>
              <w:rPr>
                <w:rFonts w:hint="eastAsia" w:asciiTheme="minorEastAsia" w:hAnsiTheme="minorEastAsia"/>
                <w:b/>
                <w:szCs w:val="21"/>
              </w:rPr>
              <w:t>职业岗位</w:t>
            </w:r>
          </w:p>
        </w:tc>
        <w:tc>
          <w:tcPr>
            <w:tcW w:w="2738" w:type="dxa"/>
          </w:tcPr>
          <w:p>
            <w:pPr>
              <w:jc w:val="center"/>
              <w:rPr>
                <w:rFonts w:asciiTheme="minorEastAsia" w:hAnsiTheme="minorEastAsia"/>
                <w:b/>
                <w:szCs w:val="21"/>
              </w:rPr>
            </w:pPr>
            <w:r>
              <w:rPr>
                <w:rFonts w:hint="eastAsia" w:asciiTheme="minorEastAsia" w:hAnsiTheme="minorEastAsia"/>
                <w:b/>
                <w:szCs w:val="21"/>
              </w:rPr>
              <w:t>专业职业能力</w:t>
            </w:r>
          </w:p>
        </w:tc>
        <w:tc>
          <w:tcPr>
            <w:tcW w:w="1705" w:type="dxa"/>
          </w:tcPr>
          <w:p>
            <w:pPr>
              <w:jc w:val="center"/>
              <w:rPr>
                <w:rFonts w:asciiTheme="minorEastAsia" w:hAnsiTheme="minorEastAsia"/>
                <w:b/>
                <w:szCs w:val="21"/>
              </w:rPr>
            </w:pPr>
            <w:r>
              <w:rPr>
                <w:rFonts w:hint="eastAsia" w:asciiTheme="minorEastAsia" w:hAnsiTheme="minorEastAsia"/>
                <w:b/>
                <w:szCs w:val="21"/>
              </w:rPr>
              <w:t>社会能力</w:t>
            </w:r>
          </w:p>
        </w:tc>
        <w:tc>
          <w:tcPr>
            <w:tcW w:w="1705" w:type="dxa"/>
          </w:tcPr>
          <w:p>
            <w:pPr>
              <w:jc w:val="center"/>
              <w:rPr>
                <w:rFonts w:asciiTheme="minorEastAsia" w:hAnsiTheme="minorEastAsia"/>
                <w:b/>
                <w:szCs w:val="21"/>
              </w:rPr>
            </w:pPr>
            <w:r>
              <w:rPr>
                <w:rFonts w:hint="eastAsia" w:asciiTheme="minorEastAsia" w:hAnsiTheme="minorEastAsia"/>
                <w:b/>
                <w:szCs w:val="21"/>
              </w:rPr>
              <w:t>方法能力</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restart"/>
          </w:tcPr>
          <w:p>
            <w:pPr>
              <w:spacing w:line="360" w:lineRule="auto"/>
              <w:jc w:val="center"/>
              <w:rPr>
                <w:rFonts w:asciiTheme="minorEastAsia" w:hAnsiTheme="minorEastAsia"/>
                <w:kern w:val="0"/>
                <w:szCs w:val="21"/>
              </w:rPr>
            </w:pPr>
          </w:p>
          <w:p>
            <w:pPr>
              <w:spacing w:line="360" w:lineRule="auto"/>
              <w:jc w:val="center"/>
              <w:rPr>
                <w:rFonts w:asciiTheme="minorEastAsia" w:hAnsiTheme="minorEastAsia"/>
                <w:kern w:val="0"/>
                <w:szCs w:val="21"/>
              </w:rPr>
            </w:pPr>
          </w:p>
          <w:p>
            <w:pPr>
              <w:spacing w:line="360" w:lineRule="auto"/>
              <w:jc w:val="center"/>
              <w:rPr>
                <w:rFonts w:asciiTheme="minorEastAsia" w:hAnsiTheme="minorEastAsia"/>
                <w:kern w:val="0"/>
                <w:szCs w:val="21"/>
              </w:rPr>
            </w:pPr>
          </w:p>
          <w:p>
            <w:pPr>
              <w:spacing w:line="360" w:lineRule="auto"/>
              <w:jc w:val="center"/>
              <w:rPr>
                <w:rFonts w:asciiTheme="minorEastAsia" w:hAnsiTheme="minorEastAsia"/>
                <w:kern w:val="0"/>
                <w:szCs w:val="21"/>
              </w:rPr>
            </w:pPr>
            <w:r>
              <w:rPr>
                <w:rFonts w:asciiTheme="minorEastAsia" w:hAnsiTheme="minorEastAsia"/>
                <w:kern w:val="0"/>
                <w:szCs w:val="21"/>
              </w:rPr>
              <w:t>首</w:t>
            </w:r>
          </w:p>
          <w:p>
            <w:pPr>
              <w:spacing w:line="360" w:lineRule="auto"/>
              <w:jc w:val="center"/>
              <w:rPr>
                <w:rFonts w:asciiTheme="minorEastAsia" w:hAnsiTheme="minorEastAsia"/>
                <w:kern w:val="0"/>
                <w:szCs w:val="21"/>
              </w:rPr>
            </w:pPr>
            <w:r>
              <w:rPr>
                <w:rFonts w:asciiTheme="minorEastAsia" w:hAnsiTheme="minorEastAsia"/>
                <w:kern w:val="0"/>
                <w:szCs w:val="21"/>
              </w:rPr>
              <w:t>次</w:t>
            </w:r>
          </w:p>
          <w:p>
            <w:pPr>
              <w:spacing w:line="360" w:lineRule="auto"/>
              <w:jc w:val="center"/>
              <w:rPr>
                <w:rFonts w:asciiTheme="minorEastAsia" w:hAnsiTheme="minorEastAsia"/>
                <w:kern w:val="0"/>
                <w:szCs w:val="21"/>
              </w:rPr>
            </w:pPr>
            <w:r>
              <w:rPr>
                <w:rFonts w:asciiTheme="minorEastAsia" w:hAnsiTheme="minorEastAsia"/>
                <w:kern w:val="0"/>
                <w:szCs w:val="21"/>
              </w:rPr>
              <w:t>就</w:t>
            </w:r>
          </w:p>
          <w:p>
            <w:pPr>
              <w:spacing w:line="360" w:lineRule="auto"/>
              <w:jc w:val="center"/>
              <w:rPr>
                <w:rFonts w:asciiTheme="minorEastAsia" w:hAnsiTheme="minorEastAsia"/>
                <w:kern w:val="0"/>
                <w:szCs w:val="21"/>
              </w:rPr>
            </w:pPr>
            <w:r>
              <w:rPr>
                <w:rFonts w:asciiTheme="minorEastAsia" w:hAnsiTheme="minorEastAsia"/>
                <w:kern w:val="0"/>
                <w:szCs w:val="21"/>
              </w:rPr>
              <w:t>业</w:t>
            </w:r>
          </w:p>
          <w:p>
            <w:pPr>
              <w:spacing w:line="360" w:lineRule="auto"/>
              <w:jc w:val="center"/>
              <w:rPr>
                <w:rFonts w:asciiTheme="minorEastAsia" w:hAnsiTheme="minorEastAsia"/>
                <w:kern w:val="0"/>
                <w:szCs w:val="21"/>
              </w:rPr>
            </w:pPr>
            <w:r>
              <w:rPr>
                <w:rFonts w:asciiTheme="minorEastAsia" w:hAnsiTheme="minorEastAsia"/>
                <w:kern w:val="0"/>
                <w:szCs w:val="21"/>
              </w:rPr>
              <w:t>岗</w:t>
            </w:r>
          </w:p>
          <w:p>
            <w:pPr>
              <w:ind w:firstLine="105" w:firstLineChars="50"/>
              <w:rPr>
                <w:rFonts w:asciiTheme="minorEastAsia" w:hAnsiTheme="minorEastAsia"/>
                <w:szCs w:val="21"/>
              </w:rPr>
            </w:pPr>
            <w:r>
              <w:rPr>
                <w:rFonts w:asciiTheme="minorEastAsia" w:hAnsiTheme="minorEastAsia"/>
                <w:kern w:val="0"/>
                <w:szCs w:val="21"/>
              </w:rPr>
              <w:t>位</w:t>
            </w:r>
          </w:p>
        </w:tc>
        <w:tc>
          <w:tcPr>
            <w:tcW w:w="1841" w:type="dxa"/>
            <w:vMerge w:val="restart"/>
          </w:tcPr>
          <w:p>
            <w:pPr>
              <w:rPr>
                <w:rFonts w:asciiTheme="minorEastAsia" w:hAnsiTheme="minorEastAsia"/>
                <w:kern w:val="0"/>
                <w:szCs w:val="21"/>
              </w:rPr>
            </w:pPr>
          </w:p>
          <w:p>
            <w:pPr>
              <w:rPr>
                <w:rFonts w:asciiTheme="minorEastAsia" w:hAnsiTheme="minorEastAsia"/>
                <w:kern w:val="0"/>
                <w:szCs w:val="21"/>
              </w:rPr>
            </w:pPr>
          </w:p>
          <w:p>
            <w:pPr>
              <w:ind w:left="210" w:hanging="210" w:hangingChars="100"/>
              <w:rPr>
                <w:rFonts w:asciiTheme="minorEastAsia" w:hAnsiTheme="minorEastAsia"/>
                <w:szCs w:val="21"/>
              </w:rPr>
            </w:pPr>
            <w:r>
              <w:rPr>
                <w:rFonts w:hint="eastAsia" w:asciiTheme="minorEastAsia" w:hAnsiTheme="minorEastAsia"/>
                <w:kern w:val="0"/>
                <w:szCs w:val="21"/>
              </w:rPr>
              <w:t>化工生产装置操作及维护岗</w:t>
            </w:r>
          </w:p>
        </w:tc>
        <w:tc>
          <w:tcPr>
            <w:tcW w:w="2738" w:type="dxa"/>
          </w:tcPr>
          <w:p>
            <w:pPr>
              <w:rPr>
                <w:rFonts w:asciiTheme="minorEastAsia" w:hAnsiTheme="minorEastAsia"/>
                <w:szCs w:val="21"/>
              </w:rPr>
            </w:pPr>
            <w:r>
              <w:rPr>
                <w:rFonts w:hint="eastAsia" w:asciiTheme="minorEastAsia" w:hAnsiTheme="minorEastAsia"/>
                <w:szCs w:val="21"/>
              </w:rPr>
              <w:t>仪表的使用、维护、保养</w:t>
            </w:r>
          </w:p>
        </w:tc>
        <w:tc>
          <w:tcPr>
            <w:tcW w:w="1705" w:type="dxa"/>
            <w:vMerge w:val="restart"/>
          </w:tcPr>
          <w:p>
            <w:pPr>
              <w:rPr>
                <w:rFonts w:asciiTheme="minorEastAsia" w:hAnsiTheme="minorEastAsia"/>
                <w:szCs w:val="21"/>
              </w:rPr>
            </w:pPr>
          </w:p>
          <w:p>
            <w:pPr>
              <w:rPr>
                <w:rFonts w:asciiTheme="minorEastAsia" w:hAnsiTheme="minorEastAsia"/>
                <w:szCs w:val="21"/>
              </w:rPr>
            </w:pPr>
          </w:p>
          <w:p>
            <w:pPr>
              <w:rPr>
                <w:rFonts w:asciiTheme="minorEastAsia" w:hAnsiTheme="minorEastAsia"/>
                <w:szCs w:val="21"/>
              </w:rPr>
            </w:pPr>
          </w:p>
          <w:p>
            <w:pPr>
              <w:rPr>
                <w:rFonts w:asciiTheme="minorEastAsia" w:hAnsiTheme="minorEastAsia"/>
                <w:szCs w:val="21"/>
              </w:rPr>
            </w:pPr>
          </w:p>
          <w:p>
            <w:pPr>
              <w:rPr>
                <w:rFonts w:asciiTheme="minorEastAsia" w:hAnsiTheme="minorEastAsia"/>
                <w:szCs w:val="21"/>
              </w:rPr>
            </w:pPr>
          </w:p>
          <w:p>
            <w:pPr>
              <w:rPr>
                <w:rFonts w:asciiTheme="minorEastAsia" w:hAnsiTheme="minorEastAsia"/>
                <w:szCs w:val="21"/>
              </w:rPr>
            </w:pPr>
          </w:p>
          <w:p>
            <w:pPr>
              <w:rPr>
                <w:rFonts w:asciiTheme="minorEastAsia" w:hAnsiTheme="minorEastAsia"/>
                <w:szCs w:val="21"/>
              </w:rPr>
            </w:pPr>
            <w:r>
              <w:rPr>
                <w:rFonts w:hint="eastAsia" w:asciiTheme="minorEastAsia" w:hAnsiTheme="minorEastAsia"/>
                <w:szCs w:val="21"/>
              </w:rPr>
              <w:t>语言表达能力</w:t>
            </w:r>
          </w:p>
          <w:p>
            <w:pPr>
              <w:rPr>
                <w:rFonts w:asciiTheme="minorEastAsia" w:hAnsiTheme="minorEastAsia"/>
                <w:szCs w:val="21"/>
              </w:rPr>
            </w:pPr>
            <w:r>
              <w:rPr>
                <w:rFonts w:hint="eastAsia" w:asciiTheme="minorEastAsia" w:hAnsiTheme="minorEastAsia"/>
                <w:szCs w:val="21"/>
              </w:rPr>
              <w:t>文字能力</w:t>
            </w:r>
          </w:p>
          <w:p>
            <w:pPr>
              <w:rPr>
                <w:rFonts w:asciiTheme="minorEastAsia" w:hAnsiTheme="minorEastAsia"/>
                <w:szCs w:val="21"/>
              </w:rPr>
            </w:pPr>
            <w:r>
              <w:rPr>
                <w:rFonts w:hint="eastAsia" w:asciiTheme="minorEastAsia" w:hAnsiTheme="minorEastAsia"/>
                <w:szCs w:val="21"/>
              </w:rPr>
              <w:t>组织协调能力</w:t>
            </w:r>
          </w:p>
          <w:p>
            <w:pPr>
              <w:rPr>
                <w:rFonts w:asciiTheme="minorEastAsia" w:hAnsiTheme="minorEastAsia"/>
                <w:szCs w:val="21"/>
              </w:rPr>
            </w:pPr>
            <w:r>
              <w:rPr>
                <w:rFonts w:hint="eastAsia" w:asciiTheme="minorEastAsia" w:hAnsiTheme="minorEastAsia"/>
                <w:szCs w:val="21"/>
              </w:rPr>
              <w:t>交流沟通能力</w:t>
            </w:r>
          </w:p>
          <w:p>
            <w:pPr>
              <w:rPr>
                <w:rFonts w:asciiTheme="minorEastAsia" w:hAnsiTheme="minorEastAsia"/>
                <w:szCs w:val="21"/>
              </w:rPr>
            </w:pPr>
            <w:r>
              <w:rPr>
                <w:rFonts w:hint="eastAsia" w:asciiTheme="minorEastAsia" w:hAnsiTheme="minorEastAsia"/>
                <w:szCs w:val="21"/>
              </w:rPr>
              <w:t>心理素质</w:t>
            </w:r>
          </w:p>
          <w:p>
            <w:pPr>
              <w:rPr>
                <w:rFonts w:asciiTheme="minorEastAsia" w:hAnsiTheme="minorEastAsia"/>
                <w:szCs w:val="21"/>
              </w:rPr>
            </w:pPr>
            <w:r>
              <w:rPr>
                <w:rFonts w:hint="eastAsia" w:asciiTheme="minorEastAsia" w:hAnsiTheme="minorEastAsia"/>
                <w:szCs w:val="21"/>
              </w:rPr>
              <w:t>职业规范、道德</w:t>
            </w:r>
          </w:p>
          <w:p>
            <w:pPr>
              <w:rPr>
                <w:rFonts w:asciiTheme="minorEastAsia" w:hAnsiTheme="minorEastAsia"/>
                <w:szCs w:val="21"/>
              </w:rPr>
            </w:pPr>
            <w:r>
              <w:rPr>
                <w:rFonts w:hint="eastAsia" w:asciiTheme="minorEastAsia" w:hAnsiTheme="minorEastAsia"/>
                <w:szCs w:val="21"/>
              </w:rPr>
              <w:t>安全、质量意识</w:t>
            </w:r>
          </w:p>
          <w:p>
            <w:pPr>
              <w:rPr>
                <w:rFonts w:asciiTheme="minorEastAsia" w:hAnsiTheme="minorEastAsia"/>
                <w:szCs w:val="21"/>
              </w:rPr>
            </w:pPr>
            <w:r>
              <w:rPr>
                <w:rFonts w:hint="eastAsia" w:asciiTheme="minorEastAsia" w:hAnsiTheme="minorEastAsia"/>
                <w:szCs w:val="21"/>
              </w:rPr>
              <w:t>环保意识</w:t>
            </w:r>
          </w:p>
          <w:p>
            <w:pPr>
              <w:rPr>
                <w:rFonts w:asciiTheme="minorEastAsia" w:hAnsiTheme="minorEastAsia"/>
                <w:szCs w:val="21"/>
              </w:rPr>
            </w:pPr>
            <w:r>
              <w:rPr>
                <w:rFonts w:hint="eastAsia" w:asciiTheme="minorEastAsia" w:hAnsiTheme="minorEastAsia"/>
                <w:szCs w:val="21"/>
              </w:rPr>
              <w:t>团队合作精神</w:t>
            </w:r>
          </w:p>
        </w:tc>
        <w:tc>
          <w:tcPr>
            <w:tcW w:w="1705" w:type="dxa"/>
            <w:vMerge w:val="restart"/>
          </w:tcPr>
          <w:p>
            <w:pPr>
              <w:rPr>
                <w:rFonts w:asciiTheme="minorEastAsia" w:hAnsiTheme="minorEastAsia"/>
                <w:szCs w:val="21"/>
              </w:rPr>
            </w:pPr>
          </w:p>
          <w:p>
            <w:pPr>
              <w:rPr>
                <w:rFonts w:asciiTheme="minorEastAsia" w:hAnsiTheme="minorEastAsia"/>
                <w:szCs w:val="21"/>
              </w:rPr>
            </w:pPr>
          </w:p>
          <w:p>
            <w:pPr>
              <w:rPr>
                <w:rFonts w:asciiTheme="minorEastAsia" w:hAnsiTheme="minorEastAsia"/>
                <w:szCs w:val="21"/>
              </w:rPr>
            </w:pPr>
          </w:p>
          <w:p>
            <w:pPr>
              <w:rPr>
                <w:rFonts w:asciiTheme="minorEastAsia" w:hAnsiTheme="minorEastAsia"/>
                <w:szCs w:val="21"/>
              </w:rPr>
            </w:pPr>
          </w:p>
          <w:p>
            <w:pPr>
              <w:rPr>
                <w:rFonts w:asciiTheme="minorEastAsia" w:hAnsiTheme="minorEastAsia"/>
                <w:szCs w:val="21"/>
              </w:rPr>
            </w:pPr>
          </w:p>
          <w:p>
            <w:pPr>
              <w:rPr>
                <w:rFonts w:asciiTheme="minorEastAsia" w:hAnsiTheme="minorEastAsia"/>
                <w:szCs w:val="21"/>
              </w:rPr>
            </w:pPr>
          </w:p>
          <w:p>
            <w:pPr>
              <w:rPr>
                <w:rFonts w:asciiTheme="minorEastAsia" w:hAnsiTheme="minorEastAsia"/>
                <w:szCs w:val="21"/>
              </w:rPr>
            </w:pPr>
            <w:r>
              <w:rPr>
                <w:rFonts w:hint="eastAsia" w:asciiTheme="minorEastAsia" w:hAnsiTheme="minorEastAsia"/>
                <w:szCs w:val="21"/>
              </w:rPr>
              <w:t>学习新知识、新技术能力</w:t>
            </w:r>
          </w:p>
          <w:p>
            <w:pPr>
              <w:rPr>
                <w:rFonts w:asciiTheme="minorEastAsia" w:hAnsiTheme="minorEastAsia"/>
                <w:szCs w:val="21"/>
              </w:rPr>
            </w:pPr>
            <w:r>
              <w:rPr>
                <w:rFonts w:hint="eastAsia" w:asciiTheme="minorEastAsia" w:hAnsiTheme="minorEastAsia"/>
                <w:szCs w:val="21"/>
              </w:rPr>
              <w:t>分析问题能力</w:t>
            </w:r>
          </w:p>
          <w:p>
            <w:pPr>
              <w:rPr>
                <w:rFonts w:asciiTheme="minorEastAsia" w:hAnsiTheme="minorEastAsia"/>
                <w:szCs w:val="21"/>
              </w:rPr>
            </w:pPr>
            <w:r>
              <w:rPr>
                <w:rFonts w:hint="eastAsia" w:asciiTheme="minorEastAsia" w:hAnsiTheme="minorEastAsia"/>
                <w:szCs w:val="21"/>
              </w:rPr>
              <w:t>解决问题能力</w:t>
            </w:r>
          </w:p>
          <w:p>
            <w:pPr>
              <w:rPr>
                <w:rFonts w:asciiTheme="minorEastAsia" w:hAnsiTheme="minorEastAsia"/>
                <w:szCs w:val="21"/>
              </w:rPr>
            </w:pPr>
            <w:r>
              <w:rPr>
                <w:rFonts w:hint="eastAsia" w:asciiTheme="minorEastAsia" w:hAnsiTheme="minorEastAsia"/>
                <w:szCs w:val="21"/>
              </w:rPr>
              <w:t>制定计划能力</w:t>
            </w:r>
          </w:p>
          <w:p>
            <w:pPr>
              <w:rPr>
                <w:rFonts w:asciiTheme="minorEastAsia" w:hAnsiTheme="minorEastAsia"/>
                <w:szCs w:val="21"/>
              </w:rPr>
            </w:pPr>
            <w:r>
              <w:rPr>
                <w:rFonts w:hint="eastAsia" w:asciiTheme="minorEastAsia" w:hAnsiTheme="minorEastAsia"/>
                <w:szCs w:val="21"/>
              </w:rPr>
              <w:t>运用软件能力</w:t>
            </w:r>
          </w:p>
          <w:p>
            <w:pPr>
              <w:rPr>
                <w:rFonts w:asciiTheme="minorEastAsia" w:hAnsiTheme="minorEastAsia"/>
                <w:szCs w:val="21"/>
              </w:rPr>
            </w:pPr>
            <w:r>
              <w:rPr>
                <w:rFonts w:hint="eastAsia" w:asciiTheme="minorEastAsia" w:hAnsiTheme="minorEastAsia"/>
                <w:szCs w:val="21"/>
              </w:rPr>
              <w:t>信息查阅及整理能力</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continue"/>
          </w:tcPr>
          <w:p>
            <w:pPr>
              <w:rPr>
                <w:rFonts w:asciiTheme="minorEastAsia" w:hAnsiTheme="minorEastAsia"/>
                <w:szCs w:val="21"/>
              </w:rPr>
            </w:pPr>
          </w:p>
        </w:tc>
        <w:tc>
          <w:tcPr>
            <w:tcW w:w="1841" w:type="dxa"/>
            <w:vMerge w:val="continue"/>
          </w:tcPr>
          <w:p>
            <w:pPr>
              <w:rPr>
                <w:rFonts w:asciiTheme="minorEastAsia" w:hAnsiTheme="minorEastAsia"/>
                <w:szCs w:val="21"/>
              </w:rPr>
            </w:pPr>
          </w:p>
        </w:tc>
        <w:tc>
          <w:tcPr>
            <w:tcW w:w="2738" w:type="dxa"/>
          </w:tcPr>
          <w:p>
            <w:pPr>
              <w:rPr>
                <w:rFonts w:asciiTheme="minorEastAsia" w:hAnsiTheme="minorEastAsia"/>
                <w:szCs w:val="21"/>
              </w:rPr>
            </w:pPr>
            <w:r>
              <w:rPr>
                <w:rFonts w:hint="eastAsia" w:asciiTheme="minorEastAsia" w:hAnsiTheme="minorEastAsia"/>
                <w:szCs w:val="21"/>
              </w:rPr>
              <w:t>岗位操作记录能力</w:t>
            </w:r>
          </w:p>
        </w:tc>
        <w:tc>
          <w:tcPr>
            <w:tcW w:w="1705" w:type="dxa"/>
            <w:vMerge w:val="continue"/>
          </w:tcPr>
          <w:p>
            <w:pPr>
              <w:rPr>
                <w:rFonts w:asciiTheme="minorEastAsia" w:hAnsiTheme="minorEastAsia"/>
                <w:szCs w:val="21"/>
              </w:rPr>
            </w:pPr>
          </w:p>
        </w:tc>
        <w:tc>
          <w:tcPr>
            <w:tcW w:w="1705" w:type="dxa"/>
            <w:vMerge w:val="continue"/>
          </w:tcPr>
          <w:p>
            <w:pP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continue"/>
          </w:tcPr>
          <w:p>
            <w:pPr>
              <w:rPr>
                <w:rFonts w:asciiTheme="minorEastAsia" w:hAnsiTheme="minorEastAsia"/>
                <w:szCs w:val="21"/>
              </w:rPr>
            </w:pPr>
          </w:p>
        </w:tc>
        <w:tc>
          <w:tcPr>
            <w:tcW w:w="1841" w:type="dxa"/>
            <w:vMerge w:val="continue"/>
          </w:tcPr>
          <w:p>
            <w:pPr>
              <w:rPr>
                <w:rFonts w:asciiTheme="minorEastAsia" w:hAnsiTheme="minorEastAsia"/>
                <w:szCs w:val="21"/>
              </w:rPr>
            </w:pPr>
          </w:p>
        </w:tc>
        <w:tc>
          <w:tcPr>
            <w:tcW w:w="2738" w:type="dxa"/>
          </w:tcPr>
          <w:p>
            <w:pPr>
              <w:rPr>
                <w:rFonts w:asciiTheme="minorEastAsia" w:hAnsiTheme="minorEastAsia"/>
                <w:szCs w:val="21"/>
              </w:rPr>
            </w:pPr>
            <w:r>
              <w:rPr>
                <w:rFonts w:hint="eastAsia" w:asciiTheme="minorEastAsia" w:hAnsiTheme="minorEastAsia"/>
                <w:szCs w:val="21"/>
              </w:rPr>
              <w:t>设备操作应用及调控能力</w:t>
            </w:r>
          </w:p>
        </w:tc>
        <w:tc>
          <w:tcPr>
            <w:tcW w:w="1705" w:type="dxa"/>
            <w:vMerge w:val="continue"/>
          </w:tcPr>
          <w:p>
            <w:pPr>
              <w:rPr>
                <w:rFonts w:asciiTheme="minorEastAsia" w:hAnsiTheme="minorEastAsia"/>
                <w:szCs w:val="21"/>
              </w:rPr>
            </w:pPr>
          </w:p>
        </w:tc>
        <w:tc>
          <w:tcPr>
            <w:tcW w:w="1705" w:type="dxa"/>
            <w:vMerge w:val="continue"/>
          </w:tcPr>
          <w:p>
            <w:pP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continue"/>
          </w:tcPr>
          <w:p>
            <w:pPr>
              <w:rPr>
                <w:rFonts w:asciiTheme="minorEastAsia" w:hAnsiTheme="minorEastAsia"/>
                <w:szCs w:val="21"/>
              </w:rPr>
            </w:pPr>
          </w:p>
        </w:tc>
        <w:tc>
          <w:tcPr>
            <w:tcW w:w="1841" w:type="dxa"/>
            <w:vMerge w:val="continue"/>
          </w:tcPr>
          <w:p>
            <w:pPr>
              <w:rPr>
                <w:rFonts w:asciiTheme="minorEastAsia" w:hAnsiTheme="minorEastAsia"/>
                <w:szCs w:val="21"/>
              </w:rPr>
            </w:pPr>
          </w:p>
        </w:tc>
        <w:tc>
          <w:tcPr>
            <w:tcW w:w="2738" w:type="dxa"/>
          </w:tcPr>
          <w:p>
            <w:pPr>
              <w:rPr>
                <w:rFonts w:asciiTheme="minorEastAsia" w:hAnsiTheme="minorEastAsia"/>
                <w:szCs w:val="21"/>
              </w:rPr>
            </w:pPr>
            <w:r>
              <w:rPr>
                <w:rFonts w:hint="eastAsia" w:asciiTheme="minorEastAsia" w:hAnsiTheme="minorEastAsia"/>
                <w:szCs w:val="21"/>
              </w:rPr>
              <w:t>工艺流程图识读能力</w:t>
            </w:r>
          </w:p>
        </w:tc>
        <w:tc>
          <w:tcPr>
            <w:tcW w:w="1705" w:type="dxa"/>
            <w:vMerge w:val="continue"/>
          </w:tcPr>
          <w:p>
            <w:pPr>
              <w:rPr>
                <w:rFonts w:asciiTheme="minorEastAsia" w:hAnsiTheme="minorEastAsia"/>
                <w:szCs w:val="21"/>
              </w:rPr>
            </w:pPr>
          </w:p>
        </w:tc>
        <w:tc>
          <w:tcPr>
            <w:tcW w:w="1705" w:type="dxa"/>
            <w:vMerge w:val="continue"/>
          </w:tcPr>
          <w:p>
            <w:pP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continue"/>
          </w:tcPr>
          <w:p>
            <w:pPr>
              <w:rPr>
                <w:rFonts w:asciiTheme="minorEastAsia" w:hAnsiTheme="minorEastAsia"/>
                <w:szCs w:val="21"/>
              </w:rPr>
            </w:pPr>
          </w:p>
        </w:tc>
        <w:tc>
          <w:tcPr>
            <w:tcW w:w="1841" w:type="dxa"/>
            <w:vMerge w:val="continue"/>
          </w:tcPr>
          <w:p>
            <w:pPr>
              <w:rPr>
                <w:rFonts w:asciiTheme="minorEastAsia" w:hAnsiTheme="minorEastAsia"/>
                <w:szCs w:val="21"/>
              </w:rPr>
            </w:pPr>
          </w:p>
        </w:tc>
        <w:tc>
          <w:tcPr>
            <w:tcW w:w="2738" w:type="dxa"/>
          </w:tcPr>
          <w:p>
            <w:pPr>
              <w:rPr>
                <w:rFonts w:asciiTheme="minorEastAsia" w:hAnsiTheme="minorEastAsia"/>
                <w:szCs w:val="21"/>
              </w:rPr>
            </w:pPr>
            <w:r>
              <w:rPr>
                <w:rFonts w:hint="eastAsia" w:asciiTheme="minorEastAsia" w:hAnsiTheme="minorEastAsia"/>
                <w:szCs w:val="21"/>
              </w:rPr>
              <w:t>设备异常现象判断处理能力</w:t>
            </w:r>
          </w:p>
        </w:tc>
        <w:tc>
          <w:tcPr>
            <w:tcW w:w="1705" w:type="dxa"/>
            <w:vMerge w:val="continue"/>
          </w:tcPr>
          <w:p>
            <w:pPr>
              <w:rPr>
                <w:rFonts w:asciiTheme="minorEastAsia" w:hAnsiTheme="minorEastAsia"/>
                <w:szCs w:val="21"/>
              </w:rPr>
            </w:pPr>
          </w:p>
        </w:tc>
        <w:tc>
          <w:tcPr>
            <w:tcW w:w="1705" w:type="dxa"/>
            <w:vMerge w:val="continue"/>
          </w:tcPr>
          <w:p>
            <w:pP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continue"/>
          </w:tcPr>
          <w:p>
            <w:pPr>
              <w:rPr>
                <w:rFonts w:asciiTheme="minorEastAsia" w:hAnsiTheme="minorEastAsia"/>
                <w:szCs w:val="21"/>
              </w:rPr>
            </w:pPr>
          </w:p>
        </w:tc>
        <w:tc>
          <w:tcPr>
            <w:tcW w:w="1841" w:type="dxa"/>
            <w:vMerge w:val="restart"/>
          </w:tcPr>
          <w:p>
            <w:pPr>
              <w:rPr>
                <w:rFonts w:asciiTheme="minorEastAsia" w:hAnsiTheme="minorEastAsia"/>
                <w:kern w:val="0"/>
                <w:szCs w:val="21"/>
              </w:rPr>
            </w:pPr>
          </w:p>
          <w:p>
            <w:pPr>
              <w:rPr>
                <w:rFonts w:asciiTheme="minorEastAsia" w:hAnsiTheme="minorEastAsia"/>
                <w:kern w:val="0"/>
                <w:szCs w:val="21"/>
              </w:rPr>
            </w:pPr>
          </w:p>
          <w:p>
            <w:pPr>
              <w:rPr>
                <w:rFonts w:asciiTheme="minorEastAsia" w:hAnsiTheme="minorEastAsia"/>
                <w:kern w:val="0"/>
                <w:szCs w:val="21"/>
              </w:rPr>
            </w:pPr>
          </w:p>
          <w:p>
            <w:pPr>
              <w:rPr>
                <w:rFonts w:asciiTheme="minorEastAsia" w:hAnsiTheme="minorEastAsia"/>
                <w:kern w:val="0"/>
                <w:szCs w:val="21"/>
              </w:rPr>
            </w:pPr>
          </w:p>
          <w:p>
            <w:pPr>
              <w:ind w:left="315" w:hanging="315" w:hangingChars="150"/>
              <w:rPr>
                <w:rFonts w:asciiTheme="minorEastAsia" w:hAnsiTheme="minorEastAsia"/>
                <w:szCs w:val="21"/>
              </w:rPr>
            </w:pPr>
            <w:r>
              <w:rPr>
                <w:rFonts w:hint="eastAsia" w:asciiTheme="minorEastAsia" w:hAnsiTheme="minorEastAsia"/>
                <w:kern w:val="0"/>
                <w:szCs w:val="21"/>
              </w:rPr>
              <w:t>化工生产工艺运行控制岗</w:t>
            </w:r>
          </w:p>
        </w:tc>
        <w:tc>
          <w:tcPr>
            <w:tcW w:w="2738" w:type="dxa"/>
          </w:tcPr>
          <w:p>
            <w:pPr>
              <w:rPr>
                <w:rFonts w:asciiTheme="minorEastAsia" w:hAnsiTheme="minorEastAsia"/>
                <w:szCs w:val="21"/>
              </w:rPr>
            </w:pPr>
            <w:r>
              <w:rPr>
                <w:rFonts w:hint="eastAsia" w:asciiTheme="minorEastAsia" w:hAnsiTheme="minorEastAsia"/>
                <w:szCs w:val="21"/>
              </w:rPr>
              <w:t>工艺流程图绘制与识读能力</w:t>
            </w:r>
          </w:p>
        </w:tc>
        <w:tc>
          <w:tcPr>
            <w:tcW w:w="1705" w:type="dxa"/>
            <w:vMerge w:val="continue"/>
          </w:tcPr>
          <w:p>
            <w:pPr>
              <w:rPr>
                <w:rFonts w:asciiTheme="minorEastAsia" w:hAnsiTheme="minorEastAsia"/>
                <w:szCs w:val="21"/>
              </w:rPr>
            </w:pPr>
          </w:p>
        </w:tc>
        <w:tc>
          <w:tcPr>
            <w:tcW w:w="1705" w:type="dxa"/>
            <w:vMerge w:val="continue"/>
          </w:tcPr>
          <w:p>
            <w:pP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continue"/>
          </w:tcPr>
          <w:p>
            <w:pPr>
              <w:rPr>
                <w:rFonts w:asciiTheme="minorEastAsia" w:hAnsiTheme="minorEastAsia"/>
                <w:szCs w:val="21"/>
              </w:rPr>
            </w:pPr>
          </w:p>
        </w:tc>
        <w:tc>
          <w:tcPr>
            <w:tcW w:w="1841" w:type="dxa"/>
            <w:vMerge w:val="continue"/>
          </w:tcPr>
          <w:p>
            <w:pPr>
              <w:rPr>
                <w:rFonts w:asciiTheme="minorEastAsia" w:hAnsiTheme="minorEastAsia"/>
                <w:szCs w:val="21"/>
              </w:rPr>
            </w:pPr>
          </w:p>
        </w:tc>
        <w:tc>
          <w:tcPr>
            <w:tcW w:w="2738" w:type="dxa"/>
          </w:tcPr>
          <w:p>
            <w:pPr>
              <w:rPr>
                <w:rFonts w:asciiTheme="minorEastAsia" w:hAnsiTheme="minorEastAsia"/>
                <w:szCs w:val="21"/>
              </w:rPr>
            </w:pPr>
            <w:r>
              <w:rPr>
                <w:rFonts w:hint="eastAsia" w:asciiTheme="minorEastAsia" w:hAnsiTheme="minorEastAsia"/>
                <w:szCs w:val="21"/>
              </w:rPr>
              <w:t>仪表使用及维护能力</w:t>
            </w:r>
          </w:p>
        </w:tc>
        <w:tc>
          <w:tcPr>
            <w:tcW w:w="1705" w:type="dxa"/>
            <w:vMerge w:val="continue"/>
          </w:tcPr>
          <w:p>
            <w:pPr>
              <w:rPr>
                <w:rFonts w:asciiTheme="minorEastAsia" w:hAnsiTheme="minorEastAsia"/>
                <w:szCs w:val="21"/>
              </w:rPr>
            </w:pPr>
          </w:p>
        </w:tc>
        <w:tc>
          <w:tcPr>
            <w:tcW w:w="1705" w:type="dxa"/>
            <w:vMerge w:val="continue"/>
          </w:tcPr>
          <w:p>
            <w:pP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continue"/>
          </w:tcPr>
          <w:p>
            <w:pPr>
              <w:rPr>
                <w:rFonts w:asciiTheme="minorEastAsia" w:hAnsiTheme="minorEastAsia"/>
                <w:szCs w:val="21"/>
              </w:rPr>
            </w:pPr>
          </w:p>
        </w:tc>
        <w:tc>
          <w:tcPr>
            <w:tcW w:w="1841" w:type="dxa"/>
            <w:vMerge w:val="continue"/>
          </w:tcPr>
          <w:p>
            <w:pPr>
              <w:rPr>
                <w:rFonts w:asciiTheme="minorEastAsia" w:hAnsiTheme="minorEastAsia"/>
                <w:szCs w:val="21"/>
              </w:rPr>
            </w:pPr>
          </w:p>
        </w:tc>
        <w:tc>
          <w:tcPr>
            <w:tcW w:w="2738" w:type="dxa"/>
          </w:tcPr>
          <w:p>
            <w:pPr>
              <w:rPr>
                <w:rFonts w:asciiTheme="minorEastAsia" w:hAnsiTheme="minorEastAsia"/>
                <w:szCs w:val="21"/>
              </w:rPr>
            </w:pPr>
            <w:r>
              <w:rPr>
                <w:rFonts w:hint="eastAsia" w:asciiTheme="minorEastAsia" w:hAnsiTheme="minorEastAsia"/>
                <w:szCs w:val="21"/>
              </w:rPr>
              <w:t>反应过程运行控制能力</w:t>
            </w:r>
          </w:p>
        </w:tc>
        <w:tc>
          <w:tcPr>
            <w:tcW w:w="1705" w:type="dxa"/>
            <w:vMerge w:val="continue"/>
          </w:tcPr>
          <w:p>
            <w:pPr>
              <w:rPr>
                <w:rFonts w:asciiTheme="minorEastAsia" w:hAnsiTheme="minorEastAsia"/>
                <w:szCs w:val="21"/>
              </w:rPr>
            </w:pPr>
          </w:p>
        </w:tc>
        <w:tc>
          <w:tcPr>
            <w:tcW w:w="1705" w:type="dxa"/>
            <w:vMerge w:val="continue"/>
          </w:tcPr>
          <w:p>
            <w:pP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continue"/>
          </w:tcPr>
          <w:p>
            <w:pPr>
              <w:rPr>
                <w:rFonts w:asciiTheme="minorEastAsia" w:hAnsiTheme="minorEastAsia"/>
                <w:szCs w:val="21"/>
              </w:rPr>
            </w:pPr>
          </w:p>
        </w:tc>
        <w:tc>
          <w:tcPr>
            <w:tcW w:w="1841" w:type="dxa"/>
            <w:vMerge w:val="continue"/>
          </w:tcPr>
          <w:p>
            <w:pPr>
              <w:rPr>
                <w:rFonts w:asciiTheme="minorEastAsia" w:hAnsiTheme="minorEastAsia"/>
                <w:szCs w:val="21"/>
              </w:rPr>
            </w:pPr>
          </w:p>
        </w:tc>
        <w:tc>
          <w:tcPr>
            <w:tcW w:w="2738" w:type="dxa"/>
          </w:tcPr>
          <w:p>
            <w:pPr>
              <w:rPr>
                <w:rFonts w:asciiTheme="minorEastAsia" w:hAnsiTheme="minorEastAsia"/>
                <w:szCs w:val="21"/>
              </w:rPr>
            </w:pPr>
            <w:r>
              <w:rPr>
                <w:rFonts w:hint="eastAsia" w:asciiTheme="minorEastAsia" w:hAnsiTheme="minorEastAsia"/>
                <w:szCs w:val="21"/>
              </w:rPr>
              <w:t>物料输送过程控制能力</w:t>
            </w:r>
          </w:p>
        </w:tc>
        <w:tc>
          <w:tcPr>
            <w:tcW w:w="1705" w:type="dxa"/>
            <w:vMerge w:val="continue"/>
          </w:tcPr>
          <w:p>
            <w:pPr>
              <w:rPr>
                <w:rFonts w:asciiTheme="minorEastAsia" w:hAnsiTheme="minorEastAsia"/>
                <w:szCs w:val="21"/>
              </w:rPr>
            </w:pPr>
          </w:p>
        </w:tc>
        <w:tc>
          <w:tcPr>
            <w:tcW w:w="1705" w:type="dxa"/>
            <w:vMerge w:val="continue"/>
          </w:tcPr>
          <w:p>
            <w:pP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continue"/>
          </w:tcPr>
          <w:p>
            <w:pPr>
              <w:rPr>
                <w:rFonts w:asciiTheme="minorEastAsia" w:hAnsiTheme="minorEastAsia"/>
                <w:szCs w:val="21"/>
              </w:rPr>
            </w:pPr>
          </w:p>
        </w:tc>
        <w:tc>
          <w:tcPr>
            <w:tcW w:w="1841" w:type="dxa"/>
            <w:vMerge w:val="continue"/>
          </w:tcPr>
          <w:p>
            <w:pPr>
              <w:rPr>
                <w:rFonts w:asciiTheme="minorEastAsia" w:hAnsiTheme="minorEastAsia"/>
                <w:szCs w:val="21"/>
              </w:rPr>
            </w:pPr>
          </w:p>
        </w:tc>
        <w:tc>
          <w:tcPr>
            <w:tcW w:w="2738" w:type="dxa"/>
          </w:tcPr>
          <w:p>
            <w:pPr>
              <w:rPr>
                <w:rFonts w:asciiTheme="minorEastAsia" w:hAnsiTheme="minorEastAsia"/>
                <w:szCs w:val="21"/>
              </w:rPr>
            </w:pPr>
            <w:r>
              <w:rPr>
                <w:rFonts w:hint="eastAsia" w:asciiTheme="minorEastAsia" w:hAnsiTheme="minorEastAsia"/>
                <w:szCs w:val="21"/>
              </w:rPr>
              <w:t>传热过程控制能力</w:t>
            </w:r>
          </w:p>
        </w:tc>
        <w:tc>
          <w:tcPr>
            <w:tcW w:w="1705" w:type="dxa"/>
            <w:vMerge w:val="continue"/>
          </w:tcPr>
          <w:p>
            <w:pPr>
              <w:rPr>
                <w:rFonts w:asciiTheme="minorEastAsia" w:hAnsiTheme="minorEastAsia"/>
                <w:szCs w:val="21"/>
              </w:rPr>
            </w:pPr>
          </w:p>
        </w:tc>
        <w:tc>
          <w:tcPr>
            <w:tcW w:w="1705" w:type="dxa"/>
            <w:vMerge w:val="continue"/>
          </w:tcPr>
          <w:p>
            <w:pP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continue"/>
          </w:tcPr>
          <w:p>
            <w:pPr>
              <w:rPr>
                <w:rFonts w:asciiTheme="minorEastAsia" w:hAnsiTheme="minorEastAsia"/>
                <w:szCs w:val="21"/>
              </w:rPr>
            </w:pPr>
          </w:p>
        </w:tc>
        <w:tc>
          <w:tcPr>
            <w:tcW w:w="1841" w:type="dxa"/>
            <w:vMerge w:val="continue"/>
          </w:tcPr>
          <w:p>
            <w:pPr>
              <w:rPr>
                <w:rFonts w:asciiTheme="minorEastAsia" w:hAnsiTheme="minorEastAsia"/>
                <w:szCs w:val="21"/>
              </w:rPr>
            </w:pPr>
          </w:p>
        </w:tc>
        <w:tc>
          <w:tcPr>
            <w:tcW w:w="2738" w:type="dxa"/>
          </w:tcPr>
          <w:p>
            <w:pPr>
              <w:rPr>
                <w:rFonts w:asciiTheme="minorEastAsia" w:hAnsiTheme="minorEastAsia"/>
                <w:szCs w:val="21"/>
              </w:rPr>
            </w:pPr>
            <w:r>
              <w:rPr>
                <w:rFonts w:hint="eastAsia" w:asciiTheme="minorEastAsia" w:hAnsiTheme="minorEastAsia"/>
                <w:szCs w:val="21"/>
              </w:rPr>
              <w:t>精馏过程控制能力</w:t>
            </w:r>
          </w:p>
        </w:tc>
        <w:tc>
          <w:tcPr>
            <w:tcW w:w="1705" w:type="dxa"/>
            <w:vMerge w:val="continue"/>
          </w:tcPr>
          <w:p>
            <w:pPr>
              <w:rPr>
                <w:rFonts w:asciiTheme="minorEastAsia" w:hAnsiTheme="minorEastAsia"/>
                <w:szCs w:val="21"/>
              </w:rPr>
            </w:pPr>
          </w:p>
        </w:tc>
        <w:tc>
          <w:tcPr>
            <w:tcW w:w="1705" w:type="dxa"/>
            <w:vMerge w:val="continue"/>
          </w:tcPr>
          <w:p>
            <w:pP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continue"/>
          </w:tcPr>
          <w:p>
            <w:pPr>
              <w:rPr>
                <w:rFonts w:asciiTheme="minorEastAsia" w:hAnsiTheme="minorEastAsia"/>
                <w:szCs w:val="21"/>
              </w:rPr>
            </w:pPr>
          </w:p>
        </w:tc>
        <w:tc>
          <w:tcPr>
            <w:tcW w:w="1841" w:type="dxa"/>
            <w:vMerge w:val="continue"/>
          </w:tcPr>
          <w:p>
            <w:pPr>
              <w:rPr>
                <w:rFonts w:asciiTheme="minorEastAsia" w:hAnsiTheme="minorEastAsia"/>
                <w:szCs w:val="21"/>
              </w:rPr>
            </w:pPr>
          </w:p>
        </w:tc>
        <w:tc>
          <w:tcPr>
            <w:tcW w:w="2738" w:type="dxa"/>
          </w:tcPr>
          <w:p>
            <w:pPr>
              <w:rPr>
                <w:rFonts w:asciiTheme="minorEastAsia" w:hAnsiTheme="minorEastAsia"/>
                <w:szCs w:val="21"/>
              </w:rPr>
            </w:pPr>
            <w:r>
              <w:rPr>
                <w:rFonts w:hint="eastAsia" w:asciiTheme="minorEastAsia" w:hAnsiTheme="minorEastAsia"/>
                <w:szCs w:val="21"/>
              </w:rPr>
              <w:t>吸收过程控制能力</w:t>
            </w:r>
          </w:p>
        </w:tc>
        <w:tc>
          <w:tcPr>
            <w:tcW w:w="1705" w:type="dxa"/>
            <w:vMerge w:val="continue"/>
          </w:tcPr>
          <w:p>
            <w:pPr>
              <w:rPr>
                <w:rFonts w:asciiTheme="minorEastAsia" w:hAnsiTheme="minorEastAsia"/>
                <w:szCs w:val="21"/>
              </w:rPr>
            </w:pPr>
          </w:p>
        </w:tc>
        <w:tc>
          <w:tcPr>
            <w:tcW w:w="1705" w:type="dxa"/>
            <w:vMerge w:val="continue"/>
          </w:tcPr>
          <w:p>
            <w:pP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continue"/>
          </w:tcPr>
          <w:p>
            <w:pPr>
              <w:rPr>
                <w:rFonts w:asciiTheme="minorEastAsia" w:hAnsiTheme="minorEastAsia"/>
                <w:szCs w:val="21"/>
              </w:rPr>
            </w:pPr>
          </w:p>
        </w:tc>
        <w:tc>
          <w:tcPr>
            <w:tcW w:w="1841" w:type="dxa"/>
            <w:vMerge w:val="continue"/>
          </w:tcPr>
          <w:p>
            <w:pPr>
              <w:rPr>
                <w:rFonts w:asciiTheme="minorEastAsia" w:hAnsiTheme="minorEastAsia"/>
                <w:szCs w:val="21"/>
              </w:rPr>
            </w:pPr>
          </w:p>
        </w:tc>
        <w:tc>
          <w:tcPr>
            <w:tcW w:w="2738" w:type="dxa"/>
          </w:tcPr>
          <w:p>
            <w:pPr>
              <w:rPr>
                <w:rFonts w:asciiTheme="minorEastAsia" w:hAnsiTheme="minorEastAsia"/>
                <w:szCs w:val="21"/>
              </w:rPr>
            </w:pPr>
            <w:r>
              <w:rPr>
                <w:rFonts w:hint="eastAsia" w:asciiTheme="minorEastAsia" w:hAnsiTheme="minorEastAsia"/>
                <w:szCs w:val="21"/>
              </w:rPr>
              <w:t>安全设施使用能力</w:t>
            </w:r>
          </w:p>
        </w:tc>
        <w:tc>
          <w:tcPr>
            <w:tcW w:w="1705" w:type="dxa"/>
            <w:vMerge w:val="continue"/>
          </w:tcPr>
          <w:p>
            <w:pPr>
              <w:rPr>
                <w:rFonts w:asciiTheme="minorEastAsia" w:hAnsiTheme="minorEastAsia"/>
                <w:szCs w:val="21"/>
              </w:rPr>
            </w:pPr>
          </w:p>
        </w:tc>
        <w:tc>
          <w:tcPr>
            <w:tcW w:w="1705" w:type="dxa"/>
            <w:vMerge w:val="continue"/>
          </w:tcPr>
          <w:p>
            <w:pP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continue"/>
          </w:tcPr>
          <w:p>
            <w:pPr>
              <w:rPr>
                <w:rFonts w:asciiTheme="minorEastAsia" w:hAnsiTheme="minorEastAsia"/>
                <w:szCs w:val="21"/>
              </w:rPr>
            </w:pPr>
          </w:p>
        </w:tc>
        <w:tc>
          <w:tcPr>
            <w:tcW w:w="1841" w:type="dxa"/>
            <w:vMerge w:val="continue"/>
          </w:tcPr>
          <w:p>
            <w:pPr>
              <w:rPr>
                <w:rFonts w:asciiTheme="minorEastAsia" w:hAnsiTheme="minorEastAsia"/>
                <w:szCs w:val="21"/>
              </w:rPr>
            </w:pPr>
          </w:p>
        </w:tc>
        <w:tc>
          <w:tcPr>
            <w:tcW w:w="2738" w:type="dxa"/>
          </w:tcPr>
          <w:p>
            <w:pPr>
              <w:rPr>
                <w:rFonts w:asciiTheme="minorEastAsia" w:hAnsiTheme="minorEastAsia"/>
                <w:szCs w:val="21"/>
              </w:rPr>
            </w:pPr>
            <w:r>
              <w:rPr>
                <w:rFonts w:hint="eastAsia" w:asciiTheme="minorEastAsia" w:hAnsiTheme="minorEastAsia"/>
                <w:szCs w:val="21"/>
              </w:rPr>
              <w:t>环保设施使用能力</w:t>
            </w:r>
          </w:p>
        </w:tc>
        <w:tc>
          <w:tcPr>
            <w:tcW w:w="1705" w:type="dxa"/>
            <w:vMerge w:val="continue"/>
          </w:tcPr>
          <w:p>
            <w:pPr>
              <w:rPr>
                <w:rFonts w:asciiTheme="minorEastAsia" w:hAnsiTheme="minorEastAsia"/>
                <w:szCs w:val="21"/>
              </w:rPr>
            </w:pPr>
          </w:p>
        </w:tc>
        <w:tc>
          <w:tcPr>
            <w:tcW w:w="1705" w:type="dxa"/>
            <w:vMerge w:val="continue"/>
          </w:tcPr>
          <w:p>
            <w:pP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continue"/>
          </w:tcPr>
          <w:p>
            <w:pPr>
              <w:rPr>
                <w:rFonts w:asciiTheme="minorEastAsia" w:hAnsiTheme="minorEastAsia"/>
                <w:szCs w:val="21"/>
              </w:rPr>
            </w:pPr>
          </w:p>
        </w:tc>
        <w:tc>
          <w:tcPr>
            <w:tcW w:w="1841" w:type="dxa"/>
            <w:vMerge w:val="continue"/>
          </w:tcPr>
          <w:p>
            <w:pPr>
              <w:rPr>
                <w:rFonts w:asciiTheme="minorEastAsia" w:hAnsiTheme="minorEastAsia"/>
                <w:szCs w:val="21"/>
              </w:rPr>
            </w:pPr>
          </w:p>
        </w:tc>
        <w:tc>
          <w:tcPr>
            <w:tcW w:w="2738" w:type="dxa"/>
          </w:tcPr>
          <w:p>
            <w:pPr>
              <w:rPr>
                <w:rFonts w:asciiTheme="minorEastAsia" w:hAnsiTheme="minorEastAsia"/>
                <w:szCs w:val="21"/>
              </w:rPr>
            </w:pPr>
            <w:r>
              <w:rPr>
                <w:rFonts w:hint="eastAsia" w:asciiTheme="minorEastAsia" w:hAnsiTheme="minorEastAsia"/>
                <w:szCs w:val="21"/>
              </w:rPr>
              <w:t>生产异常现象判断处理能力</w:t>
            </w:r>
          </w:p>
        </w:tc>
        <w:tc>
          <w:tcPr>
            <w:tcW w:w="1705" w:type="dxa"/>
            <w:vMerge w:val="continue"/>
          </w:tcPr>
          <w:p>
            <w:pPr>
              <w:rPr>
                <w:rFonts w:asciiTheme="minorEastAsia" w:hAnsiTheme="minorEastAsia"/>
                <w:szCs w:val="21"/>
              </w:rPr>
            </w:pPr>
          </w:p>
        </w:tc>
        <w:tc>
          <w:tcPr>
            <w:tcW w:w="1705" w:type="dxa"/>
            <w:vMerge w:val="continue"/>
          </w:tcPr>
          <w:p>
            <w:pP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continue"/>
          </w:tcPr>
          <w:p>
            <w:pPr>
              <w:rPr>
                <w:rFonts w:asciiTheme="minorEastAsia" w:hAnsiTheme="minorEastAsia"/>
                <w:szCs w:val="21"/>
              </w:rPr>
            </w:pPr>
          </w:p>
        </w:tc>
        <w:tc>
          <w:tcPr>
            <w:tcW w:w="1841" w:type="dxa"/>
            <w:vMerge w:val="continue"/>
          </w:tcPr>
          <w:p>
            <w:pPr>
              <w:rPr>
                <w:rFonts w:asciiTheme="minorEastAsia" w:hAnsiTheme="minorEastAsia"/>
                <w:szCs w:val="21"/>
              </w:rPr>
            </w:pPr>
          </w:p>
        </w:tc>
        <w:tc>
          <w:tcPr>
            <w:tcW w:w="2738" w:type="dxa"/>
          </w:tcPr>
          <w:p>
            <w:pPr>
              <w:rPr>
                <w:rFonts w:asciiTheme="minorEastAsia" w:hAnsiTheme="minorEastAsia"/>
                <w:szCs w:val="21"/>
              </w:rPr>
            </w:pPr>
            <w:r>
              <w:rPr>
                <w:rFonts w:hint="eastAsia" w:asciiTheme="minorEastAsia" w:hAnsiTheme="minorEastAsia"/>
                <w:szCs w:val="21"/>
              </w:rPr>
              <w:t>岗位操作记录能力</w:t>
            </w:r>
          </w:p>
        </w:tc>
        <w:tc>
          <w:tcPr>
            <w:tcW w:w="1705" w:type="dxa"/>
            <w:vMerge w:val="continue"/>
          </w:tcPr>
          <w:p>
            <w:pPr>
              <w:rPr>
                <w:rFonts w:asciiTheme="minorEastAsia" w:hAnsiTheme="minorEastAsia"/>
                <w:szCs w:val="21"/>
              </w:rPr>
            </w:pPr>
          </w:p>
        </w:tc>
        <w:tc>
          <w:tcPr>
            <w:tcW w:w="1705" w:type="dxa"/>
            <w:vMerge w:val="continue"/>
          </w:tcPr>
          <w:p>
            <w:pP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restart"/>
          </w:tcPr>
          <w:p>
            <w:pPr>
              <w:spacing w:line="360" w:lineRule="auto"/>
              <w:jc w:val="center"/>
              <w:rPr>
                <w:rFonts w:asciiTheme="minorEastAsia" w:hAnsiTheme="minorEastAsia"/>
                <w:kern w:val="0"/>
                <w:szCs w:val="21"/>
              </w:rPr>
            </w:pPr>
            <w:r>
              <w:rPr>
                <w:rFonts w:asciiTheme="minorEastAsia" w:hAnsiTheme="minorEastAsia"/>
                <w:kern w:val="0"/>
                <w:szCs w:val="21"/>
              </w:rPr>
              <w:t>发</w:t>
            </w:r>
          </w:p>
          <w:p>
            <w:pPr>
              <w:spacing w:line="360" w:lineRule="auto"/>
              <w:jc w:val="center"/>
              <w:rPr>
                <w:rFonts w:asciiTheme="minorEastAsia" w:hAnsiTheme="minorEastAsia"/>
                <w:kern w:val="0"/>
                <w:szCs w:val="21"/>
              </w:rPr>
            </w:pPr>
            <w:r>
              <w:rPr>
                <w:rFonts w:asciiTheme="minorEastAsia" w:hAnsiTheme="minorEastAsia"/>
                <w:kern w:val="0"/>
                <w:szCs w:val="21"/>
              </w:rPr>
              <w:t>展</w:t>
            </w:r>
          </w:p>
          <w:p>
            <w:pPr>
              <w:spacing w:line="360" w:lineRule="auto"/>
              <w:jc w:val="center"/>
              <w:rPr>
                <w:rFonts w:asciiTheme="minorEastAsia" w:hAnsiTheme="minorEastAsia"/>
                <w:kern w:val="0"/>
                <w:szCs w:val="21"/>
              </w:rPr>
            </w:pPr>
            <w:r>
              <w:rPr>
                <w:rFonts w:asciiTheme="minorEastAsia" w:hAnsiTheme="minorEastAsia"/>
                <w:kern w:val="0"/>
                <w:szCs w:val="21"/>
              </w:rPr>
              <w:t>岗位</w:t>
            </w:r>
          </w:p>
        </w:tc>
        <w:tc>
          <w:tcPr>
            <w:tcW w:w="1841" w:type="dxa"/>
            <w:vMerge w:val="restart"/>
          </w:tcPr>
          <w:p>
            <w:pPr>
              <w:rPr>
                <w:rFonts w:asciiTheme="minorEastAsia" w:hAnsiTheme="minorEastAsia"/>
                <w:kern w:val="0"/>
                <w:szCs w:val="21"/>
              </w:rPr>
            </w:pPr>
          </w:p>
          <w:p>
            <w:pPr>
              <w:rPr>
                <w:rFonts w:asciiTheme="minorEastAsia" w:hAnsiTheme="minorEastAsia"/>
                <w:kern w:val="0"/>
                <w:szCs w:val="21"/>
              </w:rPr>
            </w:pPr>
          </w:p>
          <w:p>
            <w:pPr>
              <w:ind w:firstLine="210" w:firstLineChars="100"/>
              <w:rPr>
                <w:rFonts w:asciiTheme="minorEastAsia" w:hAnsiTheme="minorEastAsia"/>
                <w:kern w:val="0"/>
                <w:szCs w:val="21"/>
              </w:rPr>
            </w:pPr>
            <w:r>
              <w:rPr>
                <w:rFonts w:hint="eastAsia" w:asciiTheme="minorEastAsia" w:hAnsiTheme="minorEastAsia"/>
                <w:kern w:val="0"/>
                <w:szCs w:val="21"/>
              </w:rPr>
              <w:t>化工工艺</w:t>
            </w:r>
          </w:p>
          <w:p>
            <w:pPr>
              <w:ind w:firstLine="210" w:firstLineChars="100"/>
              <w:rPr>
                <w:rFonts w:asciiTheme="minorEastAsia" w:hAnsiTheme="minorEastAsia"/>
                <w:szCs w:val="21"/>
              </w:rPr>
            </w:pPr>
            <w:r>
              <w:rPr>
                <w:rFonts w:hint="eastAsia" w:asciiTheme="minorEastAsia" w:hAnsiTheme="minorEastAsia"/>
                <w:kern w:val="0"/>
                <w:szCs w:val="21"/>
              </w:rPr>
              <w:t>管理岗位</w:t>
            </w:r>
          </w:p>
        </w:tc>
        <w:tc>
          <w:tcPr>
            <w:tcW w:w="2738" w:type="dxa"/>
          </w:tcPr>
          <w:p>
            <w:pPr>
              <w:rPr>
                <w:rFonts w:asciiTheme="minorEastAsia" w:hAnsiTheme="minorEastAsia"/>
                <w:szCs w:val="21"/>
              </w:rPr>
            </w:pPr>
            <w:r>
              <w:rPr>
                <w:rFonts w:hint="eastAsia" w:asciiTheme="minorEastAsia" w:hAnsiTheme="minorEastAsia"/>
                <w:szCs w:val="21"/>
              </w:rPr>
              <w:t>生产组织能力</w:t>
            </w:r>
          </w:p>
        </w:tc>
        <w:tc>
          <w:tcPr>
            <w:tcW w:w="1705" w:type="dxa"/>
            <w:vMerge w:val="continue"/>
          </w:tcPr>
          <w:p>
            <w:pPr>
              <w:rPr>
                <w:rFonts w:asciiTheme="minorEastAsia" w:hAnsiTheme="minorEastAsia"/>
                <w:szCs w:val="21"/>
              </w:rPr>
            </w:pPr>
          </w:p>
        </w:tc>
        <w:tc>
          <w:tcPr>
            <w:tcW w:w="1705" w:type="dxa"/>
            <w:vMerge w:val="continue"/>
          </w:tcPr>
          <w:p>
            <w:pP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continue"/>
          </w:tcPr>
          <w:p>
            <w:pPr>
              <w:rPr>
                <w:rFonts w:asciiTheme="minorEastAsia" w:hAnsiTheme="minorEastAsia"/>
                <w:szCs w:val="21"/>
              </w:rPr>
            </w:pPr>
          </w:p>
        </w:tc>
        <w:tc>
          <w:tcPr>
            <w:tcW w:w="1841" w:type="dxa"/>
            <w:vMerge w:val="continue"/>
          </w:tcPr>
          <w:p>
            <w:pPr>
              <w:rPr>
                <w:rFonts w:asciiTheme="minorEastAsia" w:hAnsiTheme="minorEastAsia"/>
                <w:szCs w:val="21"/>
              </w:rPr>
            </w:pPr>
          </w:p>
        </w:tc>
        <w:tc>
          <w:tcPr>
            <w:tcW w:w="2738" w:type="dxa"/>
          </w:tcPr>
          <w:p>
            <w:pPr>
              <w:rPr>
                <w:rFonts w:asciiTheme="minorEastAsia" w:hAnsiTheme="minorEastAsia"/>
                <w:szCs w:val="21"/>
              </w:rPr>
            </w:pPr>
            <w:r>
              <w:rPr>
                <w:rFonts w:hint="eastAsia" w:asciiTheme="minorEastAsia" w:hAnsiTheme="minorEastAsia"/>
                <w:szCs w:val="21"/>
              </w:rPr>
              <w:t>生产管理能力</w:t>
            </w:r>
          </w:p>
        </w:tc>
        <w:tc>
          <w:tcPr>
            <w:tcW w:w="1705" w:type="dxa"/>
            <w:vMerge w:val="continue"/>
          </w:tcPr>
          <w:p>
            <w:pPr>
              <w:rPr>
                <w:rFonts w:asciiTheme="minorEastAsia" w:hAnsiTheme="minorEastAsia"/>
                <w:szCs w:val="21"/>
              </w:rPr>
            </w:pPr>
          </w:p>
        </w:tc>
        <w:tc>
          <w:tcPr>
            <w:tcW w:w="1705" w:type="dxa"/>
            <w:vMerge w:val="continue"/>
          </w:tcPr>
          <w:p>
            <w:pP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continue"/>
          </w:tcPr>
          <w:p>
            <w:pPr>
              <w:rPr>
                <w:rFonts w:asciiTheme="minorEastAsia" w:hAnsiTheme="minorEastAsia"/>
                <w:szCs w:val="21"/>
              </w:rPr>
            </w:pPr>
          </w:p>
        </w:tc>
        <w:tc>
          <w:tcPr>
            <w:tcW w:w="1841" w:type="dxa"/>
            <w:vMerge w:val="continue"/>
          </w:tcPr>
          <w:p>
            <w:pPr>
              <w:rPr>
                <w:rFonts w:asciiTheme="minorEastAsia" w:hAnsiTheme="minorEastAsia"/>
                <w:szCs w:val="21"/>
              </w:rPr>
            </w:pPr>
          </w:p>
        </w:tc>
        <w:tc>
          <w:tcPr>
            <w:tcW w:w="2738" w:type="dxa"/>
          </w:tcPr>
          <w:p>
            <w:pPr>
              <w:rPr>
                <w:rFonts w:asciiTheme="minorEastAsia" w:hAnsiTheme="minorEastAsia"/>
                <w:szCs w:val="21"/>
              </w:rPr>
            </w:pPr>
            <w:r>
              <w:rPr>
                <w:rFonts w:hint="eastAsia" w:asciiTheme="minorEastAsia" w:hAnsiTheme="minorEastAsia"/>
                <w:szCs w:val="21"/>
              </w:rPr>
              <w:t>技术应用能力</w:t>
            </w:r>
          </w:p>
        </w:tc>
        <w:tc>
          <w:tcPr>
            <w:tcW w:w="1705" w:type="dxa"/>
            <w:vMerge w:val="continue"/>
          </w:tcPr>
          <w:p>
            <w:pPr>
              <w:rPr>
                <w:rFonts w:asciiTheme="minorEastAsia" w:hAnsiTheme="minorEastAsia"/>
                <w:szCs w:val="21"/>
              </w:rPr>
            </w:pPr>
          </w:p>
        </w:tc>
        <w:tc>
          <w:tcPr>
            <w:tcW w:w="1705" w:type="dxa"/>
            <w:vMerge w:val="continue"/>
          </w:tcPr>
          <w:p>
            <w:pP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continue"/>
          </w:tcPr>
          <w:p>
            <w:pPr>
              <w:rPr>
                <w:rFonts w:asciiTheme="minorEastAsia" w:hAnsiTheme="minorEastAsia"/>
                <w:szCs w:val="21"/>
              </w:rPr>
            </w:pPr>
          </w:p>
        </w:tc>
        <w:tc>
          <w:tcPr>
            <w:tcW w:w="1841" w:type="dxa"/>
            <w:vMerge w:val="continue"/>
          </w:tcPr>
          <w:p>
            <w:pPr>
              <w:rPr>
                <w:rFonts w:asciiTheme="minorEastAsia" w:hAnsiTheme="minorEastAsia"/>
                <w:szCs w:val="21"/>
              </w:rPr>
            </w:pPr>
          </w:p>
        </w:tc>
        <w:tc>
          <w:tcPr>
            <w:tcW w:w="2738" w:type="dxa"/>
          </w:tcPr>
          <w:p>
            <w:pPr>
              <w:rPr>
                <w:rFonts w:asciiTheme="minorEastAsia" w:hAnsiTheme="minorEastAsia"/>
                <w:szCs w:val="21"/>
              </w:rPr>
            </w:pPr>
            <w:r>
              <w:rPr>
                <w:rFonts w:hint="eastAsia" w:asciiTheme="minorEastAsia" w:hAnsiTheme="minorEastAsia"/>
                <w:szCs w:val="21"/>
              </w:rPr>
              <w:t>技术管理能力</w:t>
            </w:r>
          </w:p>
        </w:tc>
        <w:tc>
          <w:tcPr>
            <w:tcW w:w="1705" w:type="dxa"/>
            <w:vMerge w:val="continue"/>
          </w:tcPr>
          <w:p>
            <w:pPr>
              <w:rPr>
                <w:rFonts w:asciiTheme="minorEastAsia" w:hAnsiTheme="minorEastAsia"/>
                <w:szCs w:val="21"/>
              </w:rPr>
            </w:pPr>
          </w:p>
        </w:tc>
        <w:tc>
          <w:tcPr>
            <w:tcW w:w="1705" w:type="dxa"/>
            <w:vMerge w:val="continue"/>
          </w:tcPr>
          <w:p>
            <w:pP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continue"/>
          </w:tcPr>
          <w:p>
            <w:pPr>
              <w:rPr>
                <w:rFonts w:asciiTheme="minorEastAsia" w:hAnsiTheme="minorEastAsia"/>
                <w:szCs w:val="21"/>
              </w:rPr>
            </w:pPr>
          </w:p>
        </w:tc>
        <w:tc>
          <w:tcPr>
            <w:tcW w:w="1841" w:type="dxa"/>
            <w:vMerge w:val="continue"/>
          </w:tcPr>
          <w:p>
            <w:pPr>
              <w:rPr>
                <w:rFonts w:asciiTheme="minorEastAsia" w:hAnsiTheme="minorEastAsia"/>
                <w:szCs w:val="21"/>
              </w:rPr>
            </w:pPr>
          </w:p>
        </w:tc>
        <w:tc>
          <w:tcPr>
            <w:tcW w:w="2738" w:type="dxa"/>
          </w:tcPr>
          <w:p>
            <w:pPr>
              <w:rPr>
                <w:rFonts w:asciiTheme="minorEastAsia" w:hAnsiTheme="minorEastAsia"/>
                <w:szCs w:val="21"/>
              </w:rPr>
            </w:pPr>
            <w:r>
              <w:rPr>
                <w:rFonts w:hint="eastAsia" w:asciiTheme="minorEastAsia" w:hAnsiTheme="minorEastAsia"/>
                <w:szCs w:val="21"/>
              </w:rPr>
              <w:t>编写制定生产方案能力</w:t>
            </w:r>
          </w:p>
        </w:tc>
        <w:tc>
          <w:tcPr>
            <w:tcW w:w="1705" w:type="dxa"/>
            <w:vMerge w:val="continue"/>
          </w:tcPr>
          <w:p>
            <w:pPr>
              <w:rPr>
                <w:rFonts w:asciiTheme="minorEastAsia" w:hAnsiTheme="minorEastAsia"/>
                <w:szCs w:val="21"/>
              </w:rPr>
            </w:pPr>
          </w:p>
        </w:tc>
        <w:tc>
          <w:tcPr>
            <w:tcW w:w="1705" w:type="dxa"/>
            <w:vMerge w:val="continue"/>
          </w:tcPr>
          <w:p>
            <w:pP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3" w:type="dxa"/>
            <w:vMerge w:val="continue"/>
          </w:tcPr>
          <w:p>
            <w:pPr>
              <w:rPr>
                <w:rFonts w:asciiTheme="minorEastAsia" w:hAnsiTheme="minorEastAsia"/>
                <w:szCs w:val="21"/>
              </w:rPr>
            </w:pPr>
          </w:p>
        </w:tc>
        <w:tc>
          <w:tcPr>
            <w:tcW w:w="1841" w:type="dxa"/>
            <w:vMerge w:val="continue"/>
          </w:tcPr>
          <w:p>
            <w:pPr>
              <w:rPr>
                <w:rFonts w:asciiTheme="minorEastAsia" w:hAnsiTheme="minorEastAsia"/>
                <w:szCs w:val="21"/>
              </w:rPr>
            </w:pPr>
          </w:p>
        </w:tc>
        <w:tc>
          <w:tcPr>
            <w:tcW w:w="2738" w:type="dxa"/>
          </w:tcPr>
          <w:p>
            <w:pPr>
              <w:rPr>
                <w:rFonts w:asciiTheme="minorEastAsia" w:hAnsiTheme="minorEastAsia"/>
                <w:szCs w:val="21"/>
              </w:rPr>
            </w:pPr>
            <w:r>
              <w:rPr>
                <w:rFonts w:hint="eastAsia" w:asciiTheme="minorEastAsia" w:hAnsiTheme="minorEastAsia"/>
                <w:szCs w:val="21"/>
              </w:rPr>
              <w:t>组织处理异常现象能力</w:t>
            </w:r>
          </w:p>
        </w:tc>
        <w:tc>
          <w:tcPr>
            <w:tcW w:w="1705" w:type="dxa"/>
            <w:vMerge w:val="continue"/>
          </w:tcPr>
          <w:p>
            <w:pPr>
              <w:rPr>
                <w:rFonts w:asciiTheme="minorEastAsia" w:hAnsiTheme="minorEastAsia"/>
                <w:szCs w:val="21"/>
              </w:rPr>
            </w:pPr>
          </w:p>
        </w:tc>
        <w:tc>
          <w:tcPr>
            <w:tcW w:w="1705" w:type="dxa"/>
            <w:vMerge w:val="continue"/>
          </w:tcPr>
          <w:p>
            <w:pPr>
              <w:rPr>
                <w:rFonts w:asciiTheme="minorEastAsia" w:hAnsiTheme="minorEastAsia"/>
                <w:szCs w:val="21"/>
              </w:rPr>
            </w:pPr>
          </w:p>
        </w:tc>
      </w:tr>
    </w:tbl>
    <w:p/>
    <w:p>
      <w:pPr>
        <w:snapToGrid w:val="0"/>
        <w:spacing w:line="360" w:lineRule="auto"/>
        <w:ind w:firstLine="480" w:firstLineChars="200"/>
        <w:rPr>
          <w:kern w:val="0"/>
          <w:sz w:val="24"/>
        </w:rPr>
      </w:pPr>
      <w:r>
        <w:rPr>
          <w:rFonts w:hint="eastAsia"/>
          <w:kern w:val="0"/>
          <w:sz w:val="24"/>
        </w:rPr>
        <w:t>目前企业对生产-线的高技能型人才的职业能力要求在不断提高，不但强调工艺流程图绘制与识读能力、仪表使用及维护能力、反应过程运行控制能力、物料输送过程控制能力、传热过程控制能力、精馏过程控制能力、吸收过程控制能力、安全设施使用能力、环保设施使用能力、生产异常现象判断处理能力和岗位操作记录能力等专业能力，同时也更加注重文字和语言表达、团队合作精神、解决实际问题能力、心理素质、具备化工行业的职业规范、质量意识及严谨细致的工作作风等社会能力和方法能力。因此，我们可以看出，企业对岗位员工的能力需求是多方面的，既具有职业能力，也具备职业综合素质，为我们明确人才培养目标提供了依据。</w:t>
      </w:r>
    </w:p>
    <w:p>
      <w:pPr>
        <w:snapToGrid w:val="0"/>
        <w:spacing w:line="360" w:lineRule="auto"/>
        <w:rPr>
          <w:kern w:val="0"/>
          <w:sz w:val="24"/>
        </w:rPr>
      </w:pPr>
      <w:r>
        <w:rPr>
          <w:rFonts w:hint="eastAsia"/>
          <w:kern w:val="0"/>
          <w:sz w:val="24"/>
        </w:rPr>
        <w:t>3．岗位（群）职业资格要求</w:t>
      </w:r>
    </w:p>
    <w:p>
      <w:pPr>
        <w:snapToGrid w:val="0"/>
        <w:spacing w:line="360" w:lineRule="auto"/>
        <w:ind w:firstLine="480" w:firstLineChars="200"/>
        <w:rPr>
          <w:kern w:val="0"/>
          <w:sz w:val="24"/>
        </w:rPr>
      </w:pPr>
      <w:r>
        <w:rPr>
          <w:rFonts w:hint="eastAsia"/>
          <w:kern w:val="0"/>
          <w:sz w:val="24"/>
        </w:rPr>
        <w:t>本专业学生在校期间，至少考取劳动部门颁发的本专业中级以上职业资格证书1个，并鼓励学生考取多项职业资格证书。职业资格证书要求如表3.3所示。</w:t>
      </w:r>
    </w:p>
    <w:p>
      <w:pPr>
        <w:snapToGrid w:val="0"/>
        <w:spacing w:line="360" w:lineRule="auto"/>
        <w:jc w:val="center"/>
        <w:rPr>
          <w:rFonts w:asciiTheme="minorEastAsia" w:hAnsiTheme="minorEastAsia"/>
          <w:kern w:val="0"/>
          <w:sz w:val="24"/>
        </w:rPr>
      </w:pPr>
      <w:r>
        <w:rPr>
          <w:rFonts w:hint="eastAsia" w:asciiTheme="minorEastAsia" w:hAnsiTheme="minorEastAsia"/>
          <w:kern w:val="0"/>
          <w:sz w:val="24"/>
        </w:rPr>
        <w:t>表3.3岗位职业资格证书要求</w:t>
      </w:r>
    </w:p>
    <w:tbl>
      <w:tblPr>
        <w:tblStyle w:val="19"/>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801"/>
        <w:gridCol w:w="1702"/>
        <w:gridCol w:w="1889"/>
        <w:gridCol w:w="213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801" w:type="dxa"/>
            <w:vAlign w:val="center"/>
          </w:tcPr>
          <w:p>
            <w:pPr>
              <w:snapToGrid w:val="0"/>
              <w:spacing w:line="360" w:lineRule="auto"/>
              <w:ind w:firstLine="422" w:firstLineChars="200"/>
              <w:jc w:val="center"/>
              <w:rPr>
                <w:rFonts w:asciiTheme="minorEastAsia" w:hAnsiTheme="minorEastAsia"/>
                <w:b/>
                <w:kern w:val="0"/>
                <w:szCs w:val="21"/>
              </w:rPr>
            </w:pPr>
            <w:r>
              <w:rPr>
                <w:rFonts w:hint="eastAsia" w:asciiTheme="minorEastAsia" w:hAnsiTheme="minorEastAsia"/>
                <w:b/>
                <w:kern w:val="0"/>
                <w:szCs w:val="21"/>
              </w:rPr>
              <w:t>工作岗位</w:t>
            </w:r>
          </w:p>
        </w:tc>
        <w:tc>
          <w:tcPr>
            <w:tcW w:w="1702" w:type="dxa"/>
            <w:vAlign w:val="center"/>
          </w:tcPr>
          <w:p>
            <w:pPr>
              <w:snapToGrid w:val="0"/>
              <w:spacing w:line="360" w:lineRule="auto"/>
              <w:jc w:val="center"/>
              <w:rPr>
                <w:rFonts w:asciiTheme="minorEastAsia" w:hAnsiTheme="minorEastAsia"/>
                <w:b/>
                <w:kern w:val="0"/>
                <w:szCs w:val="21"/>
              </w:rPr>
            </w:pPr>
            <w:r>
              <w:rPr>
                <w:rFonts w:hint="eastAsia" w:asciiTheme="minorEastAsia" w:hAnsiTheme="minorEastAsia"/>
                <w:b/>
                <w:kern w:val="0"/>
                <w:szCs w:val="21"/>
              </w:rPr>
              <w:t>证书名称</w:t>
            </w:r>
          </w:p>
        </w:tc>
        <w:tc>
          <w:tcPr>
            <w:tcW w:w="1889" w:type="dxa"/>
            <w:vAlign w:val="center"/>
          </w:tcPr>
          <w:p>
            <w:pPr>
              <w:snapToGrid w:val="0"/>
              <w:spacing w:line="360" w:lineRule="auto"/>
              <w:jc w:val="center"/>
              <w:rPr>
                <w:rFonts w:asciiTheme="minorEastAsia" w:hAnsiTheme="minorEastAsia"/>
                <w:b/>
                <w:kern w:val="0"/>
                <w:szCs w:val="21"/>
              </w:rPr>
            </w:pPr>
            <w:r>
              <w:rPr>
                <w:rFonts w:hint="eastAsia" w:asciiTheme="minorEastAsia" w:hAnsiTheme="minorEastAsia"/>
                <w:b/>
                <w:kern w:val="0"/>
                <w:szCs w:val="21"/>
              </w:rPr>
              <w:t>证书等级</w:t>
            </w:r>
          </w:p>
        </w:tc>
        <w:tc>
          <w:tcPr>
            <w:tcW w:w="2130" w:type="dxa"/>
            <w:vAlign w:val="center"/>
          </w:tcPr>
          <w:p>
            <w:pPr>
              <w:snapToGrid w:val="0"/>
              <w:spacing w:line="360" w:lineRule="auto"/>
              <w:jc w:val="center"/>
              <w:rPr>
                <w:rFonts w:asciiTheme="minorEastAsia" w:hAnsiTheme="minorEastAsia"/>
                <w:b/>
                <w:kern w:val="0"/>
                <w:szCs w:val="21"/>
              </w:rPr>
            </w:pPr>
            <w:r>
              <w:rPr>
                <w:rFonts w:hint="eastAsia" w:asciiTheme="minorEastAsia" w:hAnsiTheme="minorEastAsia"/>
                <w:b/>
                <w:kern w:val="0"/>
                <w:szCs w:val="21"/>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801" w:type="dxa"/>
            <w:vMerge w:val="restart"/>
            <w:vAlign w:val="center"/>
          </w:tcPr>
          <w:p>
            <w:pPr>
              <w:snapToGrid w:val="0"/>
              <w:spacing w:line="360" w:lineRule="auto"/>
              <w:rPr>
                <w:rFonts w:asciiTheme="minorEastAsia" w:hAnsiTheme="minorEastAsia"/>
                <w:kern w:val="0"/>
                <w:szCs w:val="21"/>
              </w:rPr>
            </w:pPr>
            <w:r>
              <w:rPr>
                <w:rFonts w:hint="eastAsia" w:asciiTheme="minorEastAsia" w:hAnsiTheme="minorEastAsia"/>
                <w:kern w:val="0"/>
                <w:szCs w:val="21"/>
              </w:rPr>
              <w:t>化工生产装置操作及维护岗</w:t>
            </w:r>
          </w:p>
          <w:p>
            <w:pPr>
              <w:snapToGrid w:val="0"/>
              <w:spacing w:line="360" w:lineRule="auto"/>
              <w:jc w:val="center"/>
              <w:rPr>
                <w:rFonts w:asciiTheme="minorEastAsia" w:hAnsiTheme="minorEastAsia"/>
                <w:kern w:val="0"/>
                <w:szCs w:val="21"/>
              </w:rPr>
            </w:pPr>
            <w:r>
              <w:rPr>
                <w:rFonts w:hint="eastAsia" w:asciiTheme="minorEastAsia" w:hAnsiTheme="minorEastAsia"/>
                <w:kern w:val="0"/>
                <w:szCs w:val="21"/>
              </w:rPr>
              <w:t>化工生产工艺运行控制岗</w:t>
            </w:r>
          </w:p>
        </w:tc>
        <w:tc>
          <w:tcPr>
            <w:tcW w:w="1702" w:type="dxa"/>
            <w:vAlign w:val="center"/>
          </w:tcPr>
          <w:p>
            <w:pPr>
              <w:snapToGrid w:val="0"/>
              <w:spacing w:line="360" w:lineRule="auto"/>
              <w:jc w:val="center"/>
              <w:rPr>
                <w:rFonts w:asciiTheme="minorEastAsia" w:hAnsiTheme="minorEastAsia"/>
                <w:kern w:val="0"/>
                <w:szCs w:val="21"/>
              </w:rPr>
            </w:pPr>
            <w:r>
              <w:rPr>
                <w:rFonts w:hint="eastAsia" w:asciiTheme="minorEastAsia" w:hAnsiTheme="minorEastAsia"/>
                <w:kern w:val="0"/>
                <w:szCs w:val="21"/>
              </w:rPr>
              <w:t>化工总控工</w:t>
            </w:r>
          </w:p>
        </w:tc>
        <w:tc>
          <w:tcPr>
            <w:tcW w:w="1889" w:type="dxa"/>
            <w:vMerge w:val="restart"/>
            <w:vAlign w:val="center"/>
          </w:tcPr>
          <w:p>
            <w:pPr>
              <w:snapToGrid w:val="0"/>
              <w:spacing w:line="360" w:lineRule="auto"/>
              <w:ind w:firstLine="525" w:firstLineChars="250"/>
              <w:rPr>
                <w:rFonts w:asciiTheme="minorEastAsia" w:hAnsiTheme="minorEastAsia"/>
                <w:kern w:val="0"/>
                <w:szCs w:val="21"/>
              </w:rPr>
            </w:pPr>
            <w:r>
              <w:rPr>
                <w:rFonts w:hint="eastAsia" w:asciiTheme="minorEastAsia" w:hAnsiTheme="minorEastAsia"/>
                <w:kern w:val="0"/>
                <w:szCs w:val="21"/>
              </w:rPr>
              <w:t>中级以上</w:t>
            </w:r>
          </w:p>
        </w:tc>
        <w:tc>
          <w:tcPr>
            <w:tcW w:w="2130" w:type="dxa"/>
            <w:vMerge w:val="restart"/>
            <w:vAlign w:val="center"/>
          </w:tcPr>
          <w:p>
            <w:pPr>
              <w:snapToGrid w:val="0"/>
              <w:spacing w:line="360" w:lineRule="auto"/>
              <w:ind w:firstLine="105" w:firstLineChars="50"/>
              <w:rPr>
                <w:rFonts w:asciiTheme="minorEastAsia" w:hAnsiTheme="minorEastAsia"/>
                <w:kern w:val="0"/>
                <w:szCs w:val="21"/>
              </w:rPr>
            </w:pPr>
            <w:r>
              <w:rPr>
                <w:rFonts w:hint="eastAsia" w:asciiTheme="minorEastAsia" w:hAnsiTheme="minorEastAsia"/>
                <w:kern w:val="0"/>
                <w:szCs w:val="21"/>
              </w:rPr>
              <w:t>必须获得其中1个</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801" w:type="dxa"/>
            <w:vMerge w:val="continue"/>
            <w:vAlign w:val="center"/>
          </w:tcPr>
          <w:p>
            <w:pPr>
              <w:snapToGrid w:val="0"/>
              <w:spacing w:line="360" w:lineRule="auto"/>
              <w:jc w:val="center"/>
              <w:rPr>
                <w:rFonts w:asciiTheme="minorEastAsia" w:hAnsiTheme="minorEastAsia"/>
                <w:color w:val="FF0000"/>
                <w:kern w:val="0"/>
                <w:szCs w:val="21"/>
              </w:rPr>
            </w:pPr>
          </w:p>
        </w:tc>
        <w:tc>
          <w:tcPr>
            <w:tcW w:w="1702" w:type="dxa"/>
            <w:vAlign w:val="center"/>
          </w:tcPr>
          <w:p>
            <w:pPr>
              <w:snapToGrid w:val="0"/>
              <w:spacing w:line="360" w:lineRule="auto"/>
              <w:jc w:val="center"/>
              <w:rPr>
                <w:rFonts w:asciiTheme="minorEastAsia" w:hAnsiTheme="minorEastAsia"/>
                <w:kern w:val="0"/>
                <w:szCs w:val="21"/>
              </w:rPr>
            </w:pPr>
            <w:r>
              <w:rPr>
                <w:rFonts w:hint="eastAsia" w:asciiTheme="minorEastAsia" w:hAnsiTheme="minorEastAsia"/>
                <w:kern w:val="0"/>
                <w:szCs w:val="21"/>
              </w:rPr>
              <w:t>化学检验工</w:t>
            </w:r>
          </w:p>
        </w:tc>
        <w:tc>
          <w:tcPr>
            <w:tcW w:w="1889" w:type="dxa"/>
            <w:vMerge w:val="continue"/>
            <w:vAlign w:val="center"/>
          </w:tcPr>
          <w:p>
            <w:pPr>
              <w:snapToGrid w:val="0"/>
              <w:spacing w:line="360" w:lineRule="auto"/>
              <w:jc w:val="center"/>
              <w:rPr>
                <w:rFonts w:asciiTheme="minorEastAsia" w:hAnsiTheme="minorEastAsia"/>
                <w:color w:val="FF0000"/>
                <w:kern w:val="0"/>
                <w:szCs w:val="21"/>
              </w:rPr>
            </w:pPr>
          </w:p>
        </w:tc>
        <w:tc>
          <w:tcPr>
            <w:tcW w:w="2130" w:type="dxa"/>
            <w:vMerge w:val="continue"/>
            <w:vAlign w:val="center"/>
          </w:tcPr>
          <w:p>
            <w:pPr>
              <w:snapToGrid w:val="0"/>
              <w:spacing w:line="360" w:lineRule="auto"/>
              <w:jc w:val="center"/>
              <w:rPr>
                <w:rFonts w:asciiTheme="minorEastAsia" w:hAnsiTheme="minorEastAsia"/>
                <w:color w:val="FF0000"/>
                <w:kern w:val="0"/>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801" w:type="dxa"/>
            <w:vMerge w:val="continue"/>
            <w:vAlign w:val="center"/>
          </w:tcPr>
          <w:p>
            <w:pPr>
              <w:snapToGrid w:val="0"/>
              <w:spacing w:line="360" w:lineRule="auto"/>
              <w:jc w:val="center"/>
              <w:rPr>
                <w:rFonts w:asciiTheme="minorEastAsia" w:hAnsiTheme="minorEastAsia"/>
                <w:color w:val="FF0000"/>
                <w:kern w:val="0"/>
                <w:szCs w:val="21"/>
              </w:rPr>
            </w:pPr>
          </w:p>
        </w:tc>
        <w:tc>
          <w:tcPr>
            <w:tcW w:w="1702" w:type="dxa"/>
            <w:vAlign w:val="center"/>
          </w:tcPr>
          <w:p>
            <w:pPr>
              <w:snapToGrid w:val="0"/>
              <w:spacing w:line="360" w:lineRule="auto"/>
              <w:jc w:val="center"/>
              <w:rPr>
                <w:rFonts w:asciiTheme="minorEastAsia" w:hAnsiTheme="minorEastAsia"/>
                <w:kern w:val="0"/>
                <w:szCs w:val="21"/>
              </w:rPr>
            </w:pPr>
            <w:r>
              <w:rPr>
                <w:rFonts w:hint="eastAsia" w:asciiTheme="minorEastAsia" w:hAnsiTheme="minorEastAsia"/>
                <w:kern w:val="0"/>
                <w:szCs w:val="21"/>
              </w:rPr>
              <w:t>有机合成工</w:t>
            </w:r>
          </w:p>
        </w:tc>
        <w:tc>
          <w:tcPr>
            <w:tcW w:w="1889" w:type="dxa"/>
            <w:vMerge w:val="continue"/>
            <w:vAlign w:val="center"/>
          </w:tcPr>
          <w:p>
            <w:pPr>
              <w:snapToGrid w:val="0"/>
              <w:spacing w:line="360" w:lineRule="auto"/>
              <w:jc w:val="center"/>
              <w:rPr>
                <w:rFonts w:asciiTheme="minorEastAsia" w:hAnsiTheme="minorEastAsia"/>
                <w:color w:val="FF0000"/>
                <w:kern w:val="0"/>
                <w:szCs w:val="21"/>
              </w:rPr>
            </w:pPr>
          </w:p>
        </w:tc>
        <w:tc>
          <w:tcPr>
            <w:tcW w:w="2130" w:type="dxa"/>
            <w:vMerge w:val="continue"/>
            <w:vAlign w:val="center"/>
          </w:tcPr>
          <w:p>
            <w:pPr>
              <w:snapToGrid w:val="0"/>
              <w:spacing w:line="360" w:lineRule="auto"/>
              <w:jc w:val="center"/>
              <w:rPr>
                <w:rFonts w:asciiTheme="minorEastAsia" w:hAnsiTheme="minorEastAsia"/>
                <w:color w:val="FF0000"/>
                <w:kern w:val="0"/>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801" w:type="dxa"/>
            <w:vMerge w:val="continue"/>
            <w:vAlign w:val="center"/>
          </w:tcPr>
          <w:p>
            <w:pPr>
              <w:snapToGrid w:val="0"/>
              <w:spacing w:line="360" w:lineRule="auto"/>
              <w:jc w:val="center"/>
              <w:rPr>
                <w:rFonts w:asciiTheme="minorEastAsia" w:hAnsiTheme="minorEastAsia"/>
                <w:color w:val="FF0000"/>
                <w:kern w:val="0"/>
                <w:szCs w:val="21"/>
              </w:rPr>
            </w:pPr>
          </w:p>
        </w:tc>
        <w:tc>
          <w:tcPr>
            <w:tcW w:w="1702" w:type="dxa"/>
            <w:vAlign w:val="center"/>
          </w:tcPr>
          <w:p>
            <w:pPr>
              <w:snapToGrid w:val="0"/>
              <w:spacing w:line="360" w:lineRule="auto"/>
              <w:jc w:val="center"/>
              <w:rPr>
                <w:rFonts w:asciiTheme="minorEastAsia" w:hAnsiTheme="minorEastAsia"/>
                <w:kern w:val="0"/>
                <w:szCs w:val="21"/>
              </w:rPr>
            </w:pPr>
            <w:r>
              <w:rPr>
                <w:rFonts w:hint="eastAsia" w:asciiTheme="minorEastAsia" w:hAnsiTheme="minorEastAsia"/>
                <w:kern w:val="0"/>
                <w:szCs w:val="21"/>
              </w:rPr>
              <w:t>无机反应工</w:t>
            </w:r>
          </w:p>
        </w:tc>
        <w:tc>
          <w:tcPr>
            <w:tcW w:w="1889" w:type="dxa"/>
            <w:vMerge w:val="continue"/>
            <w:vAlign w:val="center"/>
          </w:tcPr>
          <w:p>
            <w:pPr>
              <w:snapToGrid w:val="0"/>
              <w:spacing w:line="360" w:lineRule="auto"/>
              <w:jc w:val="center"/>
              <w:rPr>
                <w:rFonts w:asciiTheme="minorEastAsia" w:hAnsiTheme="minorEastAsia"/>
                <w:color w:val="FF0000"/>
                <w:kern w:val="0"/>
                <w:szCs w:val="21"/>
              </w:rPr>
            </w:pPr>
          </w:p>
        </w:tc>
        <w:tc>
          <w:tcPr>
            <w:tcW w:w="2130" w:type="dxa"/>
            <w:vMerge w:val="continue"/>
            <w:vAlign w:val="center"/>
          </w:tcPr>
          <w:p>
            <w:pPr>
              <w:snapToGrid w:val="0"/>
              <w:spacing w:line="360" w:lineRule="auto"/>
              <w:jc w:val="center"/>
              <w:rPr>
                <w:rFonts w:asciiTheme="minorEastAsia" w:hAnsiTheme="minorEastAsia"/>
                <w:color w:val="FF0000"/>
                <w:kern w:val="0"/>
                <w:szCs w:val="21"/>
              </w:rPr>
            </w:pPr>
          </w:p>
        </w:tc>
      </w:tr>
    </w:tbl>
    <w:p>
      <w:pPr>
        <w:snapToGrid w:val="0"/>
        <w:spacing w:line="360" w:lineRule="auto"/>
        <w:rPr>
          <w:rFonts w:asciiTheme="minorEastAsia" w:hAnsiTheme="minorEastAsia"/>
          <w:color w:val="FF0000"/>
          <w:kern w:val="0"/>
          <w:sz w:val="24"/>
        </w:rPr>
      </w:pPr>
    </w:p>
    <w:p>
      <w:pPr>
        <w:pStyle w:val="3"/>
        <w:ind w:firstLine="480" w:firstLineChars="150"/>
        <w:rPr>
          <w:b w:val="0"/>
        </w:rPr>
      </w:pPr>
      <w:bookmarkStart w:id="67" w:name="_Toc29538"/>
      <w:bookmarkStart w:id="68" w:name="_Toc17278757"/>
      <w:r>
        <w:rPr>
          <w:rFonts w:hint="eastAsia"/>
          <w:b w:val="0"/>
        </w:rPr>
        <w:t>三、课程安排</w:t>
      </w:r>
      <w:bookmarkEnd w:id="64"/>
      <w:bookmarkEnd w:id="65"/>
      <w:bookmarkEnd w:id="66"/>
      <w:bookmarkEnd w:id="67"/>
      <w:bookmarkEnd w:id="68"/>
    </w:p>
    <w:p>
      <w:pPr>
        <w:shd w:val="clear" w:color="auto" w:fill="FFFFFF"/>
        <w:spacing w:line="360" w:lineRule="auto"/>
        <w:ind w:firstLine="480" w:firstLineChars="200"/>
        <w:rPr>
          <w:rFonts w:ascii="宋体" w:hAnsi="宋体"/>
          <w:bCs/>
          <w:sz w:val="24"/>
        </w:rPr>
      </w:pPr>
      <w:r>
        <w:rPr>
          <w:rFonts w:hint="eastAsia" w:ascii="宋体" w:hAnsi="宋体"/>
          <w:bCs/>
          <w:sz w:val="24"/>
        </w:rPr>
        <w:t>以应用化工技术专业培养面向的主要职业岗位(群)为依据，结合区域内化工企业生产特点，根据职业岗位所要求的知识、素质和能力,以化工生产过程“内操”、“外操”日常工作为主，并参照国家化工总控工职业技能鉴定标准，</w:t>
      </w:r>
      <w:r>
        <w:rPr>
          <w:rFonts w:ascii="宋体" w:hAnsi="宋体"/>
          <w:bCs/>
          <w:sz w:val="24"/>
        </w:rPr>
        <w:t>注重学生职业能力和职业精神的培养</w:t>
      </w:r>
      <w:r>
        <w:rPr>
          <w:rFonts w:hint="eastAsia" w:ascii="宋体" w:hAnsi="宋体"/>
          <w:bCs/>
          <w:sz w:val="24"/>
        </w:rPr>
        <w:t>，将课程体系分为公共基础课和专业课程，专业课程包括：专业基础课程、 专业核心课程、专业拓展课程及实践性教学环节。</w:t>
      </w:r>
    </w:p>
    <w:p>
      <w:pPr>
        <w:shd w:val="clear" w:color="auto" w:fill="FFFFFF"/>
        <w:spacing w:line="360" w:lineRule="auto"/>
        <w:ind w:firstLine="480" w:firstLineChars="200"/>
        <w:rPr>
          <w:rFonts w:ascii="宋体" w:hAnsi="宋体"/>
          <w:bCs/>
          <w:sz w:val="24"/>
        </w:rPr>
      </w:pPr>
      <w:r>
        <w:rPr>
          <w:rFonts w:hint="eastAsia" w:ascii="宋体" w:hAnsi="宋体"/>
          <w:bCs/>
          <w:sz w:val="24"/>
        </w:rPr>
        <w:t>1．公共基础课程</w:t>
      </w:r>
    </w:p>
    <w:p>
      <w:pPr>
        <w:shd w:val="clear" w:color="auto" w:fill="FFFFFF"/>
        <w:spacing w:line="360" w:lineRule="auto"/>
        <w:ind w:firstLine="480" w:firstLineChars="200"/>
        <w:rPr>
          <w:rFonts w:ascii="宋体" w:hAnsi="宋体"/>
          <w:bCs/>
          <w:sz w:val="24"/>
        </w:rPr>
      </w:pPr>
      <w:r>
        <w:rPr>
          <w:rFonts w:hint="eastAsia" w:ascii="宋体" w:hAnsi="宋体"/>
          <w:bCs/>
          <w:sz w:val="24"/>
        </w:rPr>
        <w:t>根据党和国家有关文件规定，将思想政治理论、中华优秀传统文化、体育、军事理论与军训、大学生职业发展与就业指导、心理健康教育等列人公共基础必修课;并将党史国史、劳动教育、创新创业教育、大学语文、高等数学、公共外语、信息技术、健康教育、美育、职业素养等列人必修课或选修课。</w:t>
      </w:r>
    </w:p>
    <w:p>
      <w:pPr>
        <w:shd w:val="clear" w:color="auto" w:fill="FFFFFF"/>
        <w:spacing w:line="360" w:lineRule="auto"/>
        <w:ind w:firstLine="480" w:firstLineChars="200"/>
        <w:rPr>
          <w:rFonts w:ascii="宋体" w:hAnsi="宋体"/>
          <w:bCs/>
          <w:sz w:val="24"/>
        </w:rPr>
      </w:pPr>
      <w:r>
        <w:rPr>
          <w:rFonts w:hint="eastAsia" w:ascii="宋体" w:hAnsi="宋体"/>
          <w:bCs/>
          <w:sz w:val="24"/>
        </w:rPr>
        <w:t>2．专业课程</w:t>
      </w:r>
    </w:p>
    <w:p>
      <w:pPr>
        <w:shd w:val="clear" w:color="auto" w:fill="FFFFFF"/>
        <w:spacing w:line="360" w:lineRule="auto"/>
        <w:ind w:firstLine="480" w:firstLineChars="200"/>
        <w:rPr>
          <w:rFonts w:ascii="宋体" w:hAnsi="宋体"/>
          <w:bCs/>
          <w:sz w:val="24"/>
        </w:rPr>
      </w:pPr>
      <w:r>
        <w:rPr>
          <w:rFonts w:hint="eastAsia" w:ascii="宋体" w:hAnsi="宋体"/>
          <w:bCs/>
          <w:sz w:val="24"/>
        </w:rPr>
        <w:t>(1)专业基础课程。</w:t>
      </w:r>
    </w:p>
    <w:p>
      <w:pPr>
        <w:shd w:val="clear" w:color="auto" w:fill="FFFFFF"/>
        <w:spacing w:line="360" w:lineRule="auto"/>
        <w:ind w:firstLine="480" w:firstLineChars="200"/>
        <w:rPr>
          <w:rFonts w:ascii="宋体" w:hAnsi="宋体"/>
          <w:bCs/>
          <w:color w:val="000000" w:themeColor="text1"/>
          <w:sz w:val="24"/>
        </w:rPr>
      </w:pPr>
      <w:r>
        <w:rPr>
          <w:rFonts w:hint="eastAsia" w:ascii="宋体" w:hAnsi="宋体"/>
          <w:bCs/>
          <w:sz w:val="24"/>
        </w:rPr>
        <w:t>专业基础课程设置7门。 包括:</w:t>
      </w:r>
      <w:r>
        <w:rPr>
          <w:rFonts w:hint="eastAsia" w:ascii="宋体" w:hAnsi="宋体"/>
          <w:bCs/>
          <w:color w:val="000000" w:themeColor="text1"/>
          <w:sz w:val="24"/>
        </w:rPr>
        <w:t>无机化学、有机化学、分析化学、化工制图及CAD、化工仪表及自动化、化工文献检索与处理、煤质分析、物理化学等。</w:t>
      </w:r>
    </w:p>
    <w:p>
      <w:pPr>
        <w:shd w:val="clear" w:color="auto" w:fill="FFFFFF"/>
        <w:spacing w:line="360" w:lineRule="auto"/>
        <w:ind w:firstLine="480" w:firstLineChars="200"/>
        <w:rPr>
          <w:rFonts w:ascii="宋体" w:hAnsi="宋体"/>
          <w:bCs/>
          <w:sz w:val="24"/>
        </w:rPr>
      </w:pPr>
      <w:r>
        <w:rPr>
          <w:rFonts w:hint="eastAsia" w:ascii="宋体" w:hAnsi="宋体"/>
          <w:bCs/>
          <w:sz w:val="24"/>
        </w:rPr>
        <w:t>(2)专业核心课程。</w:t>
      </w:r>
    </w:p>
    <w:p>
      <w:pPr>
        <w:shd w:val="clear" w:color="auto" w:fill="FFFFFF"/>
        <w:spacing w:line="360" w:lineRule="auto"/>
        <w:ind w:firstLine="480" w:firstLineChars="200"/>
        <w:rPr>
          <w:rFonts w:ascii="宋体" w:hAnsi="宋体"/>
          <w:bCs/>
          <w:color w:val="FF0000"/>
          <w:sz w:val="24"/>
        </w:rPr>
      </w:pPr>
      <w:r>
        <w:rPr>
          <w:rFonts w:hint="eastAsia" w:ascii="宋体" w:hAnsi="宋体"/>
          <w:bCs/>
          <w:sz w:val="24"/>
        </w:rPr>
        <w:t>专业核心课程设置6门。 包括:化工单元操作技术、化工设备基础、</w:t>
      </w:r>
      <w:r>
        <w:rPr>
          <w:rFonts w:hint="eastAsia" w:ascii="宋体" w:hAnsi="宋体"/>
          <w:bCs/>
          <w:color w:val="000000" w:themeColor="text1"/>
          <w:sz w:val="24"/>
        </w:rPr>
        <w:t>环境检测与分析、</w:t>
      </w:r>
      <w:r>
        <w:rPr>
          <w:rFonts w:hint="eastAsia" w:ascii="宋体" w:hAnsi="宋体"/>
          <w:bCs/>
          <w:sz w:val="24"/>
        </w:rPr>
        <w:t>化工安全技术、无机化学生产技术、现代煤化工技术。</w:t>
      </w:r>
    </w:p>
    <w:p>
      <w:pPr>
        <w:shd w:val="clear" w:color="auto" w:fill="FFFFFF"/>
        <w:spacing w:line="360" w:lineRule="auto"/>
        <w:ind w:firstLine="480" w:firstLineChars="200"/>
        <w:rPr>
          <w:rFonts w:ascii="宋体" w:hAnsi="宋体"/>
          <w:bCs/>
          <w:sz w:val="24"/>
        </w:rPr>
      </w:pPr>
      <w:r>
        <w:rPr>
          <w:rFonts w:hint="eastAsia" w:ascii="宋体" w:hAnsi="宋体"/>
          <w:bCs/>
          <w:sz w:val="24"/>
        </w:rPr>
        <w:t>(3)专业拓展课程。</w:t>
      </w:r>
    </w:p>
    <w:p>
      <w:pPr>
        <w:shd w:val="clear" w:color="auto" w:fill="FFFFFF"/>
        <w:spacing w:line="360" w:lineRule="auto"/>
        <w:ind w:firstLine="480" w:firstLineChars="200"/>
        <w:rPr>
          <w:rFonts w:ascii="宋体" w:hAnsi="宋体"/>
          <w:bCs/>
          <w:color w:val="FF0000"/>
          <w:sz w:val="24"/>
        </w:rPr>
      </w:pPr>
      <w:r>
        <w:rPr>
          <w:rFonts w:hint="eastAsia" w:ascii="宋体" w:hAnsi="宋体"/>
          <w:bCs/>
          <w:sz w:val="24"/>
        </w:rPr>
        <w:t>专业拓展课程包括:化工公用工程、化工设计概论、绿色化工技术、工业催化技术、精细化工概论、高分子化工概论、技术经济与企业管理、企业质量认证与管理、市场营销、化工物流等。</w:t>
      </w:r>
    </w:p>
    <w:p>
      <w:pPr>
        <w:shd w:val="clear" w:color="auto" w:fill="FFFFFF"/>
        <w:spacing w:line="360" w:lineRule="auto"/>
        <w:ind w:firstLine="480" w:firstLineChars="200"/>
        <w:rPr>
          <w:rFonts w:ascii="宋体" w:hAnsi="宋体"/>
          <w:bCs/>
          <w:color w:val="FF0000"/>
          <w:sz w:val="24"/>
        </w:rPr>
      </w:pPr>
      <w:r>
        <w:rPr>
          <w:rFonts w:hint="eastAsia" w:ascii="宋体" w:hAnsi="宋体"/>
          <w:bCs/>
          <w:sz w:val="24"/>
        </w:rPr>
        <w:t>（4）实践教学环节</w:t>
      </w:r>
    </w:p>
    <w:p>
      <w:pPr>
        <w:shd w:val="clear" w:color="auto" w:fill="FFFFFF"/>
        <w:spacing w:line="360" w:lineRule="auto"/>
        <w:ind w:firstLine="480" w:firstLineChars="200"/>
        <w:rPr>
          <w:rFonts w:ascii="宋体" w:hAnsi="宋体"/>
          <w:bCs/>
          <w:sz w:val="24"/>
        </w:rPr>
      </w:pPr>
      <w:r>
        <w:rPr>
          <w:rFonts w:hint="eastAsia" w:ascii="宋体" w:hAnsi="宋体"/>
          <w:bCs/>
          <w:sz w:val="24"/>
        </w:rPr>
        <w:t>实践教学环节主要包括专业认识实习、校内生产实习和毕业顶岗实习等，以满足应用化工技术专业学生技能训练要求。特别是集中6个月以上的顶岗实习，使学生能掌握化工操作工应具备的知识要求及能力要求，与企业要求符合度较高，缩短上岗时间，短时间内既能成为企业骨干力量，缩短企业培训时间及培训成本，达到双赢的目的。</w:t>
      </w:r>
    </w:p>
    <w:p>
      <w:pPr>
        <w:spacing w:afterLines="50" w:line="360" w:lineRule="auto"/>
        <w:jc w:val="center"/>
        <w:rPr>
          <w:rFonts w:ascii="黑体" w:hAnsi="Times New Roman" w:eastAsia="黑体" w:cs="Times New Roman"/>
          <w:sz w:val="36"/>
          <w:szCs w:val="36"/>
        </w:rPr>
        <w:sectPr>
          <w:headerReference r:id="rId5" w:type="default"/>
          <w:footerReference r:id="rId6" w:type="default"/>
          <w:pgSz w:w="11906" w:h="16838"/>
          <w:pgMar w:top="1440" w:right="1800" w:bottom="1440" w:left="1800" w:header="851" w:footer="992" w:gutter="0"/>
          <w:cols w:space="720" w:num="1"/>
          <w:docGrid w:type="lines" w:linePitch="312" w:charSpace="0"/>
        </w:sectPr>
      </w:pPr>
    </w:p>
    <w:p>
      <w:pPr>
        <w:keepNext/>
        <w:keepLines/>
        <w:spacing w:before="340" w:after="330" w:line="578" w:lineRule="auto"/>
        <w:jc w:val="center"/>
        <w:outlineLvl w:val="0"/>
        <w:rPr>
          <w:rFonts w:ascii="黑体" w:hAnsi="黑体" w:eastAsia="黑体" w:cs="黑体"/>
          <w:bCs/>
          <w:kern w:val="44"/>
          <w:sz w:val="36"/>
          <w:szCs w:val="36"/>
        </w:rPr>
      </w:pPr>
      <w:bookmarkStart w:id="69" w:name="_Toc17278758"/>
      <w:bookmarkStart w:id="70" w:name="_Toc13380"/>
      <w:bookmarkStart w:id="71" w:name="_Toc28877"/>
      <w:r>
        <w:rPr>
          <w:rFonts w:hint="eastAsia" w:ascii="黑体" w:hAnsi="黑体" w:eastAsia="黑体" w:cs="黑体"/>
          <w:bCs/>
          <w:kern w:val="44"/>
          <w:sz w:val="36"/>
          <w:szCs w:val="36"/>
        </w:rPr>
        <w:t>第四部分 应用化工技术专业核心课程标准</w:t>
      </w:r>
      <w:bookmarkEnd w:id="69"/>
      <w:bookmarkEnd w:id="70"/>
      <w:bookmarkEnd w:id="71"/>
    </w:p>
    <w:p>
      <w:pPr>
        <w:keepNext/>
        <w:keepLines/>
        <w:adjustRightInd w:val="0"/>
        <w:spacing w:before="260" w:after="260" w:line="416" w:lineRule="atLeast"/>
        <w:ind w:firstLine="640" w:firstLineChars="200"/>
        <w:jc w:val="left"/>
        <w:outlineLvl w:val="1"/>
        <w:rPr>
          <w:rFonts w:ascii="Times New Roman" w:hAnsi="Times New Roman" w:eastAsia="黑体" w:cs="Times New Roman"/>
          <w:sz w:val="32"/>
          <w:szCs w:val="32"/>
        </w:rPr>
      </w:pPr>
      <w:bookmarkStart w:id="72" w:name="_Toc9200"/>
      <w:bookmarkStart w:id="73" w:name="_Toc361913077"/>
      <w:bookmarkStart w:id="74" w:name="_Toc1059"/>
      <w:bookmarkStart w:id="75" w:name="_Toc17278759"/>
      <w:bookmarkStart w:id="76" w:name="_Toc3958"/>
      <w:r>
        <w:rPr>
          <w:rFonts w:hint="eastAsia" w:ascii="Times New Roman" w:hAnsi="Times New Roman" w:eastAsia="黑体" w:cs="Times New Roman"/>
          <w:sz w:val="32"/>
          <w:szCs w:val="32"/>
        </w:rPr>
        <w:t>《化工单元操作》核心课程标准</w:t>
      </w:r>
      <w:bookmarkEnd w:id="72"/>
      <w:bookmarkEnd w:id="73"/>
      <w:bookmarkEnd w:id="74"/>
      <w:bookmarkEnd w:id="75"/>
    </w:p>
    <w:bookmarkEnd w:id="76"/>
    <w:tbl>
      <w:tblPr>
        <w:tblStyle w:val="18"/>
        <w:tblW w:w="8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3274"/>
        <w:gridCol w:w="1620"/>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vAlign w:val="center"/>
          </w:tcPr>
          <w:p>
            <w:pPr>
              <w:spacing w:line="360" w:lineRule="auto"/>
              <w:jc w:val="center"/>
              <w:rPr>
                <w:rFonts w:ascii="宋体" w:hAnsi="宋体" w:eastAsia="宋体" w:cs="Times New Roman"/>
                <w:szCs w:val="21"/>
              </w:rPr>
            </w:pPr>
            <w:r>
              <w:rPr>
                <w:rFonts w:ascii="宋体" w:hAnsi="宋体" w:eastAsia="宋体" w:cs="Times New Roman"/>
                <w:szCs w:val="21"/>
              </w:rPr>
              <w:t>课程编码</w:t>
            </w:r>
          </w:p>
        </w:tc>
        <w:tc>
          <w:tcPr>
            <w:tcW w:w="3274" w:type="dxa"/>
            <w:vAlign w:val="center"/>
          </w:tcPr>
          <w:p>
            <w:pPr>
              <w:spacing w:line="360" w:lineRule="auto"/>
              <w:jc w:val="center"/>
              <w:rPr>
                <w:rFonts w:ascii="宋体" w:hAnsi="宋体" w:eastAsia="宋体" w:cs="Times New Roman"/>
                <w:szCs w:val="21"/>
              </w:rPr>
            </w:pPr>
            <w:r>
              <w:rPr>
                <w:rFonts w:ascii="宋体" w:hAnsi="宋体" w:eastAsia="宋体" w:cs="Times New Roman"/>
                <w:szCs w:val="21"/>
              </w:rPr>
              <w:t>1003027</w:t>
            </w:r>
          </w:p>
        </w:tc>
        <w:tc>
          <w:tcPr>
            <w:tcW w:w="1620" w:type="dxa"/>
            <w:vAlign w:val="center"/>
          </w:tcPr>
          <w:p>
            <w:pPr>
              <w:spacing w:line="360" w:lineRule="auto"/>
              <w:jc w:val="center"/>
              <w:rPr>
                <w:rFonts w:ascii="宋体" w:hAnsi="宋体" w:eastAsia="宋体" w:cs="Times New Roman"/>
                <w:szCs w:val="21"/>
              </w:rPr>
            </w:pPr>
            <w:r>
              <w:rPr>
                <w:rFonts w:ascii="宋体" w:hAnsi="宋体" w:eastAsia="宋体" w:cs="Times New Roman"/>
                <w:szCs w:val="21"/>
              </w:rPr>
              <w:t>课程类别</w:t>
            </w:r>
          </w:p>
        </w:tc>
        <w:tc>
          <w:tcPr>
            <w:tcW w:w="1994" w:type="dxa"/>
            <w:vAlign w:val="center"/>
          </w:tcPr>
          <w:p>
            <w:pPr>
              <w:spacing w:line="360" w:lineRule="auto"/>
              <w:jc w:val="center"/>
              <w:rPr>
                <w:rFonts w:ascii="宋体" w:hAnsi="宋体" w:eastAsia="宋体" w:cs="Times New Roman"/>
                <w:szCs w:val="21"/>
              </w:rPr>
            </w:pPr>
            <w:r>
              <w:rPr>
                <w:rFonts w:ascii="宋体" w:hAnsi="宋体" w:eastAsia="宋体" w:cs="Times New Roman"/>
                <w:szCs w:val="21"/>
              </w:rPr>
              <w:t>专业</w:t>
            </w:r>
            <w:r>
              <w:rPr>
                <w:rFonts w:hint="eastAsia" w:ascii="宋体" w:hAnsi="宋体" w:eastAsia="宋体" w:cs="Times New Roman"/>
                <w:szCs w:val="21"/>
              </w:rPr>
              <w:t>（技能）课程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vAlign w:val="center"/>
          </w:tcPr>
          <w:p>
            <w:pPr>
              <w:spacing w:line="360" w:lineRule="auto"/>
              <w:jc w:val="center"/>
              <w:rPr>
                <w:rFonts w:ascii="宋体" w:hAnsi="宋体" w:eastAsia="宋体" w:cs="Times New Roman"/>
                <w:szCs w:val="21"/>
              </w:rPr>
            </w:pPr>
            <w:r>
              <w:rPr>
                <w:rFonts w:ascii="宋体" w:hAnsi="宋体" w:eastAsia="宋体" w:cs="Times New Roman"/>
                <w:szCs w:val="21"/>
              </w:rPr>
              <w:t>计划学时</w:t>
            </w:r>
          </w:p>
        </w:tc>
        <w:tc>
          <w:tcPr>
            <w:tcW w:w="3274" w:type="dxa"/>
            <w:vAlign w:val="center"/>
          </w:tcPr>
          <w:p>
            <w:pPr>
              <w:spacing w:line="360" w:lineRule="auto"/>
              <w:jc w:val="center"/>
              <w:rPr>
                <w:rFonts w:ascii="宋体" w:hAnsi="宋体" w:eastAsia="宋体" w:cs="Times New Roman"/>
                <w:szCs w:val="21"/>
              </w:rPr>
            </w:pPr>
            <w:r>
              <w:rPr>
                <w:rFonts w:hint="eastAsia" w:ascii="宋体" w:hAnsi="宋体" w:eastAsia="宋体" w:cs="Times New Roman"/>
                <w:szCs w:val="21"/>
              </w:rPr>
              <w:t>144</w:t>
            </w:r>
          </w:p>
        </w:tc>
        <w:tc>
          <w:tcPr>
            <w:tcW w:w="1620" w:type="dxa"/>
            <w:vAlign w:val="center"/>
          </w:tcPr>
          <w:p>
            <w:pPr>
              <w:spacing w:line="360" w:lineRule="auto"/>
              <w:jc w:val="center"/>
              <w:rPr>
                <w:rFonts w:ascii="宋体" w:hAnsi="宋体" w:eastAsia="宋体" w:cs="Times New Roman"/>
                <w:szCs w:val="21"/>
              </w:rPr>
            </w:pPr>
            <w:r>
              <w:rPr>
                <w:rFonts w:ascii="宋体" w:hAnsi="宋体" w:eastAsia="宋体" w:cs="Times New Roman"/>
                <w:szCs w:val="21"/>
              </w:rPr>
              <w:t>课程类型</w:t>
            </w:r>
          </w:p>
        </w:tc>
        <w:tc>
          <w:tcPr>
            <w:tcW w:w="1994" w:type="dxa"/>
            <w:vAlign w:val="center"/>
          </w:tcPr>
          <w:p>
            <w:pPr>
              <w:spacing w:line="360" w:lineRule="auto"/>
              <w:jc w:val="center"/>
              <w:rPr>
                <w:rFonts w:ascii="宋体" w:hAnsi="宋体" w:eastAsia="宋体" w:cs="Times New Roman"/>
                <w:szCs w:val="21"/>
              </w:rPr>
            </w:pPr>
            <w:r>
              <w:rPr>
                <w:rFonts w:ascii="宋体" w:hAnsi="宋体" w:eastAsia="宋体" w:cs="Times New Roman"/>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vAlign w:val="center"/>
          </w:tcPr>
          <w:p>
            <w:pPr>
              <w:spacing w:line="360" w:lineRule="auto"/>
              <w:jc w:val="center"/>
              <w:rPr>
                <w:rFonts w:ascii="宋体" w:hAnsi="宋体" w:eastAsia="宋体" w:cs="Times New Roman"/>
                <w:szCs w:val="21"/>
              </w:rPr>
            </w:pPr>
            <w:r>
              <w:rPr>
                <w:rFonts w:ascii="宋体" w:hAnsi="宋体" w:eastAsia="宋体" w:cs="Times New Roman"/>
                <w:szCs w:val="21"/>
              </w:rPr>
              <w:t>适用专业</w:t>
            </w:r>
          </w:p>
        </w:tc>
        <w:tc>
          <w:tcPr>
            <w:tcW w:w="3274" w:type="dxa"/>
            <w:vAlign w:val="center"/>
          </w:tcPr>
          <w:p>
            <w:pPr>
              <w:spacing w:line="360" w:lineRule="auto"/>
              <w:jc w:val="center"/>
              <w:rPr>
                <w:rFonts w:ascii="宋体" w:hAnsi="宋体" w:eastAsia="宋体" w:cs="Times New Roman"/>
                <w:szCs w:val="21"/>
              </w:rPr>
            </w:pPr>
            <w:r>
              <w:rPr>
                <w:rFonts w:ascii="宋体" w:hAnsi="宋体" w:eastAsia="宋体" w:cs="Times New Roman"/>
                <w:szCs w:val="21"/>
              </w:rPr>
              <w:t>应用化工技术</w:t>
            </w:r>
          </w:p>
        </w:tc>
        <w:tc>
          <w:tcPr>
            <w:tcW w:w="1620" w:type="dxa"/>
            <w:vAlign w:val="center"/>
          </w:tcPr>
          <w:p>
            <w:pPr>
              <w:spacing w:line="360" w:lineRule="auto"/>
              <w:jc w:val="center"/>
              <w:rPr>
                <w:rFonts w:ascii="宋体" w:hAnsi="宋体" w:eastAsia="宋体" w:cs="Times New Roman"/>
                <w:szCs w:val="21"/>
              </w:rPr>
            </w:pPr>
            <w:r>
              <w:rPr>
                <w:rFonts w:ascii="宋体" w:hAnsi="宋体" w:eastAsia="宋体" w:cs="Times New Roman"/>
                <w:szCs w:val="21"/>
              </w:rPr>
              <w:t>课程性质</w:t>
            </w:r>
          </w:p>
        </w:tc>
        <w:tc>
          <w:tcPr>
            <w:tcW w:w="1994" w:type="dxa"/>
            <w:vAlign w:val="center"/>
          </w:tcPr>
          <w:p>
            <w:pPr>
              <w:spacing w:line="360" w:lineRule="auto"/>
              <w:jc w:val="center"/>
              <w:rPr>
                <w:rFonts w:ascii="宋体" w:hAnsi="宋体" w:eastAsia="宋体" w:cs="Times New Roman"/>
                <w:szCs w:val="21"/>
              </w:rPr>
            </w:pPr>
            <w:r>
              <w:rPr>
                <w:rFonts w:ascii="宋体" w:hAnsi="宋体" w:eastAsia="宋体" w:cs="Times New Roman"/>
                <w:szCs w:val="21"/>
              </w:rPr>
              <w:t>专业必修课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334" w:type="dxa"/>
            <w:vAlign w:val="center"/>
          </w:tcPr>
          <w:p>
            <w:pPr>
              <w:spacing w:line="360" w:lineRule="auto"/>
              <w:jc w:val="center"/>
              <w:rPr>
                <w:rFonts w:ascii="宋体" w:hAnsi="宋体" w:eastAsia="宋体" w:cs="Times New Roman"/>
                <w:szCs w:val="21"/>
              </w:rPr>
            </w:pPr>
            <w:r>
              <w:rPr>
                <w:rFonts w:ascii="宋体" w:hAnsi="宋体" w:eastAsia="宋体" w:cs="Times New Roman"/>
                <w:szCs w:val="21"/>
              </w:rPr>
              <w:t>开课学期</w:t>
            </w:r>
          </w:p>
        </w:tc>
        <w:tc>
          <w:tcPr>
            <w:tcW w:w="3274" w:type="dxa"/>
            <w:vAlign w:val="center"/>
          </w:tcPr>
          <w:p>
            <w:pPr>
              <w:spacing w:line="360" w:lineRule="auto"/>
              <w:jc w:val="center"/>
              <w:rPr>
                <w:rFonts w:ascii="宋体" w:hAnsi="宋体" w:eastAsia="宋体" w:cs="Times New Roman"/>
                <w:szCs w:val="21"/>
              </w:rPr>
            </w:pPr>
            <w:r>
              <w:rPr>
                <w:rFonts w:ascii="宋体" w:hAnsi="宋体" w:eastAsia="宋体" w:cs="Times New Roman"/>
                <w:szCs w:val="21"/>
              </w:rPr>
              <w:t>第</w:t>
            </w:r>
            <w:r>
              <w:rPr>
                <w:rFonts w:hint="eastAsia" w:ascii="宋体" w:hAnsi="宋体" w:eastAsia="宋体" w:cs="Times New Roman"/>
                <w:szCs w:val="21"/>
              </w:rPr>
              <w:t>2、3</w:t>
            </w:r>
            <w:r>
              <w:rPr>
                <w:rFonts w:ascii="宋体" w:hAnsi="宋体" w:eastAsia="宋体" w:cs="Times New Roman"/>
                <w:szCs w:val="21"/>
              </w:rPr>
              <w:t>学期</w:t>
            </w:r>
          </w:p>
        </w:tc>
        <w:tc>
          <w:tcPr>
            <w:tcW w:w="1620" w:type="dxa"/>
            <w:vAlign w:val="center"/>
          </w:tcPr>
          <w:p>
            <w:pPr>
              <w:spacing w:line="360" w:lineRule="auto"/>
              <w:jc w:val="center"/>
              <w:rPr>
                <w:rFonts w:ascii="宋体" w:hAnsi="宋体" w:eastAsia="宋体" w:cs="Times New Roman"/>
                <w:szCs w:val="21"/>
              </w:rPr>
            </w:pPr>
            <w:r>
              <w:rPr>
                <w:rFonts w:ascii="宋体" w:hAnsi="宋体" w:eastAsia="宋体" w:cs="Times New Roman"/>
                <w:szCs w:val="21"/>
              </w:rPr>
              <w:t>学分</w:t>
            </w:r>
          </w:p>
        </w:tc>
        <w:tc>
          <w:tcPr>
            <w:tcW w:w="1994" w:type="dxa"/>
            <w:vAlign w:val="center"/>
          </w:tcPr>
          <w:p>
            <w:pPr>
              <w:spacing w:line="360" w:lineRule="auto"/>
              <w:jc w:val="center"/>
              <w:rPr>
                <w:rFonts w:ascii="宋体" w:hAnsi="宋体" w:eastAsia="宋体" w:cs="Times New Roman"/>
                <w:szCs w:val="21"/>
              </w:rPr>
            </w:pPr>
            <w:r>
              <w:rPr>
                <w:rFonts w:ascii="宋体" w:hAnsi="宋体" w:eastAsia="宋体" w:cs="Times New Roman"/>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vAlign w:val="center"/>
          </w:tcPr>
          <w:p>
            <w:pPr>
              <w:spacing w:line="360" w:lineRule="auto"/>
              <w:jc w:val="center"/>
              <w:rPr>
                <w:rFonts w:ascii="宋体" w:hAnsi="宋体" w:eastAsia="宋体" w:cs="Times New Roman"/>
                <w:szCs w:val="21"/>
              </w:rPr>
            </w:pPr>
            <w:r>
              <w:rPr>
                <w:rFonts w:ascii="宋体" w:hAnsi="宋体" w:eastAsia="宋体" w:cs="Times New Roman"/>
                <w:szCs w:val="21"/>
              </w:rPr>
              <w:t>先行课程</w:t>
            </w:r>
          </w:p>
        </w:tc>
        <w:tc>
          <w:tcPr>
            <w:tcW w:w="3274" w:type="dxa"/>
            <w:vAlign w:val="center"/>
          </w:tcPr>
          <w:p>
            <w:pPr>
              <w:spacing w:line="360" w:lineRule="auto"/>
              <w:jc w:val="center"/>
              <w:rPr>
                <w:rFonts w:ascii="宋体" w:hAnsi="宋体" w:eastAsia="宋体" w:cs="Times New Roman"/>
                <w:szCs w:val="21"/>
              </w:rPr>
            </w:pPr>
            <w:r>
              <w:rPr>
                <w:rFonts w:ascii="宋体" w:hAnsi="宋体" w:eastAsia="宋体" w:cs="Times New Roman"/>
                <w:szCs w:val="21"/>
              </w:rPr>
              <w:t>基础化学</w:t>
            </w:r>
            <w:r>
              <w:rPr>
                <w:rFonts w:hint="eastAsia" w:ascii="宋体" w:hAnsi="宋体" w:eastAsia="宋体" w:cs="Times New Roman"/>
                <w:szCs w:val="21"/>
              </w:rPr>
              <w:t>，高等数学</w:t>
            </w:r>
          </w:p>
        </w:tc>
        <w:tc>
          <w:tcPr>
            <w:tcW w:w="1620" w:type="dxa"/>
            <w:vAlign w:val="center"/>
          </w:tcPr>
          <w:p>
            <w:pPr>
              <w:spacing w:line="360" w:lineRule="auto"/>
              <w:jc w:val="center"/>
              <w:rPr>
                <w:rFonts w:ascii="宋体" w:hAnsi="宋体" w:eastAsia="宋体" w:cs="Times New Roman"/>
                <w:szCs w:val="21"/>
              </w:rPr>
            </w:pPr>
            <w:r>
              <w:rPr>
                <w:rFonts w:ascii="宋体" w:hAnsi="宋体" w:eastAsia="宋体" w:cs="Times New Roman"/>
                <w:szCs w:val="21"/>
              </w:rPr>
              <w:t>开课单位</w:t>
            </w:r>
          </w:p>
        </w:tc>
        <w:tc>
          <w:tcPr>
            <w:tcW w:w="1994" w:type="dxa"/>
            <w:vAlign w:val="center"/>
          </w:tcPr>
          <w:p>
            <w:pPr>
              <w:spacing w:line="360" w:lineRule="auto"/>
              <w:jc w:val="center"/>
              <w:rPr>
                <w:rFonts w:ascii="宋体" w:hAnsi="宋体" w:eastAsia="宋体" w:cs="Times New Roman"/>
                <w:color w:val="000000" w:themeColor="text1"/>
                <w:szCs w:val="21"/>
              </w:rPr>
            </w:pPr>
            <w:r>
              <w:rPr>
                <w:rFonts w:hint="eastAsia" w:ascii="宋体" w:hAnsi="宋体" w:eastAsia="宋体" w:cs="Times New Roman"/>
                <w:color w:val="000000" w:themeColor="text1"/>
                <w:szCs w:val="21"/>
              </w:rPr>
              <w:t>化工</w:t>
            </w:r>
            <w:r>
              <w:rPr>
                <w:rFonts w:ascii="宋体" w:hAnsi="宋体" w:eastAsia="宋体" w:cs="Times New Roman"/>
                <w:color w:val="000000" w:themeColor="text1"/>
                <w:szCs w:val="21"/>
              </w:rPr>
              <w:t>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vAlign w:val="center"/>
          </w:tcPr>
          <w:p>
            <w:pPr>
              <w:spacing w:line="360" w:lineRule="auto"/>
              <w:jc w:val="center"/>
              <w:rPr>
                <w:rFonts w:ascii="宋体" w:hAnsi="宋体" w:eastAsia="宋体" w:cs="Times New Roman"/>
                <w:szCs w:val="21"/>
              </w:rPr>
            </w:pPr>
            <w:r>
              <w:rPr>
                <w:rFonts w:ascii="宋体" w:hAnsi="宋体" w:eastAsia="宋体" w:cs="Times New Roman"/>
                <w:szCs w:val="21"/>
              </w:rPr>
              <w:t>平行课程</w:t>
            </w:r>
          </w:p>
        </w:tc>
        <w:tc>
          <w:tcPr>
            <w:tcW w:w="3274" w:type="dxa"/>
            <w:vAlign w:val="center"/>
          </w:tcPr>
          <w:p>
            <w:pPr>
              <w:widowControl/>
              <w:jc w:val="center"/>
              <w:rPr>
                <w:rFonts w:ascii="宋体" w:hAnsi="宋体" w:eastAsia="宋体" w:cs="Times New Roman"/>
                <w:szCs w:val="21"/>
              </w:rPr>
            </w:pPr>
            <w:r>
              <w:rPr>
                <w:rFonts w:hint="eastAsia" w:ascii="宋体" w:hAnsi="宋体" w:eastAsia="宋体" w:cs="Times New Roman"/>
                <w:szCs w:val="21"/>
              </w:rPr>
              <w:t>化工</w:t>
            </w:r>
            <w:r>
              <w:rPr>
                <w:rFonts w:ascii="宋体" w:hAnsi="宋体" w:eastAsia="宋体" w:cs="Times New Roman"/>
                <w:szCs w:val="21"/>
              </w:rPr>
              <w:t>安全技术</w:t>
            </w:r>
            <w:r>
              <w:rPr>
                <w:rFonts w:hint="eastAsia" w:ascii="宋体" w:hAnsi="宋体" w:eastAsia="宋体" w:cs="Times New Roman"/>
                <w:szCs w:val="21"/>
              </w:rPr>
              <w:t>、化工仪表及自动化</w:t>
            </w:r>
          </w:p>
        </w:tc>
        <w:tc>
          <w:tcPr>
            <w:tcW w:w="1620" w:type="dxa"/>
            <w:vAlign w:val="center"/>
          </w:tcPr>
          <w:p>
            <w:pPr>
              <w:spacing w:line="360" w:lineRule="auto"/>
              <w:jc w:val="center"/>
              <w:rPr>
                <w:rFonts w:ascii="宋体" w:hAnsi="宋体" w:eastAsia="宋体" w:cs="Times New Roman"/>
                <w:szCs w:val="21"/>
              </w:rPr>
            </w:pPr>
            <w:r>
              <w:rPr>
                <w:rFonts w:ascii="宋体" w:hAnsi="宋体" w:eastAsia="宋体" w:cs="Times New Roman"/>
                <w:szCs w:val="21"/>
              </w:rPr>
              <w:t>考核类型</w:t>
            </w:r>
          </w:p>
        </w:tc>
        <w:tc>
          <w:tcPr>
            <w:tcW w:w="1994" w:type="dxa"/>
            <w:vAlign w:val="center"/>
          </w:tcPr>
          <w:p>
            <w:pPr>
              <w:spacing w:line="360" w:lineRule="auto"/>
              <w:jc w:val="center"/>
              <w:rPr>
                <w:rFonts w:ascii="宋体" w:hAnsi="宋体" w:eastAsia="宋体" w:cs="Times New Roman"/>
                <w:szCs w:val="21"/>
              </w:rPr>
            </w:pPr>
            <w:r>
              <w:rPr>
                <w:rFonts w:ascii="宋体" w:hAnsi="宋体" w:eastAsia="宋体" w:cs="Times New Roman"/>
                <w:szCs w:val="21"/>
              </w:rPr>
              <w:t>考试</w:t>
            </w:r>
            <w:r>
              <w:rPr>
                <w:rFonts w:hint="eastAsia" w:ascii="宋体" w:hAnsi="宋体" w:eastAsia="宋体" w:cs="Times New Roman"/>
                <w:szCs w:val="21"/>
              </w:rPr>
              <w:t>+</w:t>
            </w:r>
            <w:r>
              <w:rPr>
                <w:rFonts w:ascii="宋体" w:hAnsi="宋体" w:eastAsia="宋体" w:cs="Times New Roman"/>
                <w:szCs w:val="21"/>
              </w:rPr>
              <w:t>实践</w:t>
            </w:r>
            <w:r>
              <w:rPr>
                <w:rFonts w:hint="eastAsia" w:ascii="宋体" w:hAnsi="宋体" w:eastAsia="宋体" w:cs="Times New Roman"/>
                <w:szCs w:val="21"/>
              </w:rPr>
              <w:t>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vAlign w:val="center"/>
          </w:tcPr>
          <w:p>
            <w:pPr>
              <w:spacing w:line="360" w:lineRule="auto"/>
              <w:jc w:val="center"/>
              <w:rPr>
                <w:rFonts w:ascii="宋体" w:hAnsi="宋体" w:eastAsia="宋体" w:cs="Times New Roman"/>
                <w:szCs w:val="21"/>
              </w:rPr>
            </w:pPr>
            <w:r>
              <w:rPr>
                <w:rFonts w:ascii="宋体" w:hAnsi="宋体" w:eastAsia="宋体" w:cs="Times New Roman"/>
                <w:szCs w:val="21"/>
              </w:rPr>
              <w:t>后继课程</w:t>
            </w:r>
          </w:p>
        </w:tc>
        <w:tc>
          <w:tcPr>
            <w:tcW w:w="6888" w:type="dxa"/>
            <w:gridSpan w:val="3"/>
            <w:vAlign w:val="center"/>
          </w:tcPr>
          <w:p>
            <w:pPr>
              <w:spacing w:line="360" w:lineRule="auto"/>
              <w:jc w:val="center"/>
              <w:rPr>
                <w:rFonts w:ascii="宋体" w:hAnsi="宋体" w:eastAsia="宋体" w:cs="Times New Roman"/>
                <w:szCs w:val="21"/>
              </w:rPr>
            </w:pPr>
            <w:r>
              <w:rPr>
                <w:rFonts w:hint="eastAsia" w:ascii="宋体" w:hAnsi="宋体" w:eastAsia="宋体" w:cs="Times New Roman"/>
                <w:szCs w:val="21"/>
              </w:rPr>
              <w:t>化工设备基础、无机</w:t>
            </w:r>
            <w:r>
              <w:rPr>
                <w:rFonts w:ascii="宋体" w:hAnsi="宋体" w:eastAsia="宋体" w:cs="Times New Roman"/>
                <w:szCs w:val="21"/>
              </w:rPr>
              <w:t>化工生产技术，煤质分析等</w:t>
            </w:r>
          </w:p>
        </w:tc>
      </w:tr>
    </w:tbl>
    <w:p>
      <w:pPr>
        <w:spacing w:line="360" w:lineRule="auto"/>
        <w:ind w:firstLine="480" w:firstLineChars="150"/>
        <w:rPr>
          <w:rFonts w:ascii="黑体" w:hAnsi="黑体" w:eastAsia="黑体" w:cs="Times New Roman"/>
          <w:sz w:val="32"/>
          <w:szCs w:val="32"/>
        </w:rPr>
      </w:pPr>
      <w:bookmarkStart w:id="77" w:name="_Toc17666"/>
      <w:r>
        <w:rPr>
          <w:rFonts w:hint="eastAsia" w:ascii="黑体" w:hAnsi="黑体" w:eastAsia="黑体" w:cs="Times New Roman"/>
          <w:sz w:val="32"/>
          <w:szCs w:val="32"/>
        </w:rPr>
        <w:t>一、课程性质与定位</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1．课程性质</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化工单元操作是以典型化工单元操作为研究对象，应用基础学科的相关原理，对各单元操作过程进行设计优化或操作优化的一门课程。它是化工类专业及其相近专业的一门基础技术课程和主干课程，带有很强的技术性、工程性及实用性，是构造应用化工高素质技术技能人才知识结构、素质结构与能力结构的必修课，是培养学生工程技术观点和化工核心实践技能的重要课程。</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2．课程定位</w:t>
      </w:r>
    </w:p>
    <w:p>
      <w:pPr>
        <w:spacing w:line="360" w:lineRule="auto"/>
        <w:ind w:firstLine="480" w:firstLineChars="200"/>
        <w:rPr>
          <w:rFonts w:ascii="宋体" w:hAnsi="宋体" w:eastAsia="宋体" w:cs="Times New Roman"/>
          <w:bCs/>
          <w:sz w:val="24"/>
        </w:rPr>
      </w:pPr>
      <w:r>
        <w:rPr>
          <w:rFonts w:hint="eastAsia" w:ascii="宋体" w:hAnsi="宋体" w:eastAsia="宋体" w:cs="Times New Roman"/>
          <w:sz w:val="24"/>
        </w:rPr>
        <w:t>本课程是应用化工技术专业的专业核心类课程，专业课程体系符合高职高专教育类高端技能型人才培养目标和专业相关技术领域职业岗位（群）的任职要求，对学生职业能力培养和职业素养养成起主要支撑或明显促进作用，与《高等数学》、《无机化学》、《有机化学》等前续课程密切衔接，为后续课程《无机生产技术》、《化工顶岗实习》、《毕业设计》等打下坚实的基础，同时注重培养学生的方法能力及社会能力，最终形成化工生产的职业综合能力。</w:t>
      </w:r>
    </w:p>
    <w:p>
      <w:pPr>
        <w:spacing w:line="360" w:lineRule="auto"/>
        <w:ind w:firstLine="480" w:firstLineChars="150"/>
        <w:rPr>
          <w:rFonts w:ascii="黑体" w:hAnsi="黑体" w:eastAsia="黑体" w:cs="Times New Roman"/>
          <w:sz w:val="32"/>
          <w:szCs w:val="32"/>
        </w:rPr>
      </w:pPr>
      <w:r>
        <w:rPr>
          <w:rFonts w:hint="eastAsia" w:ascii="黑体" w:hAnsi="黑体" w:eastAsia="黑体" w:cs="Times New Roman"/>
          <w:sz w:val="32"/>
          <w:szCs w:val="32"/>
        </w:rPr>
        <w:t>二、课程设计理念</w:t>
      </w:r>
    </w:p>
    <w:p>
      <w:pPr>
        <w:spacing w:line="360" w:lineRule="auto"/>
        <w:ind w:firstLine="480" w:firstLineChars="200"/>
        <w:jc w:val="left"/>
        <w:rPr>
          <w:rFonts w:ascii="Times New Roman" w:hAnsi="宋体" w:eastAsia="宋体" w:cs="Times New Roman"/>
          <w:color w:val="000000"/>
          <w:sz w:val="24"/>
        </w:rPr>
      </w:pPr>
      <w:r>
        <w:rPr>
          <w:rFonts w:ascii="Times New Roman" w:hAnsi="宋体" w:eastAsia="宋体" w:cs="Times New Roman"/>
          <w:color w:val="000000"/>
          <w:sz w:val="24"/>
        </w:rPr>
        <w:t>针对本课程实践性及实用性强的特点，我们在充分对化工企业岗位设置及岗位能力需求进行调研的基础上，以工作过程为导向，以职业能力培养为重点，与行业企业合作进行基于工作过程系统化的课程开发与设计，充分体现职业性、实践性和开放性的要求。在课程设置中，按职业岗位工作过程的完整性配置课程、构建课程体系；按典型工作任务需求选择能反映职业标准课程内容。通过情景项目及任务的实施，使学生能够较熟练掌握化工生产过程流体流动、传热、传质的基本原理</w:t>
      </w:r>
      <w:r>
        <w:rPr>
          <w:rFonts w:hint="eastAsia" w:ascii="Times New Roman" w:hAnsi="Times New Roman" w:eastAsia="宋体" w:cs="Times New Roman"/>
          <w:color w:val="000000"/>
          <w:sz w:val="24"/>
        </w:rPr>
        <w:t>，</w:t>
      </w:r>
      <w:r>
        <w:rPr>
          <w:rFonts w:ascii="Times New Roman" w:hAnsi="宋体" w:eastAsia="宋体" w:cs="Times New Roman"/>
          <w:color w:val="000000"/>
          <w:sz w:val="24"/>
        </w:rPr>
        <w:t>合理地分析化工单元操作及典型设备的特点，正确地选择设备及进行操作，从而培养学生物料平衡能力、工艺计算能力、设备操作能力、设备维护保养能力，培养学生良好的职业道德和职业素质，理论联系实际解决实际生产问题</w:t>
      </w:r>
      <w:r>
        <w:t>的能力</w:t>
      </w:r>
      <w:r>
        <w:rPr>
          <w:rFonts w:hint="eastAsia"/>
        </w:rPr>
        <w:t>。</w:t>
      </w:r>
    </w:p>
    <w:p>
      <w:pPr>
        <w:spacing w:line="360" w:lineRule="auto"/>
        <w:ind w:firstLine="480" w:firstLineChars="200"/>
        <w:rPr>
          <w:rFonts w:ascii="宋体" w:hAnsi="宋体" w:eastAsia="宋体" w:cs="Times New Roman"/>
          <w:sz w:val="24"/>
        </w:rPr>
      </w:pPr>
      <w:r>
        <w:rPr>
          <w:rFonts w:ascii="Times New Roman" w:hAnsi="宋体" w:eastAsia="宋体" w:cs="Times New Roman"/>
          <w:color w:val="000000"/>
          <w:sz w:val="24"/>
        </w:rPr>
        <w:t>课程设计始终按照</w:t>
      </w:r>
      <w:r>
        <w:rPr>
          <w:rFonts w:hint="eastAsia" w:ascii="Times New Roman" w:hAnsi="Times New Roman" w:eastAsia="宋体" w:cs="Times New Roman"/>
          <w:color w:val="000000"/>
          <w:sz w:val="24"/>
        </w:rPr>
        <w:t>“</w:t>
      </w:r>
      <w:r>
        <w:rPr>
          <w:rFonts w:ascii="Times New Roman" w:hAnsi="宋体" w:eastAsia="宋体" w:cs="Times New Roman"/>
          <w:color w:val="000000"/>
          <w:sz w:val="24"/>
        </w:rPr>
        <w:t>化工岗位群</w:t>
      </w:r>
      <w:r>
        <w:rPr>
          <w:rFonts w:ascii="Times New Roman" w:hAnsi="Times New Roman" w:eastAsia="宋体" w:cs="Times New Roman"/>
          <w:color w:val="000000"/>
          <w:sz w:val="24"/>
        </w:rPr>
        <w:t>——</w:t>
      </w:r>
      <w:r>
        <w:rPr>
          <w:rFonts w:ascii="Times New Roman" w:hAnsi="宋体" w:eastAsia="宋体" w:cs="Times New Roman"/>
          <w:color w:val="000000"/>
          <w:sz w:val="24"/>
        </w:rPr>
        <w:t>岗位典型的工作任务</w:t>
      </w:r>
      <w:r>
        <w:rPr>
          <w:rFonts w:ascii="Times New Roman" w:hAnsi="Times New Roman" w:eastAsia="宋体" w:cs="Times New Roman"/>
          <w:color w:val="000000"/>
          <w:sz w:val="24"/>
        </w:rPr>
        <w:t>——</w:t>
      </w:r>
      <w:r>
        <w:rPr>
          <w:rFonts w:ascii="Times New Roman" w:hAnsi="宋体" w:eastAsia="宋体" w:cs="Times New Roman"/>
          <w:color w:val="000000"/>
          <w:sz w:val="24"/>
        </w:rPr>
        <w:t>完成任务需要的基本能力</w:t>
      </w:r>
      <w:r>
        <w:rPr>
          <w:rFonts w:ascii="Times New Roman" w:hAnsi="Times New Roman" w:eastAsia="宋体" w:cs="Times New Roman"/>
          <w:color w:val="000000"/>
          <w:sz w:val="24"/>
        </w:rPr>
        <w:t>——</w:t>
      </w:r>
      <w:r>
        <w:rPr>
          <w:rFonts w:ascii="Times New Roman" w:hAnsi="宋体" w:eastAsia="宋体" w:cs="Times New Roman"/>
          <w:color w:val="000000"/>
          <w:sz w:val="24"/>
        </w:rPr>
        <w:t>培养能力所必须的基本技术</w:t>
      </w:r>
      <w:r>
        <w:rPr>
          <w:rFonts w:ascii="Times New Roman" w:hAnsi="Times New Roman" w:eastAsia="宋体" w:cs="Times New Roman"/>
          <w:color w:val="000000"/>
          <w:sz w:val="24"/>
        </w:rPr>
        <w:t>——</w:t>
      </w:r>
      <w:r>
        <w:rPr>
          <w:rFonts w:ascii="Times New Roman" w:hAnsi="宋体" w:eastAsia="宋体" w:cs="Times New Roman"/>
          <w:color w:val="000000"/>
          <w:sz w:val="24"/>
        </w:rPr>
        <w:t>培养技术必须的训练项目</w:t>
      </w:r>
      <w:r>
        <w:rPr>
          <w:rFonts w:ascii="Times New Roman" w:hAnsi="Times New Roman" w:eastAsia="宋体" w:cs="Times New Roman"/>
          <w:color w:val="000000"/>
          <w:sz w:val="24"/>
        </w:rPr>
        <w:t>——</w:t>
      </w:r>
      <w:r>
        <w:rPr>
          <w:rFonts w:ascii="Times New Roman" w:hAnsi="宋体" w:eastAsia="宋体" w:cs="Times New Roman"/>
          <w:color w:val="000000"/>
          <w:sz w:val="24"/>
        </w:rPr>
        <w:t>相应的理论知识</w:t>
      </w:r>
      <w:r>
        <w:rPr>
          <w:rFonts w:hint="eastAsia" w:ascii="Times New Roman" w:hAnsi="Times New Roman" w:eastAsia="宋体" w:cs="Times New Roman"/>
          <w:color w:val="000000"/>
          <w:sz w:val="24"/>
        </w:rPr>
        <w:t>”</w:t>
      </w:r>
      <w:r>
        <w:rPr>
          <w:rFonts w:ascii="Times New Roman" w:hAnsi="宋体" w:eastAsia="宋体" w:cs="Times New Roman"/>
          <w:color w:val="000000"/>
          <w:sz w:val="24"/>
        </w:rPr>
        <w:t>这条主线来构建基于工作过程的课程体系和课程内容。</w:t>
      </w:r>
    </w:p>
    <w:p>
      <w:pPr>
        <w:spacing w:line="360" w:lineRule="auto"/>
        <w:ind w:firstLine="480" w:firstLineChars="150"/>
        <w:rPr>
          <w:rFonts w:ascii="黑体" w:hAnsi="黑体" w:eastAsia="黑体" w:cs="Times New Roman"/>
          <w:sz w:val="32"/>
          <w:szCs w:val="32"/>
        </w:rPr>
      </w:pPr>
      <w:r>
        <w:rPr>
          <w:rFonts w:hint="eastAsia" w:ascii="黑体" w:hAnsi="黑体" w:eastAsia="黑体" w:cs="Times New Roman"/>
          <w:sz w:val="32"/>
          <w:szCs w:val="32"/>
        </w:rPr>
        <w:t>三、课程目标</w:t>
      </w:r>
    </w:p>
    <w:p>
      <w:pPr>
        <w:widowControl/>
        <w:spacing w:line="360" w:lineRule="auto"/>
        <w:ind w:firstLine="480" w:firstLineChars="200"/>
        <w:rPr>
          <w:rFonts w:ascii="宋体" w:hAnsi="宋体" w:eastAsia="宋体" w:cs="宋体"/>
          <w:color w:val="000000"/>
          <w:kern w:val="0"/>
          <w:sz w:val="24"/>
        </w:rPr>
      </w:pPr>
      <w:r>
        <w:rPr>
          <w:rFonts w:hint="eastAsia" w:ascii="宋体" w:hAnsi="宋体" w:eastAsia="宋体" w:cs="宋体"/>
          <w:color w:val="000000"/>
          <w:kern w:val="0"/>
          <w:sz w:val="24"/>
        </w:rPr>
        <w:t>1．专业知识</w:t>
      </w:r>
    </w:p>
    <w:p>
      <w:pPr>
        <w:widowControl/>
        <w:spacing w:line="360" w:lineRule="auto"/>
        <w:ind w:firstLine="480" w:firstLineChars="200"/>
        <w:rPr>
          <w:rFonts w:ascii="宋体" w:hAnsi="宋体" w:eastAsia="宋体" w:cs="宋体"/>
          <w:color w:val="000000"/>
          <w:kern w:val="0"/>
          <w:sz w:val="24"/>
        </w:rPr>
      </w:pPr>
      <w:r>
        <w:rPr>
          <w:rFonts w:hint="eastAsia" w:ascii="宋体" w:hAnsi="宋体" w:eastAsia="宋体" w:cs="宋体"/>
          <w:color w:val="000000"/>
          <w:kern w:val="0"/>
          <w:sz w:val="24"/>
        </w:rPr>
        <w:t>本课要求学生综合运用基础化学、物理化学、化工制图等基础知识来分析和解决化工生产过程中的工程问题。通过本课程的学习，在知识层面学生应掌握的内容：</w:t>
      </w:r>
    </w:p>
    <w:tbl>
      <w:tblPr>
        <w:tblStyle w:val="18"/>
        <w:tblW w:w="84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1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widowControl/>
              <w:spacing w:line="360" w:lineRule="auto"/>
              <w:rPr>
                <w:rFonts w:cs="Times New Roman" w:asciiTheme="minorEastAsia" w:hAnsiTheme="minorEastAsia"/>
                <w:color w:val="000000"/>
                <w:kern w:val="0"/>
                <w:szCs w:val="21"/>
              </w:rPr>
            </w:pPr>
            <w:r>
              <w:rPr>
                <w:rFonts w:cs="Times New Roman" w:asciiTheme="minorEastAsia" w:hAnsiTheme="minorEastAsia"/>
                <w:color w:val="000000"/>
                <w:kern w:val="0"/>
                <w:szCs w:val="21"/>
              </w:rPr>
              <w:t>（1）掌握化工单元操作的基本知识与原理；</w:t>
            </w:r>
          </w:p>
        </w:tc>
        <w:tc>
          <w:tcPr>
            <w:tcW w:w="4182" w:type="dxa"/>
          </w:tcPr>
          <w:p>
            <w:pPr>
              <w:widowControl/>
              <w:spacing w:line="360" w:lineRule="auto"/>
              <w:rPr>
                <w:rFonts w:cs="Times New Roman" w:asciiTheme="minorEastAsia" w:hAnsiTheme="minorEastAsia"/>
                <w:color w:val="000000"/>
                <w:kern w:val="0"/>
                <w:szCs w:val="21"/>
              </w:rPr>
            </w:pPr>
            <w:r>
              <w:rPr>
                <w:rFonts w:cs="Times New Roman" w:asciiTheme="minorEastAsia" w:hAnsiTheme="minorEastAsia"/>
                <w:color w:val="000000"/>
                <w:kern w:val="0"/>
                <w:szCs w:val="21"/>
              </w:rPr>
              <w:t>（2）掌握化工操作设备的构造与选用方法；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widowControl/>
              <w:spacing w:line="360" w:lineRule="auto"/>
              <w:rPr>
                <w:rFonts w:cs="Times New Roman" w:asciiTheme="minorEastAsia" w:hAnsiTheme="minorEastAsia"/>
                <w:color w:val="000000"/>
                <w:kern w:val="0"/>
                <w:szCs w:val="21"/>
              </w:rPr>
            </w:pPr>
            <w:r>
              <w:rPr>
                <w:rFonts w:cs="Times New Roman" w:asciiTheme="minorEastAsia" w:hAnsiTheme="minorEastAsia"/>
                <w:color w:val="000000"/>
                <w:kern w:val="0"/>
                <w:szCs w:val="21"/>
              </w:rPr>
              <w:t>（3）掌握化工单元操作的相关工艺计算；</w:t>
            </w:r>
          </w:p>
        </w:tc>
        <w:tc>
          <w:tcPr>
            <w:tcW w:w="4182" w:type="dxa"/>
          </w:tcPr>
          <w:p>
            <w:pPr>
              <w:widowControl/>
              <w:spacing w:line="360" w:lineRule="auto"/>
              <w:rPr>
                <w:rFonts w:cs="Times New Roman" w:asciiTheme="minorEastAsia" w:hAnsiTheme="minorEastAsia"/>
                <w:color w:val="000000"/>
                <w:kern w:val="0"/>
                <w:szCs w:val="21"/>
              </w:rPr>
            </w:pPr>
            <w:r>
              <w:rPr>
                <w:rFonts w:cs="Times New Roman" w:asciiTheme="minorEastAsia" w:hAnsiTheme="minorEastAsia"/>
                <w:color w:val="000000"/>
                <w:kern w:val="0"/>
                <w:szCs w:val="21"/>
              </w:rPr>
              <w:t>（4）理解工艺条件对化工单元操作的影响；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widowControl/>
              <w:spacing w:line="360" w:lineRule="auto"/>
              <w:rPr>
                <w:rFonts w:cs="Times New Roman" w:asciiTheme="minorEastAsia" w:hAnsiTheme="minorEastAsia"/>
                <w:color w:val="000000"/>
                <w:kern w:val="0"/>
                <w:szCs w:val="21"/>
              </w:rPr>
            </w:pPr>
            <w:r>
              <w:rPr>
                <w:rFonts w:cs="Times New Roman" w:asciiTheme="minorEastAsia" w:hAnsiTheme="minorEastAsia"/>
                <w:color w:val="000000"/>
                <w:kern w:val="0"/>
                <w:szCs w:val="21"/>
              </w:rPr>
              <w:t>（5）理解化工生产中节能环保的基本知识与原理；</w:t>
            </w:r>
          </w:p>
        </w:tc>
        <w:tc>
          <w:tcPr>
            <w:tcW w:w="4182" w:type="dxa"/>
          </w:tcPr>
          <w:p>
            <w:pPr>
              <w:widowControl/>
              <w:spacing w:line="360" w:lineRule="auto"/>
              <w:rPr>
                <w:rFonts w:cs="Times New Roman" w:asciiTheme="minorEastAsia" w:hAnsiTheme="minorEastAsia"/>
                <w:color w:val="000000"/>
                <w:kern w:val="0"/>
                <w:szCs w:val="21"/>
              </w:rPr>
            </w:pPr>
            <w:r>
              <w:rPr>
                <w:rFonts w:cs="Times New Roman" w:asciiTheme="minorEastAsia" w:hAnsiTheme="minorEastAsia"/>
                <w:color w:val="000000"/>
                <w:kern w:val="0"/>
                <w:szCs w:val="21"/>
              </w:rPr>
              <w:t>（6）了解化工企业生产管理常识、安全生产知识和成本核算基本方法。</w:t>
            </w:r>
          </w:p>
        </w:tc>
      </w:tr>
    </w:tbl>
    <w:p>
      <w:pPr>
        <w:widowControl/>
        <w:spacing w:line="360" w:lineRule="auto"/>
        <w:ind w:firstLine="480" w:firstLineChars="200"/>
        <w:rPr>
          <w:rFonts w:ascii="宋体" w:hAnsi="宋体" w:eastAsia="宋体" w:cs="宋体"/>
          <w:color w:val="000000"/>
          <w:kern w:val="0"/>
          <w:sz w:val="24"/>
        </w:rPr>
      </w:pPr>
      <w:r>
        <w:rPr>
          <w:rFonts w:hint="eastAsia" w:ascii="宋体" w:hAnsi="宋体" w:eastAsia="宋体" w:cs="宋体"/>
          <w:color w:val="000000"/>
          <w:kern w:val="0"/>
          <w:sz w:val="24"/>
        </w:rPr>
        <w:t>2．专业技能</w:t>
      </w:r>
    </w:p>
    <w:p>
      <w:pPr>
        <w:widowControl/>
        <w:spacing w:line="360" w:lineRule="auto"/>
        <w:ind w:firstLine="480" w:firstLineChars="200"/>
        <w:rPr>
          <w:rFonts w:ascii="宋体" w:hAnsi="宋体" w:eastAsia="宋体" w:cs="宋体"/>
          <w:color w:val="000000"/>
          <w:kern w:val="0"/>
          <w:sz w:val="24"/>
        </w:rPr>
      </w:pPr>
      <w:r>
        <w:rPr>
          <w:rFonts w:hint="eastAsia" w:ascii="宋体" w:hAnsi="宋体" w:eastAsia="宋体" w:cs="宋体"/>
          <w:color w:val="000000"/>
          <w:kern w:val="0"/>
          <w:sz w:val="24"/>
        </w:rPr>
        <w:t>通过本课程的学习，达到以下技能目标：</w:t>
      </w:r>
    </w:p>
    <w:tbl>
      <w:tblPr>
        <w:tblStyle w:val="18"/>
        <w:tblW w:w="84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widowControl/>
              <w:spacing w:line="360" w:lineRule="auto"/>
              <w:rPr>
                <w:rFonts w:ascii="Times New Roman" w:hAnsi="Times New Roman" w:eastAsia="宋体" w:cs="Times New Roman"/>
                <w:color w:val="000000"/>
                <w:kern w:val="0"/>
                <w:szCs w:val="21"/>
              </w:rPr>
            </w:pPr>
            <w:r>
              <w:rPr>
                <w:rFonts w:ascii="Times New Roman" w:hAnsi="宋体" w:eastAsia="宋体" w:cs="Times New Roman"/>
                <w:color w:val="000000"/>
                <w:kern w:val="0"/>
                <w:szCs w:val="21"/>
              </w:rPr>
              <w:t>（</w:t>
            </w:r>
            <w:r>
              <w:rPr>
                <w:rFonts w:ascii="Times New Roman" w:hAnsi="Times New Roman" w:eastAsia="宋体" w:cs="Times New Roman"/>
                <w:color w:val="000000"/>
                <w:kern w:val="0"/>
                <w:szCs w:val="21"/>
              </w:rPr>
              <w:t>1</w:t>
            </w:r>
            <w:r>
              <w:rPr>
                <w:rFonts w:ascii="Times New Roman" w:hAnsi="宋体" w:eastAsia="宋体" w:cs="Times New Roman"/>
                <w:color w:val="000000"/>
                <w:kern w:val="0"/>
                <w:szCs w:val="21"/>
              </w:rPr>
              <w:t>）会查阅有关工程计算图表和手册，能借助工程计算图表和手册进行简单的操作型和设计型计算；</w:t>
            </w:r>
          </w:p>
        </w:tc>
        <w:tc>
          <w:tcPr>
            <w:tcW w:w="4144" w:type="dxa"/>
          </w:tcPr>
          <w:p>
            <w:pPr>
              <w:widowControl/>
              <w:spacing w:line="360" w:lineRule="auto"/>
              <w:rPr>
                <w:rFonts w:ascii="Times New Roman" w:hAnsi="Times New Roman" w:eastAsia="宋体" w:cs="Times New Roman"/>
                <w:color w:val="000000"/>
                <w:kern w:val="0"/>
                <w:szCs w:val="21"/>
              </w:rPr>
            </w:pPr>
            <w:r>
              <w:rPr>
                <w:rFonts w:ascii="Times New Roman" w:hAnsi="宋体" w:eastAsia="宋体" w:cs="Times New Roman"/>
                <w:color w:val="000000"/>
                <w:kern w:val="0"/>
                <w:szCs w:val="21"/>
              </w:rPr>
              <w:t>（</w:t>
            </w:r>
            <w:r>
              <w:rPr>
                <w:rFonts w:ascii="Times New Roman" w:hAnsi="Times New Roman" w:eastAsia="宋体" w:cs="Times New Roman"/>
                <w:color w:val="000000"/>
                <w:kern w:val="0"/>
                <w:szCs w:val="21"/>
              </w:rPr>
              <w:t>2</w:t>
            </w:r>
            <w:r>
              <w:rPr>
                <w:rFonts w:ascii="Times New Roman" w:hAnsi="宋体" w:eastAsia="宋体" w:cs="Times New Roman"/>
                <w:color w:val="000000"/>
                <w:kern w:val="0"/>
                <w:szCs w:val="21"/>
              </w:rPr>
              <w:t>）能识读带控制点的工艺流程图、配管图、设备平面布置图等，并能进行简单的管路设计与布置；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widowControl/>
              <w:spacing w:line="360" w:lineRule="auto"/>
              <w:rPr>
                <w:rFonts w:ascii="Times New Roman" w:hAnsi="Times New Roman" w:eastAsia="宋体" w:cs="Times New Roman"/>
                <w:color w:val="000000"/>
                <w:kern w:val="0"/>
                <w:szCs w:val="21"/>
              </w:rPr>
            </w:pPr>
            <w:r>
              <w:rPr>
                <w:rFonts w:ascii="Times New Roman" w:hAnsi="宋体" w:eastAsia="宋体" w:cs="Times New Roman"/>
                <w:color w:val="000000"/>
                <w:kern w:val="0"/>
                <w:szCs w:val="21"/>
              </w:rPr>
              <w:t>（</w:t>
            </w:r>
            <w:r>
              <w:rPr>
                <w:rFonts w:ascii="Times New Roman" w:hAnsi="Times New Roman" w:eastAsia="宋体" w:cs="Times New Roman"/>
                <w:color w:val="000000"/>
                <w:kern w:val="0"/>
                <w:szCs w:val="21"/>
              </w:rPr>
              <w:t>3</w:t>
            </w:r>
            <w:r>
              <w:rPr>
                <w:rFonts w:ascii="Times New Roman" w:hAnsi="宋体" w:eastAsia="宋体" w:cs="Times New Roman"/>
                <w:color w:val="000000"/>
                <w:kern w:val="0"/>
                <w:szCs w:val="21"/>
              </w:rPr>
              <w:t>）能根据具体生产任务要求及物料特性，选择合适的单元操作及设备；</w:t>
            </w:r>
          </w:p>
        </w:tc>
        <w:tc>
          <w:tcPr>
            <w:tcW w:w="4144" w:type="dxa"/>
          </w:tcPr>
          <w:p>
            <w:pPr>
              <w:widowControl/>
              <w:spacing w:line="360" w:lineRule="auto"/>
              <w:rPr>
                <w:rFonts w:ascii="Times New Roman" w:hAnsi="Times New Roman" w:eastAsia="宋体" w:cs="Times New Roman"/>
                <w:color w:val="000000"/>
                <w:kern w:val="0"/>
                <w:szCs w:val="21"/>
              </w:rPr>
            </w:pPr>
            <w:r>
              <w:rPr>
                <w:rFonts w:ascii="Times New Roman" w:hAnsi="宋体" w:eastAsia="宋体" w:cs="Times New Roman"/>
                <w:color w:val="000000"/>
                <w:kern w:val="0"/>
                <w:szCs w:val="21"/>
              </w:rPr>
              <w:t>（</w:t>
            </w:r>
            <w:r>
              <w:rPr>
                <w:rFonts w:ascii="Times New Roman" w:hAnsi="Times New Roman" w:eastAsia="宋体" w:cs="Times New Roman"/>
                <w:color w:val="000000"/>
                <w:kern w:val="0"/>
                <w:szCs w:val="21"/>
              </w:rPr>
              <w:t>4</w:t>
            </w:r>
            <w:r>
              <w:rPr>
                <w:rFonts w:ascii="Times New Roman" w:hAnsi="宋体" w:eastAsia="宋体" w:cs="Times New Roman"/>
                <w:color w:val="000000"/>
                <w:kern w:val="0"/>
                <w:szCs w:val="21"/>
              </w:rPr>
              <w:t>）能进行单元操作工艺参数计算，并据此进行单元操作设备选型和设计；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widowControl/>
              <w:spacing w:line="360" w:lineRule="auto"/>
              <w:rPr>
                <w:rFonts w:ascii="Times New Roman" w:hAnsi="Times New Roman" w:eastAsia="宋体" w:cs="Times New Roman"/>
                <w:color w:val="000000"/>
                <w:kern w:val="0"/>
                <w:szCs w:val="21"/>
              </w:rPr>
            </w:pPr>
            <w:r>
              <w:rPr>
                <w:rFonts w:ascii="Times New Roman" w:hAnsi="宋体" w:eastAsia="宋体" w:cs="Times New Roman"/>
                <w:color w:val="000000"/>
                <w:kern w:val="0"/>
                <w:szCs w:val="21"/>
              </w:rPr>
              <w:t>（</w:t>
            </w:r>
            <w:r>
              <w:rPr>
                <w:rFonts w:ascii="Times New Roman" w:hAnsi="Times New Roman" w:eastAsia="宋体" w:cs="Times New Roman"/>
                <w:color w:val="000000"/>
                <w:kern w:val="0"/>
                <w:szCs w:val="21"/>
              </w:rPr>
              <w:t>5</w:t>
            </w:r>
            <w:r>
              <w:rPr>
                <w:rFonts w:ascii="Times New Roman" w:hAnsi="宋体" w:eastAsia="宋体" w:cs="Times New Roman"/>
                <w:color w:val="000000"/>
                <w:kern w:val="0"/>
                <w:szCs w:val="21"/>
              </w:rPr>
              <w:t>）能正确使用化工生产中的各种现场和远程仪表；</w:t>
            </w:r>
          </w:p>
        </w:tc>
        <w:tc>
          <w:tcPr>
            <w:tcW w:w="4144" w:type="dxa"/>
          </w:tcPr>
          <w:p>
            <w:pPr>
              <w:widowControl/>
              <w:spacing w:line="360" w:lineRule="auto"/>
              <w:rPr>
                <w:rFonts w:ascii="Times New Roman" w:hAnsi="Times New Roman" w:eastAsia="宋体" w:cs="Times New Roman"/>
                <w:color w:val="000000"/>
                <w:kern w:val="0"/>
                <w:szCs w:val="21"/>
              </w:rPr>
            </w:pPr>
            <w:r>
              <w:rPr>
                <w:rFonts w:ascii="Times New Roman" w:hAnsi="宋体" w:eastAsia="宋体" w:cs="Times New Roman"/>
                <w:color w:val="000000"/>
                <w:kern w:val="0"/>
                <w:szCs w:val="21"/>
              </w:rPr>
              <w:t>（</w:t>
            </w:r>
            <w:r>
              <w:rPr>
                <w:rFonts w:ascii="Times New Roman" w:hAnsi="Times New Roman" w:eastAsia="宋体" w:cs="Times New Roman"/>
                <w:color w:val="000000"/>
                <w:kern w:val="0"/>
                <w:szCs w:val="21"/>
              </w:rPr>
              <w:t>6</w:t>
            </w:r>
            <w:r>
              <w:rPr>
                <w:rFonts w:ascii="Times New Roman" w:hAnsi="宋体" w:eastAsia="宋体" w:cs="Times New Roman"/>
                <w:color w:val="000000"/>
                <w:kern w:val="0"/>
                <w:szCs w:val="21"/>
              </w:rPr>
              <w:t>）能对生产中出现的各种突发事件进行应急处理。</w:t>
            </w:r>
          </w:p>
        </w:tc>
      </w:tr>
    </w:tbl>
    <w:p>
      <w:pPr>
        <w:widowControl/>
        <w:spacing w:line="360" w:lineRule="auto"/>
        <w:rPr>
          <w:rFonts w:ascii="宋体" w:hAnsi="宋体" w:eastAsia="宋体" w:cs="宋体"/>
          <w:color w:val="000000"/>
          <w:kern w:val="0"/>
          <w:sz w:val="24"/>
        </w:rPr>
      </w:pPr>
      <w:r>
        <w:rPr>
          <w:rFonts w:hint="eastAsia" w:ascii="宋体" w:hAnsi="宋体" w:eastAsia="宋体" w:cs="宋体"/>
          <w:color w:val="000000"/>
          <w:kern w:val="0"/>
          <w:sz w:val="24"/>
        </w:rPr>
        <w:t>3．自身素质</w:t>
      </w:r>
    </w:p>
    <w:tbl>
      <w:tblPr>
        <w:tblStyle w:val="18"/>
        <w:tblW w:w="84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5" w:type="dxa"/>
          </w:tcPr>
          <w:p>
            <w:pPr>
              <w:widowControl/>
              <w:spacing w:line="360" w:lineRule="auto"/>
              <w:rPr>
                <w:rFonts w:ascii="Times New Roman" w:hAnsi="Times New Roman" w:eastAsia="宋体" w:cs="Times New Roman"/>
                <w:color w:val="000000"/>
                <w:kern w:val="0"/>
                <w:szCs w:val="21"/>
              </w:rPr>
            </w:pPr>
            <w:r>
              <w:rPr>
                <w:rFonts w:ascii="Times New Roman" w:hAnsi="宋体" w:eastAsia="宋体" w:cs="Times New Roman"/>
                <w:color w:val="000000"/>
                <w:kern w:val="0"/>
                <w:szCs w:val="21"/>
              </w:rPr>
              <w:t>（</w:t>
            </w:r>
            <w:r>
              <w:rPr>
                <w:rFonts w:ascii="Times New Roman" w:hAnsi="Times New Roman" w:eastAsia="宋体" w:cs="Times New Roman"/>
                <w:color w:val="000000"/>
                <w:kern w:val="0"/>
                <w:szCs w:val="21"/>
              </w:rPr>
              <w:t>1</w:t>
            </w:r>
            <w:r>
              <w:rPr>
                <w:rFonts w:ascii="Times New Roman" w:hAnsi="宋体" w:eastAsia="宋体" w:cs="Times New Roman"/>
                <w:color w:val="000000"/>
                <w:kern w:val="0"/>
                <w:szCs w:val="21"/>
              </w:rPr>
              <w:t>）培养学生自我学习、独立思考的能力，追求乐于探索、勇于创新的精神；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5" w:type="dxa"/>
          </w:tcPr>
          <w:p>
            <w:pPr>
              <w:widowControl/>
              <w:spacing w:line="360" w:lineRule="auto"/>
              <w:rPr>
                <w:rFonts w:ascii="Times New Roman" w:hAnsi="Times New Roman" w:eastAsia="宋体" w:cs="Times New Roman"/>
                <w:color w:val="000000"/>
                <w:kern w:val="0"/>
                <w:szCs w:val="21"/>
              </w:rPr>
            </w:pPr>
            <w:r>
              <w:rPr>
                <w:rFonts w:ascii="Times New Roman" w:hAnsi="宋体" w:eastAsia="宋体" w:cs="Times New Roman"/>
                <w:color w:val="000000"/>
                <w:kern w:val="0"/>
                <w:szCs w:val="21"/>
              </w:rPr>
              <w:t>（</w:t>
            </w:r>
            <w:r>
              <w:rPr>
                <w:rFonts w:ascii="Times New Roman" w:hAnsi="Times New Roman" w:eastAsia="宋体" w:cs="Times New Roman"/>
                <w:color w:val="000000"/>
                <w:kern w:val="0"/>
                <w:szCs w:val="21"/>
              </w:rPr>
              <w:t>2</w:t>
            </w:r>
            <w:r>
              <w:rPr>
                <w:rFonts w:ascii="Times New Roman" w:hAnsi="宋体" w:eastAsia="宋体" w:cs="Times New Roman"/>
                <w:color w:val="000000"/>
                <w:kern w:val="0"/>
                <w:szCs w:val="21"/>
              </w:rPr>
              <w:t>）培养学生获取和分析信息的能力素质，并能理论联系实际，综合分析化工生产实际问题并解决问题的能力；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5" w:type="dxa"/>
          </w:tcPr>
          <w:p>
            <w:pPr>
              <w:widowControl/>
              <w:spacing w:line="360" w:lineRule="auto"/>
              <w:rPr>
                <w:rFonts w:ascii="Times New Roman" w:hAnsi="Times New Roman" w:eastAsia="宋体" w:cs="Times New Roman"/>
                <w:color w:val="000000"/>
                <w:kern w:val="0"/>
                <w:szCs w:val="21"/>
              </w:rPr>
            </w:pPr>
            <w:r>
              <w:rPr>
                <w:rFonts w:ascii="Times New Roman" w:hAnsi="宋体" w:eastAsia="宋体" w:cs="Times New Roman"/>
                <w:color w:val="000000"/>
                <w:kern w:val="0"/>
                <w:szCs w:val="21"/>
              </w:rPr>
              <w:t>（</w:t>
            </w:r>
            <w:r>
              <w:rPr>
                <w:rFonts w:ascii="Times New Roman" w:hAnsi="Times New Roman" w:eastAsia="宋体" w:cs="Times New Roman"/>
                <w:color w:val="000000"/>
                <w:kern w:val="0"/>
                <w:szCs w:val="21"/>
              </w:rPr>
              <w:t>3</w:t>
            </w:r>
            <w:r>
              <w:rPr>
                <w:rFonts w:ascii="Times New Roman" w:hAnsi="宋体" w:eastAsia="宋体" w:cs="Times New Roman"/>
                <w:color w:val="000000"/>
                <w:kern w:val="0"/>
                <w:szCs w:val="21"/>
              </w:rPr>
              <w:t>）培养学生形成劳动保护、节能减排、安全生产、清洁生产的意识；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5" w:type="dxa"/>
          </w:tcPr>
          <w:p>
            <w:pPr>
              <w:widowControl/>
              <w:spacing w:line="360" w:lineRule="auto"/>
              <w:rPr>
                <w:rFonts w:ascii="Times New Roman" w:hAnsi="Times New Roman" w:eastAsia="宋体" w:cs="Times New Roman"/>
                <w:color w:val="000000"/>
                <w:kern w:val="0"/>
                <w:szCs w:val="21"/>
              </w:rPr>
            </w:pPr>
            <w:r>
              <w:rPr>
                <w:rFonts w:ascii="Times New Roman" w:hAnsi="宋体" w:eastAsia="宋体" w:cs="Times New Roman"/>
                <w:color w:val="000000"/>
                <w:kern w:val="0"/>
                <w:szCs w:val="21"/>
              </w:rPr>
              <w:t>（</w:t>
            </w:r>
            <w:r>
              <w:rPr>
                <w:rFonts w:ascii="Times New Roman" w:hAnsi="Times New Roman" w:eastAsia="宋体" w:cs="Times New Roman"/>
                <w:color w:val="000000"/>
                <w:kern w:val="0"/>
                <w:szCs w:val="21"/>
              </w:rPr>
              <w:t>4</w:t>
            </w:r>
            <w:r>
              <w:rPr>
                <w:rFonts w:ascii="Times New Roman" w:hAnsi="宋体" w:eastAsia="宋体" w:cs="Times New Roman"/>
                <w:color w:val="000000"/>
                <w:kern w:val="0"/>
                <w:szCs w:val="21"/>
              </w:rPr>
              <w:t>）培养学生团结合作、积极进取的精神；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5" w:type="dxa"/>
          </w:tcPr>
          <w:p>
            <w:pPr>
              <w:widowControl/>
              <w:spacing w:line="360" w:lineRule="auto"/>
              <w:rPr>
                <w:rFonts w:ascii="Times New Roman" w:hAnsi="Times New Roman" w:eastAsia="宋体" w:cs="Times New Roman"/>
                <w:color w:val="000000"/>
                <w:kern w:val="0"/>
                <w:szCs w:val="21"/>
              </w:rPr>
            </w:pPr>
            <w:r>
              <w:rPr>
                <w:rFonts w:ascii="Times New Roman" w:hAnsi="宋体" w:eastAsia="宋体" w:cs="Times New Roman"/>
                <w:color w:val="000000"/>
                <w:kern w:val="0"/>
                <w:szCs w:val="21"/>
              </w:rPr>
              <w:t>（</w:t>
            </w:r>
            <w:r>
              <w:rPr>
                <w:rFonts w:ascii="Times New Roman" w:hAnsi="Times New Roman" w:eastAsia="宋体" w:cs="Times New Roman"/>
                <w:color w:val="000000"/>
                <w:kern w:val="0"/>
                <w:szCs w:val="21"/>
              </w:rPr>
              <w:t>5</w:t>
            </w:r>
            <w:r>
              <w:rPr>
                <w:rFonts w:ascii="Times New Roman" w:hAnsi="宋体" w:eastAsia="宋体" w:cs="Times New Roman"/>
                <w:color w:val="000000"/>
                <w:kern w:val="0"/>
                <w:szCs w:val="21"/>
              </w:rPr>
              <w:t>）培养学生敬业爱岗、严格遵守操作规程的职业道德。</w:t>
            </w:r>
          </w:p>
        </w:tc>
      </w:tr>
    </w:tbl>
    <w:p>
      <w:pPr>
        <w:spacing w:line="360" w:lineRule="auto"/>
        <w:ind w:firstLine="480" w:firstLineChars="150"/>
        <w:rPr>
          <w:rFonts w:ascii="黑体" w:hAnsi="黑体" w:eastAsia="黑体" w:cs="Times New Roman"/>
          <w:sz w:val="32"/>
          <w:szCs w:val="32"/>
        </w:rPr>
      </w:pPr>
      <w:r>
        <w:rPr>
          <w:rFonts w:hint="eastAsia" w:ascii="黑体" w:hAnsi="黑体" w:eastAsia="黑体" w:cs="Times New Roman"/>
          <w:sz w:val="32"/>
          <w:szCs w:val="32"/>
        </w:rPr>
        <w:t>四、课程教学内容及学时分配</w:t>
      </w:r>
    </w:p>
    <w:p>
      <w:pPr>
        <w:spacing w:line="360" w:lineRule="auto"/>
        <w:ind w:firstLine="480" w:firstLineChars="200"/>
        <w:rPr>
          <w:rFonts w:ascii="宋体" w:hAnsi="宋体" w:eastAsia="宋体" w:cs="宋体"/>
          <w:kern w:val="0"/>
          <w:sz w:val="24"/>
        </w:rPr>
      </w:pPr>
      <w:r>
        <w:rPr>
          <w:rFonts w:hint="eastAsia" w:ascii="宋体" w:hAnsi="宋体" w:eastAsia="宋体" w:cs="宋体"/>
          <w:color w:val="000000"/>
          <w:kern w:val="0"/>
          <w:sz w:val="24"/>
        </w:rPr>
        <w:t>按企业常规的岗位设置及单元操作技术特点，将全课程分为三个领域、七个模块（即学习情境）。每个模块设置若干个教学项目，每个项目以具体的工作任务为对象实施。具体内容安排见</w:t>
      </w:r>
      <w:r>
        <w:rPr>
          <w:rFonts w:hint="eastAsia" w:ascii="宋体" w:hAnsi="宋体" w:eastAsia="宋体" w:cs="宋体"/>
          <w:kern w:val="0"/>
          <w:sz w:val="24"/>
        </w:rPr>
        <w:t>表4.3。</w:t>
      </w:r>
    </w:p>
    <w:p>
      <w:pPr>
        <w:spacing w:afterLines="50" w:line="360" w:lineRule="auto"/>
        <w:jc w:val="center"/>
        <w:rPr>
          <w:rFonts w:ascii="Times New Roman" w:hAnsi="Times New Roman" w:eastAsia="宋体" w:cs="Times New Roman"/>
          <w:kern w:val="0"/>
          <w:sz w:val="24"/>
        </w:rPr>
      </w:pPr>
      <w:r>
        <w:rPr>
          <w:rFonts w:ascii="Times New Roman" w:hAnsi="宋体" w:eastAsia="宋体" w:cs="Times New Roman"/>
          <w:kern w:val="0"/>
          <w:sz w:val="24"/>
        </w:rPr>
        <w:t>表</w:t>
      </w:r>
      <w:r>
        <w:rPr>
          <w:rFonts w:ascii="Times New Roman" w:hAnsi="Times New Roman" w:eastAsia="宋体" w:cs="Times New Roman"/>
          <w:kern w:val="0"/>
          <w:sz w:val="24"/>
        </w:rPr>
        <w:t>4.</w:t>
      </w:r>
      <w:r>
        <w:rPr>
          <w:rFonts w:ascii="宋体" w:hAnsi="宋体" w:eastAsia="宋体" w:cs="Times New Roman"/>
          <w:kern w:val="0"/>
          <w:sz w:val="24"/>
        </w:rPr>
        <w:t>1</w:t>
      </w:r>
      <w:r>
        <w:rPr>
          <w:rFonts w:hint="eastAsia" w:ascii="宋体" w:hAnsi="宋体" w:eastAsia="宋体" w:cs="Times New Roman"/>
          <w:kern w:val="0"/>
          <w:sz w:val="24"/>
        </w:rPr>
        <w:t>《</w:t>
      </w:r>
      <w:r>
        <w:rPr>
          <w:rFonts w:ascii="Times New Roman" w:hAnsi="宋体" w:eastAsia="宋体" w:cs="Times New Roman"/>
          <w:kern w:val="0"/>
          <w:sz w:val="24"/>
        </w:rPr>
        <w:t>化工单元操作</w:t>
      </w:r>
      <w:r>
        <w:rPr>
          <w:rFonts w:hint="eastAsia" w:ascii="宋体" w:hAnsi="宋体" w:eastAsia="宋体" w:cs="Times New Roman"/>
          <w:kern w:val="0"/>
          <w:sz w:val="24"/>
        </w:rPr>
        <w:t>》</w:t>
      </w:r>
      <w:r>
        <w:rPr>
          <w:rFonts w:ascii="Times New Roman" w:hAnsi="宋体" w:eastAsia="宋体" w:cs="Times New Roman"/>
          <w:kern w:val="0"/>
          <w:sz w:val="24"/>
        </w:rPr>
        <w:t>课程教学内容及学时安排</w:t>
      </w:r>
    </w:p>
    <w:tbl>
      <w:tblPr>
        <w:tblStyle w:val="18"/>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6"/>
        <w:gridCol w:w="2980"/>
        <w:gridCol w:w="2239"/>
        <w:gridCol w:w="1610"/>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 w:type="dxa"/>
          </w:tcPr>
          <w:p>
            <w:pPr>
              <w:snapToGrid w:val="0"/>
              <w:rPr>
                <w:rFonts w:ascii="宋体" w:hAnsi="宋体" w:eastAsia="宋体" w:cs="Times New Roman"/>
                <w:b/>
                <w:color w:val="000000"/>
                <w:szCs w:val="21"/>
              </w:rPr>
            </w:pPr>
            <w:r>
              <w:rPr>
                <w:rFonts w:ascii="宋体" w:hAnsi="宋体" w:eastAsia="宋体" w:cs="Times New Roman"/>
                <w:b/>
                <w:color w:val="000000"/>
                <w:szCs w:val="21"/>
              </w:rPr>
              <w:t>项目任务</w:t>
            </w:r>
          </w:p>
        </w:tc>
        <w:tc>
          <w:tcPr>
            <w:tcW w:w="2980" w:type="dxa"/>
          </w:tcPr>
          <w:p>
            <w:pPr>
              <w:snapToGrid w:val="0"/>
              <w:rPr>
                <w:rFonts w:ascii="宋体" w:hAnsi="宋体" w:eastAsia="宋体" w:cs="Times New Roman"/>
                <w:b/>
                <w:color w:val="000000"/>
                <w:szCs w:val="21"/>
              </w:rPr>
            </w:pPr>
            <w:r>
              <w:rPr>
                <w:rFonts w:ascii="宋体" w:hAnsi="宋体" w:eastAsia="宋体" w:cs="Times New Roman"/>
                <w:b/>
                <w:color w:val="000000"/>
                <w:szCs w:val="21"/>
              </w:rPr>
              <w:t>学习情境描述及目标</w:t>
            </w:r>
          </w:p>
        </w:tc>
        <w:tc>
          <w:tcPr>
            <w:tcW w:w="2239" w:type="dxa"/>
          </w:tcPr>
          <w:p>
            <w:pPr>
              <w:snapToGrid w:val="0"/>
              <w:rPr>
                <w:rFonts w:ascii="宋体" w:hAnsi="宋体" w:eastAsia="宋体" w:cs="Times New Roman"/>
                <w:b/>
                <w:color w:val="000000"/>
                <w:szCs w:val="21"/>
              </w:rPr>
            </w:pPr>
            <w:r>
              <w:rPr>
                <w:rFonts w:ascii="宋体" w:hAnsi="宋体" w:eastAsia="宋体" w:cs="Times New Roman"/>
                <w:b/>
                <w:color w:val="000000"/>
                <w:szCs w:val="21"/>
              </w:rPr>
              <w:t>学习内容</w:t>
            </w:r>
          </w:p>
        </w:tc>
        <w:tc>
          <w:tcPr>
            <w:tcW w:w="1610" w:type="dxa"/>
          </w:tcPr>
          <w:p>
            <w:pPr>
              <w:snapToGrid w:val="0"/>
              <w:rPr>
                <w:rFonts w:ascii="宋体" w:hAnsi="宋体" w:eastAsia="宋体" w:cs="Times New Roman"/>
                <w:b/>
                <w:color w:val="000000"/>
                <w:szCs w:val="21"/>
              </w:rPr>
            </w:pPr>
            <w:r>
              <w:rPr>
                <w:rFonts w:ascii="宋体" w:hAnsi="宋体" w:eastAsia="宋体" w:cs="Times New Roman"/>
                <w:b/>
                <w:color w:val="000000"/>
                <w:szCs w:val="21"/>
              </w:rPr>
              <w:t>技能要求</w:t>
            </w:r>
          </w:p>
        </w:tc>
        <w:tc>
          <w:tcPr>
            <w:tcW w:w="708" w:type="dxa"/>
          </w:tcPr>
          <w:p>
            <w:pPr>
              <w:snapToGrid w:val="0"/>
              <w:rPr>
                <w:rFonts w:ascii="宋体" w:hAnsi="宋体" w:eastAsia="宋体" w:cs="Times New Roman"/>
                <w:b/>
                <w:color w:val="000000"/>
                <w:szCs w:val="21"/>
              </w:rPr>
            </w:pPr>
            <w:r>
              <w:rPr>
                <w:rFonts w:ascii="宋体" w:hAnsi="宋体" w:eastAsia="宋体" w:cs="Times New Roman"/>
                <w:b/>
                <w:color w:val="000000"/>
                <w:szCs w:val="21"/>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 w:type="dxa"/>
          </w:tcPr>
          <w:p>
            <w:pPr>
              <w:snapToGrid w:val="0"/>
              <w:rPr>
                <w:rFonts w:ascii="宋体" w:hAnsi="宋体" w:eastAsia="宋体" w:cs="Times New Roman"/>
                <w:bCs/>
                <w:color w:val="000000"/>
                <w:kern w:val="0"/>
                <w:szCs w:val="21"/>
              </w:rPr>
            </w:pPr>
            <w:r>
              <w:rPr>
                <w:rFonts w:ascii="宋体" w:hAnsi="宋体" w:eastAsia="宋体" w:cs="Times New Roman"/>
                <w:bCs/>
                <w:color w:val="000000"/>
                <w:kern w:val="0"/>
                <w:szCs w:val="21"/>
              </w:rPr>
              <w:t>流体输送过程及设备的选择与操作</w:t>
            </w:r>
          </w:p>
        </w:tc>
        <w:tc>
          <w:tcPr>
            <w:tcW w:w="2980" w:type="dxa"/>
          </w:tcPr>
          <w:p>
            <w:pPr>
              <w:rPr>
                <w:rFonts w:ascii="宋体" w:hAnsi="宋体" w:eastAsia="宋体" w:cs="Times New Roman"/>
                <w:color w:val="000000"/>
                <w:szCs w:val="21"/>
              </w:rPr>
            </w:pPr>
            <w:r>
              <w:rPr>
                <w:rFonts w:ascii="宋体" w:hAnsi="宋体" w:eastAsia="宋体" w:cs="Times New Roman"/>
                <w:color w:val="000000"/>
                <w:szCs w:val="21"/>
              </w:rPr>
              <w:t>1</w:t>
            </w:r>
            <w:r>
              <w:rPr>
                <w:rFonts w:hint="eastAsia" w:ascii="宋体" w:hAnsi="宋体" w:eastAsia="宋体" w:cs="Times New Roman"/>
                <w:color w:val="000000"/>
                <w:szCs w:val="21"/>
              </w:rPr>
              <w:t>、</w:t>
            </w:r>
            <w:r>
              <w:rPr>
                <w:rFonts w:ascii="宋体" w:hAnsi="宋体" w:eastAsia="宋体" w:cs="Times New Roman"/>
                <w:color w:val="000000"/>
                <w:szCs w:val="21"/>
              </w:rPr>
              <w:t xml:space="preserve"> 常见化工管路的设计、安装</w:t>
            </w:r>
            <w:r>
              <w:rPr>
                <w:rFonts w:hint="eastAsia" w:ascii="宋体" w:hAnsi="宋体" w:eastAsia="宋体" w:cs="Times New Roman"/>
                <w:color w:val="000000"/>
                <w:szCs w:val="21"/>
              </w:rPr>
              <w:t>；</w:t>
            </w:r>
          </w:p>
          <w:p>
            <w:pPr>
              <w:rPr>
                <w:rFonts w:ascii="宋体" w:hAnsi="宋体" w:eastAsia="宋体" w:cs="Times New Roman"/>
                <w:color w:val="000000"/>
                <w:szCs w:val="21"/>
              </w:rPr>
            </w:pPr>
            <w:r>
              <w:rPr>
                <w:rFonts w:ascii="宋体" w:hAnsi="宋体" w:eastAsia="宋体" w:cs="Times New Roman"/>
                <w:color w:val="000000"/>
                <w:szCs w:val="21"/>
              </w:rPr>
              <w:t>2</w:t>
            </w:r>
            <w:r>
              <w:rPr>
                <w:rFonts w:hint="eastAsia" w:ascii="宋体" w:hAnsi="宋体" w:eastAsia="宋体" w:cs="Times New Roman"/>
                <w:color w:val="000000"/>
                <w:szCs w:val="21"/>
              </w:rPr>
              <w:t>、</w:t>
            </w:r>
            <w:r>
              <w:rPr>
                <w:rFonts w:ascii="宋体" w:hAnsi="宋体" w:eastAsia="宋体" w:cs="Times New Roman"/>
                <w:color w:val="000000"/>
                <w:szCs w:val="21"/>
              </w:rPr>
              <w:t>流体压力和液位的测量</w:t>
            </w:r>
            <w:r>
              <w:rPr>
                <w:rFonts w:hint="eastAsia" w:ascii="宋体" w:hAnsi="宋体" w:eastAsia="宋体" w:cs="Times New Roman"/>
                <w:color w:val="000000"/>
                <w:szCs w:val="21"/>
              </w:rPr>
              <w:t>；</w:t>
            </w:r>
          </w:p>
          <w:p>
            <w:pPr>
              <w:rPr>
                <w:rFonts w:ascii="宋体" w:hAnsi="宋体" w:eastAsia="宋体" w:cs="Times New Roman"/>
                <w:color w:val="000000"/>
                <w:szCs w:val="21"/>
              </w:rPr>
            </w:pPr>
            <w:r>
              <w:rPr>
                <w:rFonts w:ascii="宋体" w:hAnsi="宋体" w:eastAsia="宋体" w:cs="Times New Roman"/>
                <w:color w:val="000000"/>
                <w:szCs w:val="21"/>
              </w:rPr>
              <w:t>3</w:t>
            </w:r>
            <w:r>
              <w:rPr>
                <w:rFonts w:hint="eastAsia" w:ascii="宋体" w:hAnsi="宋体" w:eastAsia="宋体" w:cs="Times New Roman"/>
                <w:color w:val="000000"/>
                <w:szCs w:val="21"/>
              </w:rPr>
              <w:t>、</w:t>
            </w:r>
            <w:r>
              <w:rPr>
                <w:rFonts w:ascii="宋体" w:hAnsi="宋体" w:eastAsia="宋体" w:cs="Times New Roman"/>
                <w:color w:val="000000"/>
                <w:szCs w:val="21"/>
              </w:rPr>
              <w:t xml:space="preserve"> 流量的测量和调节</w:t>
            </w:r>
            <w:r>
              <w:rPr>
                <w:rFonts w:hint="eastAsia" w:ascii="宋体" w:hAnsi="宋体" w:eastAsia="宋体" w:cs="Times New Roman"/>
                <w:color w:val="000000"/>
                <w:szCs w:val="21"/>
              </w:rPr>
              <w:t>；</w:t>
            </w:r>
          </w:p>
          <w:p>
            <w:pPr>
              <w:rPr>
                <w:rFonts w:ascii="宋体" w:hAnsi="宋体" w:eastAsia="宋体" w:cs="Times New Roman"/>
                <w:color w:val="000000"/>
                <w:szCs w:val="21"/>
              </w:rPr>
            </w:pPr>
            <w:r>
              <w:rPr>
                <w:rFonts w:ascii="宋体" w:hAnsi="宋体" w:eastAsia="宋体" w:cs="Times New Roman"/>
                <w:color w:val="000000"/>
                <w:szCs w:val="21"/>
              </w:rPr>
              <w:t>4</w:t>
            </w:r>
            <w:r>
              <w:rPr>
                <w:rFonts w:hint="eastAsia" w:ascii="宋体" w:hAnsi="宋体" w:eastAsia="宋体" w:cs="Times New Roman"/>
                <w:color w:val="000000"/>
                <w:szCs w:val="21"/>
              </w:rPr>
              <w:t>、</w:t>
            </w:r>
            <w:r>
              <w:rPr>
                <w:rFonts w:ascii="宋体" w:hAnsi="宋体" w:eastAsia="宋体" w:cs="Times New Roman"/>
                <w:color w:val="000000"/>
                <w:szCs w:val="21"/>
              </w:rPr>
              <w:t>离心泵的选用、操作及安装</w:t>
            </w:r>
            <w:r>
              <w:rPr>
                <w:rFonts w:hint="eastAsia" w:ascii="宋体" w:hAnsi="宋体" w:eastAsia="宋体" w:cs="Times New Roman"/>
                <w:color w:val="000000"/>
                <w:szCs w:val="21"/>
              </w:rPr>
              <w:t>；</w:t>
            </w:r>
          </w:p>
          <w:p>
            <w:pPr>
              <w:rPr>
                <w:rFonts w:ascii="宋体" w:hAnsi="宋体" w:eastAsia="宋体" w:cs="Times New Roman"/>
                <w:color w:val="000000"/>
                <w:szCs w:val="21"/>
              </w:rPr>
            </w:pPr>
            <w:r>
              <w:rPr>
                <w:rFonts w:ascii="宋体" w:hAnsi="宋体" w:eastAsia="宋体" w:cs="Times New Roman"/>
                <w:color w:val="000000"/>
                <w:szCs w:val="21"/>
              </w:rPr>
              <w:t>5</w:t>
            </w:r>
            <w:r>
              <w:rPr>
                <w:rFonts w:hint="eastAsia" w:ascii="宋体" w:hAnsi="宋体" w:eastAsia="宋体" w:cs="Times New Roman"/>
                <w:color w:val="000000"/>
                <w:szCs w:val="21"/>
              </w:rPr>
              <w:t>、</w:t>
            </w:r>
            <w:r>
              <w:rPr>
                <w:rFonts w:ascii="宋体" w:hAnsi="宋体" w:eastAsia="宋体" w:cs="Times New Roman"/>
                <w:color w:val="000000"/>
                <w:szCs w:val="21"/>
              </w:rPr>
              <w:t xml:space="preserve"> 其它流体输送设备的应用</w:t>
            </w:r>
            <w:r>
              <w:rPr>
                <w:rFonts w:hint="eastAsia" w:ascii="宋体" w:hAnsi="宋体" w:eastAsia="宋体" w:cs="Times New Roman"/>
                <w:color w:val="000000"/>
                <w:szCs w:val="21"/>
              </w:rPr>
              <w:t>；</w:t>
            </w:r>
          </w:p>
          <w:p>
            <w:pPr>
              <w:rPr>
                <w:rFonts w:ascii="宋体" w:hAnsi="宋体" w:eastAsia="宋体" w:cs="Times New Roman"/>
                <w:color w:val="000000"/>
                <w:kern w:val="0"/>
                <w:szCs w:val="21"/>
              </w:rPr>
            </w:pPr>
            <w:r>
              <w:rPr>
                <w:rFonts w:ascii="宋体" w:hAnsi="宋体" w:eastAsia="宋体" w:cs="Times New Roman"/>
                <w:color w:val="000000"/>
                <w:szCs w:val="21"/>
              </w:rPr>
              <w:t>6.</w:t>
            </w:r>
            <w:r>
              <w:rPr>
                <w:rFonts w:hint="eastAsia" w:ascii="宋体" w:hAnsi="宋体" w:eastAsia="宋体" w:cs="Times New Roman"/>
                <w:color w:val="000000"/>
                <w:szCs w:val="21"/>
              </w:rPr>
              <w:t>、</w:t>
            </w:r>
            <w:r>
              <w:rPr>
                <w:rFonts w:ascii="宋体" w:hAnsi="宋体" w:eastAsia="宋体" w:cs="Times New Roman"/>
                <w:color w:val="000000"/>
                <w:szCs w:val="21"/>
              </w:rPr>
              <w:t>管道拆装实训</w:t>
            </w:r>
            <w:r>
              <w:rPr>
                <w:rFonts w:hint="eastAsia" w:ascii="宋体" w:hAnsi="宋体" w:eastAsia="宋体" w:cs="Times New Roman"/>
                <w:color w:val="000000"/>
                <w:szCs w:val="21"/>
              </w:rPr>
              <w:t>。</w:t>
            </w:r>
          </w:p>
        </w:tc>
        <w:tc>
          <w:tcPr>
            <w:tcW w:w="2239" w:type="dxa"/>
          </w:tcPr>
          <w:p>
            <w:pPr>
              <w:rPr>
                <w:rFonts w:ascii="宋体" w:hAnsi="宋体" w:eastAsia="宋体" w:cs="Times New Roman"/>
                <w:color w:val="000000"/>
                <w:szCs w:val="21"/>
              </w:rPr>
            </w:pPr>
            <w:r>
              <w:rPr>
                <w:rFonts w:hint="eastAsia" w:ascii="宋体" w:hAnsi="宋体" w:eastAsia="宋体" w:cs="Times New Roman"/>
                <w:color w:val="000000"/>
                <w:szCs w:val="21"/>
              </w:rPr>
              <w:t>1、</w:t>
            </w:r>
            <w:r>
              <w:rPr>
                <w:rFonts w:ascii="宋体" w:hAnsi="宋体" w:eastAsia="宋体" w:cs="Times New Roman"/>
                <w:color w:val="000000"/>
                <w:szCs w:val="21"/>
              </w:rPr>
              <w:t>流体流动基本原理</w:t>
            </w:r>
            <w:r>
              <w:rPr>
                <w:rFonts w:hint="eastAsia" w:ascii="宋体" w:hAnsi="宋体" w:eastAsia="宋体" w:cs="Times New Roman"/>
                <w:color w:val="000000"/>
                <w:szCs w:val="21"/>
              </w:rPr>
              <w:t>，</w:t>
            </w:r>
            <w:r>
              <w:rPr>
                <w:rFonts w:ascii="宋体" w:hAnsi="宋体" w:eastAsia="宋体" w:cs="Times New Roman"/>
                <w:color w:val="000000"/>
                <w:szCs w:val="21"/>
              </w:rPr>
              <w:t>连续性方程，柏努利方程，范宁公式及应用</w:t>
            </w:r>
            <w:r>
              <w:rPr>
                <w:rFonts w:hint="eastAsia" w:ascii="宋体" w:hAnsi="宋体" w:eastAsia="宋体" w:cs="Times New Roman"/>
                <w:color w:val="000000"/>
                <w:szCs w:val="21"/>
              </w:rPr>
              <w:t>；</w:t>
            </w:r>
          </w:p>
          <w:p>
            <w:pPr>
              <w:rPr>
                <w:rFonts w:ascii="宋体" w:hAnsi="宋体" w:eastAsia="宋体" w:cs="Times New Roman"/>
                <w:color w:val="000000"/>
                <w:szCs w:val="21"/>
              </w:rPr>
            </w:pPr>
            <w:r>
              <w:rPr>
                <w:rFonts w:hint="eastAsia" w:ascii="宋体" w:hAnsi="宋体" w:eastAsia="宋体" w:cs="Times New Roman"/>
                <w:color w:val="000000"/>
                <w:szCs w:val="21"/>
              </w:rPr>
              <w:t>2、</w:t>
            </w:r>
            <w:r>
              <w:rPr>
                <w:rFonts w:ascii="宋体" w:hAnsi="宋体" w:eastAsia="宋体" w:cs="Times New Roman"/>
                <w:color w:val="000000"/>
                <w:szCs w:val="21"/>
              </w:rPr>
              <w:t>离心泵的原理及选用安装计算</w:t>
            </w:r>
            <w:r>
              <w:rPr>
                <w:rFonts w:hint="eastAsia" w:ascii="宋体" w:hAnsi="宋体" w:eastAsia="宋体" w:cs="Times New Roman"/>
                <w:color w:val="000000"/>
                <w:szCs w:val="21"/>
              </w:rPr>
              <w:t>。</w:t>
            </w:r>
          </w:p>
        </w:tc>
        <w:tc>
          <w:tcPr>
            <w:tcW w:w="1610" w:type="dxa"/>
          </w:tcPr>
          <w:p>
            <w:pPr>
              <w:rPr>
                <w:rFonts w:ascii="宋体" w:hAnsi="宋体" w:eastAsia="宋体" w:cs="Times New Roman"/>
                <w:color w:val="000000"/>
                <w:szCs w:val="21"/>
              </w:rPr>
            </w:pPr>
            <w:r>
              <w:rPr>
                <w:rFonts w:hint="eastAsia" w:ascii="宋体" w:hAnsi="宋体" w:eastAsia="宋体" w:cs="Times New Roman"/>
                <w:color w:val="000000"/>
                <w:szCs w:val="21"/>
              </w:rPr>
              <w:t>1、</w:t>
            </w:r>
            <w:r>
              <w:rPr>
                <w:rFonts w:ascii="宋体" w:hAnsi="宋体" w:eastAsia="宋体" w:cs="Times New Roman"/>
                <w:color w:val="000000"/>
                <w:szCs w:val="21"/>
              </w:rPr>
              <w:t>流量、压力的测量控制</w:t>
            </w:r>
            <w:r>
              <w:rPr>
                <w:rFonts w:hint="eastAsia" w:ascii="宋体" w:hAnsi="宋体" w:eastAsia="宋体" w:cs="Times New Roman"/>
                <w:color w:val="000000"/>
                <w:szCs w:val="21"/>
              </w:rPr>
              <w:t>；</w:t>
            </w:r>
          </w:p>
          <w:p>
            <w:pPr>
              <w:rPr>
                <w:rFonts w:ascii="宋体" w:hAnsi="宋体" w:eastAsia="宋体" w:cs="Times New Roman"/>
                <w:color w:val="000000"/>
                <w:szCs w:val="21"/>
              </w:rPr>
            </w:pPr>
            <w:r>
              <w:rPr>
                <w:rFonts w:hint="eastAsia" w:ascii="宋体" w:hAnsi="宋体" w:eastAsia="宋体" w:cs="Times New Roman"/>
                <w:color w:val="000000"/>
                <w:szCs w:val="21"/>
              </w:rPr>
              <w:t>2、</w:t>
            </w:r>
            <w:r>
              <w:rPr>
                <w:rFonts w:ascii="宋体" w:hAnsi="宋体" w:eastAsia="宋体" w:cs="Times New Roman"/>
                <w:color w:val="000000"/>
                <w:szCs w:val="21"/>
              </w:rPr>
              <w:t>管路系统的计算设计</w:t>
            </w:r>
            <w:r>
              <w:rPr>
                <w:rFonts w:hint="eastAsia" w:ascii="宋体" w:hAnsi="宋体" w:eastAsia="宋体" w:cs="Times New Roman"/>
                <w:color w:val="000000"/>
                <w:szCs w:val="21"/>
              </w:rPr>
              <w:t>；</w:t>
            </w:r>
          </w:p>
          <w:p>
            <w:pPr>
              <w:rPr>
                <w:rFonts w:ascii="宋体" w:hAnsi="宋体" w:eastAsia="宋体" w:cs="Times New Roman"/>
                <w:color w:val="000000"/>
                <w:szCs w:val="21"/>
              </w:rPr>
            </w:pPr>
            <w:r>
              <w:rPr>
                <w:rFonts w:hint="eastAsia" w:ascii="宋体" w:hAnsi="宋体" w:eastAsia="宋体" w:cs="Times New Roman"/>
                <w:color w:val="000000"/>
                <w:szCs w:val="21"/>
              </w:rPr>
              <w:t>3、</w:t>
            </w:r>
            <w:r>
              <w:rPr>
                <w:rFonts w:ascii="宋体" w:hAnsi="宋体" w:eastAsia="宋体" w:cs="Times New Roman"/>
                <w:color w:val="000000"/>
                <w:szCs w:val="21"/>
              </w:rPr>
              <w:t>离心泵的选用及安装、操作</w:t>
            </w:r>
            <w:r>
              <w:rPr>
                <w:rFonts w:hint="eastAsia" w:ascii="宋体" w:hAnsi="宋体" w:eastAsia="宋体" w:cs="Times New Roman"/>
                <w:color w:val="000000"/>
                <w:szCs w:val="21"/>
              </w:rPr>
              <w:t>。</w:t>
            </w:r>
          </w:p>
        </w:tc>
        <w:tc>
          <w:tcPr>
            <w:tcW w:w="708" w:type="dxa"/>
            <w:vAlign w:val="center"/>
          </w:tcPr>
          <w:p>
            <w:pPr>
              <w:snapToGrid w:val="0"/>
              <w:jc w:val="center"/>
              <w:rPr>
                <w:rFonts w:ascii="宋体" w:hAnsi="宋体" w:eastAsia="宋体" w:cs="Times New Roman"/>
                <w:color w:val="000000"/>
                <w:kern w:val="0"/>
                <w:szCs w:val="21"/>
              </w:rPr>
            </w:pPr>
            <w:r>
              <w:rPr>
                <w:rFonts w:hint="eastAsia" w:ascii="宋体" w:hAnsi="宋体" w:eastAsia="宋体" w:cs="Times New Roman"/>
                <w:color w:val="000000"/>
                <w:kern w:val="0"/>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 w:type="dxa"/>
          </w:tcPr>
          <w:p>
            <w:pPr>
              <w:snapToGrid w:val="0"/>
              <w:rPr>
                <w:rFonts w:ascii="宋体" w:hAnsi="宋体" w:eastAsia="宋体" w:cs="Times New Roman"/>
                <w:bCs/>
                <w:color w:val="000000"/>
                <w:kern w:val="0"/>
                <w:szCs w:val="21"/>
              </w:rPr>
            </w:pPr>
            <w:r>
              <w:rPr>
                <w:rFonts w:ascii="宋体" w:hAnsi="宋体" w:eastAsia="宋体" w:cs="Times New Roman"/>
                <w:bCs/>
                <w:color w:val="000000"/>
                <w:kern w:val="0"/>
                <w:szCs w:val="21"/>
              </w:rPr>
              <w:t>非均相物系分离方案及设备的选择与操作</w:t>
            </w:r>
          </w:p>
        </w:tc>
        <w:tc>
          <w:tcPr>
            <w:tcW w:w="2980" w:type="dxa"/>
          </w:tcPr>
          <w:p>
            <w:pPr>
              <w:rPr>
                <w:rFonts w:ascii="宋体" w:hAnsi="宋体" w:eastAsia="宋体" w:cs="Times New Roman"/>
                <w:color w:val="000000"/>
                <w:szCs w:val="21"/>
              </w:rPr>
            </w:pPr>
            <w:r>
              <w:rPr>
                <w:rFonts w:ascii="宋体" w:hAnsi="宋体" w:eastAsia="宋体" w:cs="Times New Roman"/>
                <w:color w:val="000000"/>
                <w:szCs w:val="21"/>
              </w:rPr>
              <w:t>1</w:t>
            </w:r>
            <w:r>
              <w:rPr>
                <w:rFonts w:hint="eastAsia" w:ascii="宋体" w:hAnsi="宋体" w:eastAsia="宋体" w:cs="Times New Roman"/>
                <w:color w:val="000000"/>
                <w:szCs w:val="21"/>
              </w:rPr>
              <w:t>、</w:t>
            </w:r>
            <w:r>
              <w:rPr>
                <w:rFonts w:ascii="宋体" w:hAnsi="宋体" w:eastAsia="宋体" w:cs="Times New Roman"/>
                <w:color w:val="000000"/>
                <w:szCs w:val="21"/>
              </w:rPr>
              <w:t>气固分离流程及设备选择</w:t>
            </w:r>
            <w:r>
              <w:rPr>
                <w:rFonts w:hint="eastAsia" w:ascii="宋体" w:hAnsi="宋体" w:eastAsia="宋体" w:cs="Times New Roman"/>
                <w:color w:val="000000"/>
                <w:szCs w:val="21"/>
              </w:rPr>
              <w:t>；</w:t>
            </w:r>
          </w:p>
          <w:p>
            <w:pPr>
              <w:rPr>
                <w:rFonts w:ascii="宋体" w:hAnsi="宋体" w:eastAsia="宋体" w:cs="Times New Roman"/>
                <w:color w:val="000000"/>
                <w:szCs w:val="21"/>
              </w:rPr>
            </w:pPr>
            <w:r>
              <w:rPr>
                <w:rFonts w:ascii="宋体" w:hAnsi="宋体" w:eastAsia="宋体" w:cs="Times New Roman"/>
                <w:color w:val="000000"/>
                <w:szCs w:val="21"/>
              </w:rPr>
              <w:t>2</w:t>
            </w:r>
            <w:r>
              <w:rPr>
                <w:rFonts w:hint="eastAsia" w:ascii="宋体" w:hAnsi="宋体" w:eastAsia="宋体" w:cs="Times New Roman"/>
                <w:color w:val="000000"/>
                <w:szCs w:val="21"/>
              </w:rPr>
              <w:t>、</w:t>
            </w:r>
            <w:r>
              <w:rPr>
                <w:rFonts w:ascii="宋体" w:hAnsi="宋体" w:eastAsia="宋体" w:cs="Times New Roman"/>
                <w:color w:val="000000"/>
                <w:szCs w:val="21"/>
              </w:rPr>
              <w:t>液固分离设备的认识、操作</w:t>
            </w:r>
            <w:r>
              <w:rPr>
                <w:rFonts w:hint="eastAsia" w:ascii="宋体" w:hAnsi="宋体" w:eastAsia="宋体" w:cs="Times New Roman"/>
                <w:color w:val="000000"/>
                <w:szCs w:val="21"/>
              </w:rPr>
              <w:t>；</w:t>
            </w:r>
          </w:p>
          <w:p>
            <w:pPr>
              <w:snapToGrid w:val="0"/>
              <w:rPr>
                <w:rFonts w:ascii="宋体" w:hAnsi="宋体" w:eastAsia="宋体" w:cs="Times New Roman"/>
                <w:color w:val="000000"/>
                <w:kern w:val="0"/>
                <w:szCs w:val="21"/>
              </w:rPr>
            </w:pPr>
            <w:r>
              <w:rPr>
                <w:rFonts w:ascii="宋体" w:hAnsi="宋体" w:eastAsia="宋体" w:cs="Times New Roman"/>
                <w:color w:val="000000"/>
                <w:szCs w:val="21"/>
              </w:rPr>
              <w:t>3</w:t>
            </w:r>
            <w:r>
              <w:rPr>
                <w:rFonts w:hint="eastAsia" w:ascii="宋体" w:hAnsi="宋体" w:eastAsia="宋体" w:cs="Times New Roman"/>
                <w:color w:val="000000"/>
                <w:szCs w:val="21"/>
              </w:rPr>
              <w:t>、</w:t>
            </w:r>
            <w:r>
              <w:rPr>
                <w:rFonts w:ascii="宋体" w:hAnsi="宋体" w:eastAsia="宋体" w:cs="Times New Roman"/>
                <w:color w:val="000000"/>
                <w:szCs w:val="21"/>
              </w:rPr>
              <w:t xml:space="preserve"> 板框压滤机的操作</w:t>
            </w:r>
            <w:r>
              <w:rPr>
                <w:rFonts w:hint="eastAsia" w:ascii="宋体" w:hAnsi="宋体" w:eastAsia="宋体" w:cs="Times New Roman"/>
                <w:color w:val="000000"/>
                <w:szCs w:val="21"/>
              </w:rPr>
              <w:t>。</w:t>
            </w:r>
          </w:p>
        </w:tc>
        <w:tc>
          <w:tcPr>
            <w:tcW w:w="2239" w:type="dxa"/>
          </w:tcPr>
          <w:p>
            <w:pPr>
              <w:rPr>
                <w:rFonts w:ascii="宋体" w:hAnsi="宋体" w:eastAsia="宋体" w:cs="Times New Roman"/>
                <w:color w:val="000000"/>
                <w:szCs w:val="21"/>
              </w:rPr>
            </w:pPr>
            <w:r>
              <w:rPr>
                <w:rFonts w:hint="eastAsia" w:ascii="宋体" w:hAnsi="宋体" w:eastAsia="宋体" w:cs="Times New Roman"/>
                <w:color w:val="000000"/>
                <w:szCs w:val="21"/>
              </w:rPr>
              <w:t>1、</w:t>
            </w:r>
            <w:r>
              <w:rPr>
                <w:rFonts w:ascii="宋体" w:hAnsi="宋体" w:eastAsia="宋体" w:cs="Times New Roman"/>
                <w:color w:val="000000"/>
                <w:szCs w:val="21"/>
              </w:rPr>
              <w:t>重力沉降原理，沉降速度的计算；沉降室、旋风分离器等设备的结构和工作原理</w:t>
            </w:r>
            <w:r>
              <w:rPr>
                <w:rFonts w:hint="eastAsia" w:ascii="宋体" w:hAnsi="宋体" w:eastAsia="宋体" w:cs="Times New Roman"/>
                <w:color w:val="000000"/>
                <w:szCs w:val="21"/>
              </w:rPr>
              <w:t>；</w:t>
            </w:r>
          </w:p>
          <w:p>
            <w:pPr>
              <w:snapToGrid w:val="0"/>
              <w:rPr>
                <w:rFonts w:ascii="宋体" w:hAnsi="宋体" w:eastAsia="宋体" w:cs="Times New Roman"/>
                <w:color w:val="000000"/>
                <w:szCs w:val="21"/>
              </w:rPr>
            </w:pPr>
            <w:r>
              <w:rPr>
                <w:rFonts w:hint="eastAsia" w:ascii="宋体" w:hAnsi="宋体" w:eastAsia="宋体" w:cs="Times New Roman"/>
                <w:color w:val="000000"/>
                <w:szCs w:val="21"/>
              </w:rPr>
              <w:t>2、</w:t>
            </w:r>
            <w:r>
              <w:rPr>
                <w:rFonts w:ascii="宋体" w:hAnsi="宋体" w:eastAsia="宋体" w:cs="Times New Roman"/>
                <w:color w:val="000000"/>
                <w:szCs w:val="21"/>
              </w:rPr>
              <w:t>过滤基本概念，板框过滤机的工作原理和特点</w:t>
            </w:r>
            <w:r>
              <w:rPr>
                <w:rFonts w:hint="eastAsia" w:ascii="宋体" w:hAnsi="宋体" w:eastAsia="宋体" w:cs="Times New Roman"/>
                <w:color w:val="000000"/>
                <w:szCs w:val="21"/>
              </w:rPr>
              <w:t>。</w:t>
            </w:r>
          </w:p>
        </w:tc>
        <w:tc>
          <w:tcPr>
            <w:tcW w:w="1610" w:type="dxa"/>
          </w:tcPr>
          <w:p>
            <w:pPr>
              <w:snapToGrid w:val="0"/>
              <w:rPr>
                <w:rFonts w:ascii="宋体" w:hAnsi="宋体" w:eastAsia="宋体" w:cs="Times New Roman"/>
                <w:color w:val="000000"/>
                <w:szCs w:val="21"/>
              </w:rPr>
            </w:pPr>
            <w:r>
              <w:rPr>
                <w:rFonts w:hint="eastAsia" w:ascii="宋体" w:hAnsi="宋体" w:eastAsia="宋体" w:cs="Times New Roman"/>
                <w:color w:val="000000"/>
                <w:szCs w:val="21"/>
              </w:rPr>
              <w:t>1、</w:t>
            </w:r>
            <w:r>
              <w:rPr>
                <w:rFonts w:ascii="宋体" w:hAnsi="宋体" w:eastAsia="宋体" w:cs="Times New Roman"/>
                <w:color w:val="000000"/>
                <w:szCs w:val="21"/>
              </w:rPr>
              <w:t>能根据沉降、过滤的原理，正确合理的选择除尘器、过滤器</w:t>
            </w:r>
            <w:r>
              <w:rPr>
                <w:rFonts w:hint="eastAsia" w:ascii="宋体" w:hAnsi="宋体" w:eastAsia="宋体" w:cs="Times New Roman"/>
                <w:color w:val="000000"/>
                <w:szCs w:val="21"/>
              </w:rPr>
              <w:t>；</w:t>
            </w:r>
          </w:p>
          <w:p>
            <w:pPr>
              <w:snapToGrid w:val="0"/>
              <w:rPr>
                <w:rFonts w:ascii="宋体" w:hAnsi="宋体" w:eastAsia="宋体" w:cs="Times New Roman"/>
                <w:color w:val="000000"/>
                <w:szCs w:val="21"/>
              </w:rPr>
            </w:pPr>
            <w:r>
              <w:rPr>
                <w:rFonts w:hint="eastAsia" w:ascii="宋体" w:hAnsi="宋体" w:eastAsia="宋体" w:cs="Times New Roman"/>
                <w:color w:val="000000"/>
                <w:szCs w:val="21"/>
              </w:rPr>
              <w:t>2、</w:t>
            </w:r>
            <w:r>
              <w:rPr>
                <w:rFonts w:ascii="宋体" w:hAnsi="宋体" w:eastAsia="宋体" w:cs="Times New Roman"/>
                <w:color w:val="000000"/>
                <w:szCs w:val="21"/>
              </w:rPr>
              <w:t>正确操作板框过滤机</w:t>
            </w:r>
            <w:r>
              <w:rPr>
                <w:rFonts w:hint="eastAsia" w:ascii="宋体" w:hAnsi="宋体" w:eastAsia="宋体" w:cs="Times New Roman"/>
                <w:color w:val="000000"/>
                <w:szCs w:val="21"/>
              </w:rPr>
              <w:t>。</w:t>
            </w:r>
          </w:p>
        </w:tc>
        <w:tc>
          <w:tcPr>
            <w:tcW w:w="708" w:type="dxa"/>
            <w:vAlign w:val="center"/>
          </w:tcPr>
          <w:p>
            <w:pPr>
              <w:snapToGrid w:val="0"/>
              <w:jc w:val="center"/>
              <w:rPr>
                <w:rFonts w:ascii="宋体" w:hAnsi="宋体" w:eastAsia="宋体" w:cs="Times New Roman"/>
                <w:color w:val="000000"/>
                <w:kern w:val="0"/>
                <w:szCs w:val="21"/>
              </w:rPr>
            </w:pPr>
            <w:r>
              <w:rPr>
                <w:rFonts w:ascii="宋体" w:hAnsi="宋体" w:eastAsia="宋体" w:cs="Times New Roman"/>
                <w:color w:val="000000"/>
                <w:kern w:val="0"/>
                <w:szCs w:val="21"/>
              </w:rPr>
              <w:t>1</w:t>
            </w:r>
            <w:r>
              <w:rPr>
                <w:rFonts w:hint="eastAsia" w:ascii="宋体" w:hAnsi="宋体" w:eastAsia="宋体" w:cs="Times New Roman"/>
                <w:color w:val="000000"/>
                <w:kern w:val="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 w:type="dxa"/>
          </w:tcPr>
          <w:p>
            <w:pPr>
              <w:rPr>
                <w:rFonts w:ascii="宋体" w:hAnsi="宋体" w:eastAsia="宋体" w:cs="Times New Roman"/>
                <w:bCs/>
                <w:color w:val="000000"/>
                <w:kern w:val="0"/>
                <w:szCs w:val="21"/>
              </w:rPr>
            </w:pPr>
            <w:r>
              <w:rPr>
                <w:rFonts w:ascii="宋体" w:hAnsi="宋体" w:eastAsia="宋体" w:cs="Times New Roman"/>
                <w:bCs/>
                <w:color w:val="000000"/>
                <w:kern w:val="0"/>
                <w:szCs w:val="21"/>
              </w:rPr>
              <w:t>传热过程及设备的选择与操作</w:t>
            </w:r>
          </w:p>
        </w:tc>
        <w:tc>
          <w:tcPr>
            <w:tcW w:w="2980" w:type="dxa"/>
          </w:tcPr>
          <w:p>
            <w:pPr>
              <w:rPr>
                <w:rFonts w:ascii="宋体" w:hAnsi="宋体" w:eastAsia="宋体" w:cs="Times New Roman"/>
                <w:color w:val="000000"/>
                <w:szCs w:val="21"/>
              </w:rPr>
            </w:pPr>
            <w:r>
              <w:rPr>
                <w:rFonts w:ascii="宋体" w:hAnsi="宋体" w:eastAsia="宋体" w:cs="Times New Roman"/>
                <w:color w:val="000000"/>
                <w:szCs w:val="21"/>
              </w:rPr>
              <w:t>1. 传热介质选择及用量确定</w:t>
            </w:r>
            <w:r>
              <w:rPr>
                <w:rFonts w:hint="eastAsia" w:ascii="宋体" w:hAnsi="宋体" w:eastAsia="宋体" w:cs="Times New Roman"/>
                <w:color w:val="000000"/>
                <w:szCs w:val="21"/>
              </w:rPr>
              <w:t>；</w:t>
            </w:r>
          </w:p>
          <w:p>
            <w:pPr>
              <w:rPr>
                <w:rFonts w:ascii="宋体" w:hAnsi="宋体" w:eastAsia="宋体" w:cs="Times New Roman"/>
                <w:color w:val="000000"/>
                <w:szCs w:val="21"/>
              </w:rPr>
            </w:pPr>
            <w:r>
              <w:rPr>
                <w:rFonts w:ascii="宋体" w:hAnsi="宋体" w:eastAsia="宋体" w:cs="Times New Roman"/>
                <w:color w:val="000000"/>
                <w:szCs w:val="21"/>
              </w:rPr>
              <w:t>2. 化工设备保温材料的选择和保温层厚度的计算</w:t>
            </w:r>
            <w:r>
              <w:rPr>
                <w:rFonts w:hint="eastAsia" w:ascii="宋体" w:hAnsi="宋体" w:eastAsia="宋体" w:cs="Times New Roman"/>
                <w:color w:val="000000"/>
                <w:szCs w:val="21"/>
              </w:rPr>
              <w:t>；</w:t>
            </w:r>
          </w:p>
          <w:p>
            <w:pPr>
              <w:rPr>
                <w:rFonts w:ascii="宋体" w:hAnsi="宋体" w:eastAsia="宋体" w:cs="Times New Roman"/>
                <w:color w:val="000000"/>
                <w:szCs w:val="21"/>
              </w:rPr>
            </w:pPr>
            <w:r>
              <w:rPr>
                <w:rFonts w:hint="eastAsia" w:ascii="宋体" w:hAnsi="宋体" w:eastAsia="宋体" w:cs="Times New Roman"/>
                <w:color w:val="000000"/>
                <w:szCs w:val="21"/>
              </w:rPr>
              <w:t>3.</w:t>
            </w:r>
            <w:r>
              <w:rPr>
                <w:rFonts w:ascii="宋体" w:hAnsi="宋体" w:eastAsia="宋体" w:cs="Times New Roman"/>
                <w:color w:val="000000"/>
                <w:szCs w:val="21"/>
              </w:rPr>
              <w:t>换热器的选择</w:t>
            </w:r>
            <w:r>
              <w:rPr>
                <w:rFonts w:hint="eastAsia" w:ascii="宋体" w:hAnsi="宋体" w:eastAsia="宋体" w:cs="Times New Roman"/>
                <w:color w:val="000000"/>
                <w:szCs w:val="21"/>
              </w:rPr>
              <w:t>；</w:t>
            </w:r>
          </w:p>
          <w:p>
            <w:pPr>
              <w:rPr>
                <w:rFonts w:ascii="宋体" w:hAnsi="宋体" w:eastAsia="宋体" w:cs="Times New Roman"/>
                <w:color w:val="000000"/>
                <w:szCs w:val="21"/>
              </w:rPr>
            </w:pPr>
            <w:r>
              <w:rPr>
                <w:rFonts w:ascii="宋体" w:hAnsi="宋体" w:eastAsia="宋体" w:cs="Times New Roman"/>
                <w:color w:val="000000"/>
                <w:szCs w:val="21"/>
              </w:rPr>
              <w:t>4. 换热器的操作</w:t>
            </w:r>
            <w:r>
              <w:rPr>
                <w:rFonts w:hint="eastAsia" w:ascii="宋体" w:hAnsi="宋体" w:eastAsia="宋体" w:cs="Times New Roman"/>
                <w:color w:val="000000"/>
                <w:szCs w:val="21"/>
              </w:rPr>
              <w:t>。</w:t>
            </w:r>
          </w:p>
        </w:tc>
        <w:tc>
          <w:tcPr>
            <w:tcW w:w="2239" w:type="dxa"/>
          </w:tcPr>
          <w:p>
            <w:pPr>
              <w:rPr>
                <w:rFonts w:ascii="宋体" w:hAnsi="宋体" w:eastAsia="宋体" w:cs="Times New Roman"/>
                <w:color w:val="000000"/>
                <w:szCs w:val="21"/>
              </w:rPr>
            </w:pPr>
            <w:r>
              <w:rPr>
                <w:rFonts w:ascii="宋体" w:hAnsi="宋体" w:eastAsia="宋体" w:cs="Times New Roman"/>
                <w:color w:val="000000"/>
                <w:szCs w:val="21"/>
              </w:rPr>
              <w:t>①传导传热、对流传热基本原理</w:t>
            </w:r>
            <w:r>
              <w:rPr>
                <w:rFonts w:hint="eastAsia" w:ascii="宋体" w:hAnsi="宋体" w:eastAsia="宋体" w:cs="Times New Roman"/>
                <w:color w:val="000000"/>
                <w:szCs w:val="21"/>
              </w:rPr>
              <w:t>；</w:t>
            </w:r>
          </w:p>
          <w:p>
            <w:pPr>
              <w:rPr>
                <w:rFonts w:ascii="宋体" w:hAnsi="宋体" w:eastAsia="宋体" w:cs="Times New Roman"/>
                <w:color w:val="000000"/>
                <w:szCs w:val="21"/>
              </w:rPr>
            </w:pPr>
            <w:r>
              <w:rPr>
                <w:rFonts w:ascii="宋体" w:hAnsi="宋体" w:eastAsia="宋体" w:cs="Times New Roman"/>
                <w:color w:val="000000"/>
                <w:szCs w:val="21"/>
              </w:rPr>
              <w:t>②传热基本计算</w:t>
            </w:r>
            <w:r>
              <w:rPr>
                <w:rFonts w:hint="eastAsia" w:ascii="宋体" w:hAnsi="宋体" w:eastAsia="宋体" w:cs="Times New Roman"/>
                <w:color w:val="000000"/>
                <w:szCs w:val="21"/>
              </w:rPr>
              <w:t>。</w:t>
            </w:r>
          </w:p>
        </w:tc>
        <w:tc>
          <w:tcPr>
            <w:tcW w:w="1610" w:type="dxa"/>
          </w:tcPr>
          <w:p>
            <w:pPr>
              <w:rPr>
                <w:rFonts w:ascii="宋体" w:hAnsi="宋体" w:eastAsia="宋体" w:cs="Times New Roman"/>
                <w:color w:val="000000"/>
                <w:szCs w:val="21"/>
              </w:rPr>
            </w:pPr>
            <w:r>
              <w:rPr>
                <w:rFonts w:ascii="宋体" w:hAnsi="宋体" w:eastAsia="宋体" w:cs="Times New Roman"/>
                <w:color w:val="000000"/>
                <w:szCs w:val="21"/>
              </w:rPr>
              <w:t>①正确选择换热器；</w:t>
            </w:r>
          </w:p>
          <w:p>
            <w:pPr>
              <w:rPr>
                <w:rFonts w:ascii="宋体" w:hAnsi="宋体" w:eastAsia="宋体" w:cs="Times New Roman"/>
                <w:color w:val="000000"/>
                <w:szCs w:val="21"/>
              </w:rPr>
            </w:pPr>
            <w:r>
              <w:rPr>
                <w:rFonts w:ascii="宋体" w:hAnsi="宋体" w:eastAsia="宋体" w:cs="Times New Roman"/>
                <w:color w:val="000000"/>
                <w:szCs w:val="21"/>
              </w:rPr>
              <w:t>②换热过程的强化，节能的方法</w:t>
            </w:r>
            <w:r>
              <w:rPr>
                <w:rFonts w:hint="eastAsia" w:ascii="宋体" w:hAnsi="宋体" w:eastAsia="宋体" w:cs="Times New Roman"/>
                <w:color w:val="000000"/>
                <w:szCs w:val="21"/>
              </w:rPr>
              <w:t>。</w:t>
            </w:r>
          </w:p>
        </w:tc>
        <w:tc>
          <w:tcPr>
            <w:tcW w:w="708" w:type="dxa"/>
            <w:vAlign w:val="center"/>
          </w:tcPr>
          <w:p>
            <w:pPr>
              <w:snapToGrid w:val="0"/>
              <w:jc w:val="center"/>
              <w:rPr>
                <w:rFonts w:ascii="宋体" w:hAnsi="宋体" w:eastAsia="宋体" w:cs="Times New Roman"/>
                <w:color w:val="000000"/>
                <w:kern w:val="0"/>
                <w:szCs w:val="21"/>
              </w:rPr>
            </w:pPr>
            <w:r>
              <w:rPr>
                <w:rFonts w:ascii="宋体" w:hAnsi="宋体" w:eastAsia="宋体" w:cs="Times New Roman"/>
                <w:color w:val="000000"/>
                <w:kern w:val="0"/>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 w:type="dxa"/>
          </w:tcPr>
          <w:p>
            <w:pPr>
              <w:rPr>
                <w:rFonts w:ascii="宋体" w:hAnsi="宋体" w:eastAsia="宋体" w:cs="Times New Roman"/>
                <w:bCs/>
                <w:color w:val="000000"/>
                <w:kern w:val="0"/>
                <w:szCs w:val="21"/>
              </w:rPr>
            </w:pPr>
            <w:r>
              <w:rPr>
                <w:rFonts w:ascii="宋体" w:hAnsi="宋体" w:eastAsia="宋体" w:cs="Times New Roman"/>
                <w:bCs/>
                <w:color w:val="000000"/>
                <w:kern w:val="0"/>
                <w:szCs w:val="21"/>
              </w:rPr>
              <w:t>蒸发过程及设备的选择与操作</w:t>
            </w:r>
          </w:p>
        </w:tc>
        <w:tc>
          <w:tcPr>
            <w:tcW w:w="2980" w:type="dxa"/>
          </w:tcPr>
          <w:p>
            <w:pPr>
              <w:rPr>
                <w:rFonts w:ascii="宋体" w:hAnsi="宋体" w:eastAsia="宋体" w:cs="Times New Roman"/>
                <w:color w:val="000000"/>
                <w:szCs w:val="21"/>
              </w:rPr>
            </w:pPr>
            <w:r>
              <w:rPr>
                <w:rFonts w:ascii="宋体" w:hAnsi="宋体" w:eastAsia="宋体" w:cs="Times New Roman"/>
                <w:color w:val="000000"/>
                <w:szCs w:val="21"/>
              </w:rPr>
              <w:t>1.蒸发设备的选择和流程布</w:t>
            </w:r>
            <w:r>
              <w:rPr>
                <w:rFonts w:hint="eastAsia" w:ascii="宋体" w:hAnsi="宋体" w:eastAsia="宋体" w:cs="Times New Roman"/>
                <w:color w:val="000000"/>
                <w:szCs w:val="21"/>
              </w:rPr>
              <w:t>；</w:t>
            </w:r>
          </w:p>
          <w:p>
            <w:pPr>
              <w:rPr>
                <w:rFonts w:ascii="宋体" w:hAnsi="宋体" w:eastAsia="宋体" w:cs="Times New Roman"/>
                <w:color w:val="000000"/>
                <w:szCs w:val="21"/>
              </w:rPr>
            </w:pPr>
            <w:r>
              <w:rPr>
                <w:rFonts w:ascii="宋体" w:hAnsi="宋体" w:eastAsia="宋体" w:cs="Times New Roman"/>
                <w:color w:val="000000"/>
                <w:szCs w:val="21"/>
              </w:rPr>
              <w:t>2. 确定单效蒸发的工艺参数</w:t>
            </w:r>
            <w:r>
              <w:rPr>
                <w:rFonts w:hint="eastAsia" w:ascii="宋体" w:hAnsi="宋体" w:eastAsia="宋体" w:cs="Times New Roman"/>
                <w:color w:val="000000"/>
                <w:szCs w:val="21"/>
              </w:rPr>
              <w:t>。</w:t>
            </w:r>
          </w:p>
        </w:tc>
        <w:tc>
          <w:tcPr>
            <w:tcW w:w="2239" w:type="dxa"/>
          </w:tcPr>
          <w:p>
            <w:pPr>
              <w:rPr>
                <w:rFonts w:ascii="宋体" w:hAnsi="宋体" w:eastAsia="宋体" w:cs="Times New Roman"/>
                <w:color w:val="000000"/>
                <w:szCs w:val="21"/>
              </w:rPr>
            </w:pPr>
            <w:r>
              <w:rPr>
                <w:rFonts w:ascii="宋体" w:hAnsi="宋体" w:eastAsia="宋体" w:cs="Times New Roman"/>
                <w:color w:val="000000"/>
                <w:szCs w:val="21"/>
              </w:rPr>
              <w:t>①蒸发基本原理及流</w:t>
            </w:r>
            <w:r>
              <w:rPr>
                <w:rFonts w:hint="eastAsia" w:ascii="宋体" w:hAnsi="宋体" w:eastAsia="宋体" w:cs="Times New Roman"/>
                <w:color w:val="000000"/>
                <w:szCs w:val="21"/>
              </w:rPr>
              <w:t>；</w:t>
            </w:r>
          </w:p>
          <w:p>
            <w:pPr>
              <w:rPr>
                <w:rFonts w:ascii="宋体" w:hAnsi="宋体" w:eastAsia="宋体" w:cs="Times New Roman"/>
                <w:color w:val="000000"/>
                <w:szCs w:val="21"/>
              </w:rPr>
            </w:pPr>
            <w:r>
              <w:rPr>
                <w:rFonts w:ascii="宋体" w:hAnsi="宋体" w:eastAsia="宋体" w:cs="Times New Roman"/>
                <w:color w:val="000000"/>
                <w:szCs w:val="21"/>
              </w:rPr>
              <w:t>②单效蒸发计算</w:t>
            </w:r>
            <w:r>
              <w:rPr>
                <w:rFonts w:hint="eastAsia" w:ascii="宋体" w:hAnsi="宋体" w:eastAsia="宋体" w:cs="Times New Roman"/>
                <w:color w:val="000000"/>
                <w:szCs w:val="21"/>
              </w:rPr>
              <w:t>。</w:t>
            </w:r>
          </w:p>
        </w:tc>
        <w:tc>
          <w:tcPr>
            <w:tcW w:w="1610" w:type="dxa"/>
          </w:tcPr>
          <w:p>
            <w:pPr>
              <w:rPr>
                <w:rFonts w:ascii="宋体" w:hAnsi="宋体" w:eastAsia="宋体" w:cs="Times New Roman"/>
                <w:color w:val="000000"/>
                <w:szCs w:val="21"/>
              </w:rPr>
            </w:pPr>
            <w:r>
              <w:rPr>
                <w:rFonts w:ascii="宋体" w:hAnsi="宋体" w:eastAsia="宋体" w:cs="Times New Roman"/>
                <w:color w:val="000000"/>
                <w:szCs w:val="21"/>
              </w:rPr>
              <w:t>能根据物料特性及工艺要求，正确合理选择蒸发器</w:t>
            </w:r>
            <w:r>
              <w:rPr>
                <w:rFonts w:hint="eastAsia" w:ascii="宋体" w:hAnsi="宋体" w:eastAsia="宋体" w:cs="Times New Roman"/>
                <w:color w:val="000000"/>
                <w:szCs w:val="21"/>
              </w:rPr>
              <w:t>。</w:t>
            </w:r>
          </w:p>
        </w:tc>
        <w:tc>
          <w:tcPr>
            <w:tcW w:w="708" w:type="dxa"/>
            <w:vAlign w:val="center"/>
          </w:tcPr>
          <w:p>
            <w:pPr>
              <w:snapToGrid w:val="0"/>
              <w:jc w:val="center"/>
              <w:rPr>
                <w:rFonts w:ascii="宋体" w:hAnsi="宋体" w:eastAsia="宋体" w:cs="Times New Roman"/>
                <w:color w:val="000000"/>
                <w:kern w:val="0"/>
                <w:szCs w:val="21"/>
              </w:rPr>
            </w:pPr>
            <w:r>
              <w:rPr>
                <w:rFonts w:ascii="宋体" w:hAnsi="宋体" w:eastAsia="宋体" w:cs="Times New Roman"/>
                <w:color w:val="000000"/>
                <w:kern w:val="0"/>
                <w:szCs w:val="21"/>
              </w:rPr>
              <w:t>1</w:t>
            </w:r>
            <w:r>
              <w:rPr>
                <w:rFonts w:hint="eastAsia" w:ascii="宋体" w:hAnsi="宋体" w:eastAsia="宋体" w:cs="Times New Roman"/>
                <w:color w:val="000000"/>
                <w:kern w:val="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 w:type="dxa"/>
          </w:tcPr>
          <w:p>
            <w:pPr>
              <w:rPr>
                <w:rFonts w:ascii="宋体" w:hAnsi="宋体" w:eastAsia="宋体" w:cs="Times New Roman"/>
                <w:bCs/>
                <w:color w:val="000000"/>
                <w:kern w:val="0"/>
                <w:szCs w:val="21"/>
              </w:rPr>
            </w:pPr>
            <w:r>
              <w:rPr>
                <w:rFonts w:hint="eastAsia" w:ascii="宋体" w:hAnsi="宋体" w:eastAsia="宋体" w:cs="Times New Roman"/>
                <w:bCs/>
                <w:color w:val="000000"/>
                <w:kern w:val="0"/>
                <w:szCs w:val="21"/>
              </w:rPr>
              <w:t>精</w:t>
            </w:r>
            <w:r>
              <w:rPr>
                <w:rFonts w:ascii="宋体" w:hAnsi="宋体" w:eastAsia="宋体" w:cs="Times New Roman"/>
                <w:bCs/>
                <w:color w:val="000000"/>
                <w:kern w:val="0"/>
                <w:szCs w:val="21"/>
              </w:rPr>
              <w:t>馏过程及设备的选择与操作</w:t>
            </w:r>
          </w:p>
        </w:tc>
        <w:tc>
          <w:tcPr>
            <w:tcW w:w="2980" w:type="dxa"/>
          </w:tcPr>
          <w:p>
            <w:pPr>
              <w:rPr>
                <w:rFonts w:ascii="宋体" w:hAnsi="宋体" w:eastAsia="宋体" w:cs="Times New Roman"/>
                <w:color w:val="000000"/>
                <w:szCs w:val="21"/>
              </w:rPr>
            </w:pPr>
            <w:r>
              <w:rPr>
                <w:rFonts w:ascii="宋体" w:hAnsi="宋体" w:eastAsia="宋体" w:cs="Times New Roman"/>
                <w:color w:val="000000"/>
                <w:szCs w:val="21"/>
              </w:rPr>
              <w:t>1. 认识、了解各种精馏设备</w:t>
            </w:r>
            <w:r>
              <w:rPr>
                <w:rFonts w:hint="eastAsia" w:ascii="宋体" w:hAnsi="宋体" w:eastAsia="宋体" w:cs="Times New Roman"/>
                <w:color w:val="000000"/>
                <w:szCs w:val="21"/>
              </w:rPr>
              <w:t>；</w:t>
            </w:r>
          </w:p>
          <w:p>
            <w:pPr>
              <w:rPr>
                <w:rFonts w:ascii="宋体" w:hAnsi="宋体" w:eastAsia="宋体" w:cs="Times New Roman"/>
                <w:color w:val="000000"/>
                <w:szCs w:val="21"/>
              </w:rPr>
            </w:pPr>
            <w:r>
              <w:rPr>
                <w:rFonts w:ascii="宋体" w:hAnsi="宋体" w:eastAsia="宋体" w:cs="Times New Roman"/>
                <w:color w:val="000000"/>
                <w:szCs w:val="21"/>
              </w:rPr>
              <w:t>2. 确定连续精馏操作的参数</w:t>
            </w:r>
            <w:r>
              <w:rPr>
                <w:rFonts w:hint="eastAsia" w:ascii="宋体" w:hAnsi="宋体" w:eastAsia="宋体" w:cs="Times New Roman"/>
                <w:color w:val="000000"/>
                <w:szCs w:val="21"/>
              </w:rPr>
              <w:t>；</w:t>
            </w:r>
          </w:p>
          <w:p>
            <w:pPr>
              <w:rPr>
                <w:rFonts w:ascii="宋体" w:hAnsi="宋体" w:eastAsia="宋体" w:cs="Times New Roman"/>
                <w:color w:val="000000"/>
                <w:szCs w:val="21"/>
              </w:rPr>
            </w:pPr>
            <w:r>
              <w:rPr>
                <w:rFonts w:ascii="宋体" w:hAnsi="宋体" w:eastAsia="宋体" w:cs="Times New Roman"/>
                <w:color w:val="000000"/>
                <w:szCs w:val="21"/>
              </w:rPr>
              <w:t>3. 精馏塔塔高和塔径的确定</w:t>
            </w:r>
            <w:r>
              <w:rPr>
                <w:rFonts w:hint="eastAsia" w:ascii="宋体" w:hAnsi="宋体" w:eastAsia="宋体" w:cs="Times New Roman"/>
                <w:color w:val="000000"/>
                <w:szCs w:val="21"/>
              </w:rPr>
              <w:t>；</w:t>
            </w:r>
          </w:p>
          <w:p>
            <w:pPr>
              <w:rPr>
                <w:rFonts w:ascii="宋体" w:hAnsi="宋体" w:eastAsia="宋体" w:cs="Times New Roman"/>
                <w:color w:val="000000"/>
                <w:szCs w:val="21"/>
              </w:rPr>
            </w:pPr>
            <w:r>
              <w:rPr>
                <w:rFonts w:ascii="宋体" w:hAnsi="宋体" w:eastAsia="宋体" w:cs="Times New Roman"/>
                <w:color w:val="000000"/>
                <w:szCs w:val="21"/>
              </w:rPr>
              <w:t>4. 板式精馏塔的操作和调节</w:t>
            </w:r>
            <w:r>
              <w:rPr>
                <w:rFonts w:hint="eastAsia" w:ascii="宋体" w:hAnsi="宋体" w:eastAsia="宋体" w:cs="Times New Roman"/>
                <w:color w:val="000000"/>
                <w:szCs w:val="21"/>
              </w:rPr>
              <w:t>。</w:t>
            </w:r>
          </w:p>
        </w:tc>
        <w:tc>
          <w:tcPr>
            <w:tcW w:w="2239" w:type="dxa"/>
          </w:tcPr>
          <w:p>
            <w:pPr>
              <w:rPr>
                <w:rFonts w:ascii="宋体" w:hAnsi="宋体" w:eastAsia="宋体" w:cs="Times New Roman"/>
                <w:color w:val="000000"/>
                <w:szCs w:val="21"/>
              </w:rPr>
            </w:pPr>
            <w:r>
              <w:rPr>
                <w:rFonts w:ascii="宋体" w:hAnsi="宋体" w:eastAsia="宋体" w:cs="Times New Roman"/>
                <w:color w:val="000000"/>
                <w:szCs w:val="21"/>
              </w:rPr>
              <w:t>①相平衡原理；</w:t>
            </w:r>
          </w:p>
          <w:p>
            <w:pPr>
              <w:rPr>
                <w:rFonts w:ascii="宋体" w:hAnsi="宋体" w:eastAsia="宋体" w:cs="Times New Roman"/>
                <w:color w:val="000000"/>
                <w:szCs w:val="21"/>
              </w:rPr>
            </w:pPr>
            <w:r>
              <w:rPr>
                <w:rFonts w:ascii="宋体" w:hAnsi="宋体" w:eastAsia="宋体" w:cs="Times New Roman"/>
                <w:color w:val="000000"/>
                <w:szCs w:val="21"/>
              </w:rPr>
              <w:t>②两组份连续精馏的相关计算；</w:t>
            </w:r>
          </w:p>
          <w:p>
            <w:pPr>
              <w:rPr>
                <w:rFonts w:ascii="宋体" w:hAnsi="宋体" w:eastAsia="宋体" w:cs="Times New Roman"/>
                <w:color w:val="000000"/>
                <w:szCs w:val="21"/>
              </w:rPr>
            </w:pPr>
            <w:r>
              <w:rPr>
                <w:rFonts w:ascii="宋体" w:hAnsi="宋体" w:eastAsia="宋体" w:cs="Times New Roman"/>
                <w:color w:val="000000"/>
                <w:szCs w:val="21"/>
              </w:rPr>
              <w:t>③板式精馏塔的类型及设计计算</w:t>
            </w:r>
            <w:r>
              <w:rPr>
                <w:rFonts w:hint="eastAsia" w:ascii="宋体" w:hAnsi="宋体" w:eastAsia="宋体" w:cs="Times New Roman"/>
                <w:color w:val="000000"/>
                <w:szCs w:val="21"/>
              </w:rPr>
              <w:t>。</w:t>
            </w:r>
          </w:p>
        </w:tc>
        <w:tc>
          <w:tcPr>
            <w:tcW w:w="1610" w:type="dxa"/>
          </w:tcPr>
          <w:p>
            <w:pPr>
              <w:rPr>
                <w:rFonts w:ascii="宋体" w:hAnsi="宋体" w:eastAsia="宋体" w:cs="Times New Roman"/>
                <w:color w:val="000000"/>
                <w:szCs w:val="21"/>
              </w:rPr>
            </w:pPr>
            <w:r>
              <w:rPr>
                <w:rFonts w:ascii="宋体" w:hAnsi="宋体" w:eastAsia="宋体" w:cs="Times New Roman"/>
                <w:color w:val="000000"/>
                <w:szCs w:val="21"/>
              </w:rPr>
              <w:t>①正确进行板式精馏塔塔板数的计算，并能分析其影响因素；</w:t>
            </w:r>
          </w:p>
          <w:p>
            <w:pPr>
              <w:rPr>
                <w:rFonts w:ascii="宋体" w:hAnsi="宋体" w:eastAsia="宋体" w:cs="Times New Roman"/>
                <w:color w:val="000000"/>
                <w:szCs w:val="21"/>
              </w:rPr>
            </w:pPr>
            <w:r>
              <w:rPr>
                <w:rFonts w:ascii="宋体" w:hAnsi="宋体" w:eastAsia="宋体" w:cs="Times New Roman"/>
                <w:color w:val="000000"/>
                <w:szCs w:val="21"/>
              </w:rPr>
              <w:t>②板式精馏塔的操作及工艺参数的调节</w:t>
            </w:r>
            <w:r>
              <w:rPr>
                <w:rFonts w:hint="eastAsia" w:ascii="宋体" w:hAnsi="宋体" w:eastAsia="宋体" w:cs="Times New Roman"/>
                <w:color w:val="000000"/>
                <w:szCs w:val="21"/>
              </w:rPr>
              <w:t>。</w:t>
            </w:r>
          </w:p>
        </w:tc>
        <w:tc>
          <w:tcPr>
            <w:tcW w:w="708" w:type="dxa"/>
            <w:vAlign w:val="center"/>
          </w:tcPr>
          <w:p>
            <w:pPr>
              <w:snapToGrid w:val="0"/>
              <w:jc w:val="center"/>
              <w:rPr>
                <w:rFonts w:ascii="宋体" w:hAnsi="宋体" w:eastAsia="宋体" w:cs="Times New Roman"/>
                <w:color w:val="000000"/>
                <w:kern w:val="0"/>
                <w:szCs w:val="21"/>
              </w:rPr>
            </w:pPr>
            <w:r>
              <w:rPr>
                <w:rFonts w:ascii="宋体" w:hAnsi="宋体" w:eastAsia="宋体" w:cs="Times New Roman"/>
                <w:color w:val="000000"/>
                <w:kern w:val="0"/>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 w:type="dxa"/>
          </w:tcPr>
          <w:p>
            <w:pPr>
              <w:rPr>
                <w:rFonts w:ascii="宋体" w:hAnsi="宋体" w:eastAsia="宋体" w:cs="Times New Roman"/>
                <w:bCs/>
                <w:color w:val="000000"/>
                <w:kern w:val="0"/>
                <w:szCs w:val="21"/>
              </w:rPr>
            </w:pPr>
            <w:r>
              <w:rPr>
                <w:rFonts w:ascii="宋体" w:hAnsi="宋体" w:eastAsia="宋体" w:cs="Times New Roman"/>
                <w:bCs/>
                <w:color w:val="000000"/>
                <w:kern w:val="0"/>
                <w:szCs w:val="21"/>
              </w:rPr>
              <w:t>吸收过程及设备的选择与操作</w:t>
            </w:r>
          </w:p>
        </w:tc>
        <w:tc>
          <w:tcPr>
            <w:tcW w:w="2980" w:type="dxa"/>
          </w:tcPr>
          <w:p>
            <w:pPr>
              <w:rPr>
                <w:rFonts w:ascii="宋体" w:hAnsi="宋体" w:eastAsia="宋体" w:cs="Times New Roman"/>
                <w:color w:val="000000"/>
                <w:szCs w:val="21"/>
              </w:rPr>
            </w:pPr>
            <w:r>
              <w:rPr>
                <w:rFonts w:ascii="宋体" w:hAnsi="宋体" w:eastAsia="宋体" w:cs="Times New Roman"/>
                <w:color w:val="000000"/>
                <w:szCs w:val="21"/>
              </w:rPr>
              <w:t>1. 认识、了解各种吸收设备</w:t>
            </w:r>
            <w:r>
              <w:rPr>
                <w:rFonts w:hint="eastAsia" w:ascii="宋体" w:hAnsi="宋体" w:eastAsia="宋体" w:cs="Times New Roman"/>
                <w:color w:val="000000"/>
                <w:szCs w:val="21"/>
              </w:rPr>
              <w:t>；</w:t>
            </w:r>
          </w:p>
          <w:p>
            <w:pPr>
              <w:rPr>
                <w:rFonts w:ascii="宋体" w:hAnsi="宋体" w:eastAsia="宋体" w:cs="Times New Roman"/>
                <w:color w:val="000000"/>
                <w:szCs w:val="21"/>
              </w:rPr>
            </w:pPr>
            <w:r>
              <w:rPr>
                <w:rFonts w:ascii="宋体" w:hAnsi="宋体" w:eastAsia="宋体" w:cs="Times New Roman"/>
                <w:color w:val="000000"/>
                <w:szCs w:val="21"/>
              </w:rPr>
              <w:t>2. 选择吸收剂，确定吸收剂用量</w:t>
            </w:r>
            <w:r>
              <w:rPr>
                <w:rFonts w:hint="eastAsia" w:ascii="宋体" w:hAnsi="宋体" w:eastAsia="宋体" w:cs="Times New Roman"/>
                <w:color w:val="000000"/>
                <w:szCs w:val="21"/>
              </w:rPr>
              <w:t>；</w:t>
            </w:r>
          </w:p>
          <w:p>
            <w:pPr>
              <w:rPr>
                <w:rFonts w:ascii="宋体" w:hAnsi="宋体" w:eastAsia="宋体" w:cs="Times New Roman"/>
                <w:color w:val="000000"/>
                <w:szCs w:val="21"/>
              </w:rPr>
            </w:pPr>
            <w:r>
              <w:rPr>
                <w:rFonts w:ascii="宋体" w:hAnsi="宋体" w:eastAsia="宋体" w:cs="Times New Roman"/>
                <w:color w:val="000000"/>
                <w:szCs w:val="21"/>
              </w:rPr>
              <w:t>3. 吸收塔塔高和塔径的确定</w:t>
            </w:r>
            <w:r>
              <w:rPr>
                <w:rFonts w:hint="eastAsia" w:ascii="宋体" w:hAnsi="宋体" w:eastAsia="宋体" w:cs="Times New Roman"/>
                <w:color w:val="000000"/>
                <w:szCs w:val="21"/>
              </w:rPr>
              <w:t>；</w:t>
            </w:r>
          </w:p>
          <w:p>
            <w:pPr>
              <w:rPr>
                <w:rFonts w:ascii="宋体" w:hAnsi="宋体" w:eastAsia="宋体" w:cs="Times New Roman"/>
                <w:color w:val="000000"/>
                <w:szCs w:val="21"/>
              </w:rPr>
            </w:pPr>
            <w:r>
              <w:rPr>
                <w:rFonts w:ascii="宋体" w:hAnsi="宋体" w:eastAsia="宋体" w:cs="Times New Roman"/>
                <w:color w:val="000000"/>
                <w:szCs w:val="21"/>
              </w:rPr>
              <w:t>4. 填料吸收塔的操作和调节</w:t>
            </w:r>
            <w:r>
              <w:rPr>
                <w:rFonts w:hint="eastAsia" w:ascii="宋体" w:hAnsi="宋体" w:eastAsia="宋体" w:cs="Times New Roman"/>
                <w:color w:val="000000"/>
                <w:szCs w:val="21"/>
              </w:rPr>
              <w:t>。</w:t>
            </w:r>
          </w:p>
        </w:tc>
        <w:tc>
          <w:tcPr>
            <w:tcW w:w="2239" w:type="dxa"/>
          </w:tcPr>
          <w:p>
            <w:pPr>
              <w:rPr>
                <w:rFonts w:ascii="宋体" w:hAnsi="宋体" w:eastAsia="宋体" w:cs="Times New Roman"/>
                <w:color w:val="000000"/>
                <w:szCs w:val="21"/>
              </w:rPr>
            </w:pPr>
            <w:r>
              <w:rPr>
                <w:rFonts w:ascii="宋体" w:hAnsi="宋体" w:eastAsia="宋体" w:cs="Times New Roman"/>
                <w:color w:val="000000"/>
                <w:szCs w:val="21"/>
              </w:rPr>
              <w:t>①吸收原理及亨利定律；</w:t>
            </w:r>
          </w:p>
          <w:p>
            <w:pPr>
              <w:rPr>
                <w:rFonts w:ascii="宋体" w:hAnsi="宋体" w:eastAsia="宋体" w:cs="Times New Roman"/>
                <w:color w:val="000000"/>
                <w:szCs w:val="21"/>
              </w:rPr>
            </w:pPr>
            <w:r>
              <w:rPr>
                <w:rFonts w:ascii="宋体" w:hAnsi="宋体" w:eastAsia="宋体" w:cs="Times New Roman"/>
                <w:color w:val="000000"/>
                <w:szCs w:val="21"/>
              </w:rPr>
              <w:t>②吸收速率方程及其意义；</w:t>
            </w:r>
          </w:p>
          <w:p>
            <w:pPr>
              <w:rPr>
                <w:rFonts w:ascii="宋体" w:hAnsi="宋体" w:eastAsia="宋体" w:cs="Times New Roman"/>
                <w:color w:val="000000"/>
                <w:szCs w:val="21"/>
              </w:rPr>
            </w:pPr>
            <w:r>
              <w:rPr>
                <w:rFonts w:ascii="宋体" w:hAnsi="宋体" w:eastAsia="宋体" w:cs="Times New Roman"/>
                <w:color w:val="000000"/>
                <w:szCs w:val="21"/>
              </w:rPr>
              <w:t>③吸收塔的类型及基本计算</w:t>
            </w:r>
            <w:r>
              <w:rPr>
                <w:rFonts w:hint="eastAsia" w:ascii="宋体" w:hAnsi="宋体" w:eastAsia="宋体" w:cs="Times New Roman"/>
                <w:color w:val="000000"/>
                <w:szCs w:val="21"/>
              </w:rPr>
              <w:t>。</w:t>
            </w:r>
          </w:p>
        </w:tc>
        <w:tc>
          <w:tcPr>
            <w:tcW w:w="1610" w:type="dxa"/>
          </w:tcPr>
          <w:p>
            <w:pPr>
              <w:rPr>
                <w:rFonts w:ascii="宋体" w:hAnsi="宋体" w:eastAsia="宋体" w:cs="Times New Roman"/>
                <w:color w:val="000000"/>
                <w:szCs w:val="21"/>
              </w:rPr>
            </w:pPr>
            <w:r>
              <w:rPr>
                <w:rFonts w:ascii="宋体" w:hAnsi="宋体" w:eastAsia="宋体" w:cs="Times New Roman"/>
                <w:color w:val="000000"/>
                <w:szCs w:val="21"/>
              </w:rPr>
              <w:t>①正确进行吸收塔设计型、操作型计算分析；</w:t>
            </w:r>
          </w:p>
          <w:p>
            <w:pPr>
              <w:rPr>
                <w:rFonts w:ascii="宋体" w:hAnsi="宋体" w:eastAsia="宋体" w:cs="Times New Roman"/>
                <w:color w:val="000000"/>
                <w:szCs w:val="21"/>
              </w:rPr>
            </w:pPr>
            <w:r>
              <w:rPr>
                <w:rFonts w:ascii="宋体" w:hAnsi="宋体" w:eastAsia="宋体" w:cs="Times New Roman"/>
                <w:color w:val="000000"/>
                <w:szCs w:val="21"/>
              </w:rPr>
              <w:t>②填料吸收塔的操作及工艺参数的调节</w:t>
            </w:r>
            <w:r>
              <w:rPr>
                <w:rFonts w:hint="eastAsia" w:ascii="宋体" w:hAnsi="宋体" w:eastAsia="宋体" w:cs="Times New Roman"/>
                <w:color w:val="000000"/>
                <w:szCs w:val="21"/>
              </w:rPr>
              <w:t>。</w:t>
            </w:r>
          </w:p>
        </w:tc>
        <w:tc>
          <w:tcPr>
            <w:tcW w:w="708" w:type="dxa"/>
            <w:vAlign w:val="center"/>
          </w:tcPr>
          <w:p>
            <w:pPr>
              <w:snapToGrid w:val="0"/>
              <w:jc w:val="center"/>
              <w:rPr>
                <w:rFonts w:ascii="宋体" w:hAnsi="宋体" w:eastAsia="宋体" w:cs="Times New Roman"/>
                <w:color w:val="000000"/>
                <w:kern w:val="0"/>
                <w:szCs w:val="21"/>
              </w:rPr>
            </w:pPr>
            <w:r>
              <w:rPr>
                <w:rFonts w:ascii="宋体" w:hAnsi="宋体" w:eastAsia="宋体" w:cs="Times New Roman"/>
                <w:color w:val="000000"/>
                <w:kern w:val="0"/>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 w:type="dxa"/>
          </w:tcPr>
          <w:p>
            <w:pPr>
              <w:rPr>
                <w:rFonts w:ascii="宋体" w:hAnsi="宋体" w:eastAsia="宋体" w:cs="Times New Roman"/>
                <w:bCs/>
                <w:color w:val="000000"/>
                <w:kern w:val="0"/>
                <w:szCs w:val="21"/>
              </w:rPr>
            </w:pPr>
            <w:r>
              <w:rPr>
                <w:rFonts w:ascii="宋体" w:hAnsi="宋体" w:eastAsia="宋体" w:cs="Times New Roman"/>
                <w:bCs/>
                <w:color w:val="000000"/>
                <w:kern w:val="0"/>
                <w:szCs w:val="21"/>
              </w:rPr>
              <w:t>干燥过程及设备的选择与操作</w:t>
            </w:r>
          </w:p>
        </w:tc>
        <w:tc>
          <w:tcPr>
            <w:tcW w:w="2980" w:type="dxa"/>
          </w:tcPr>
          <w:p>
            <w:pPr>
              <w:rPr>
                <w:rFonts w:ascii="宋体" w:hAnsi="宋体" w:eastAsia="宋体" w:cs="Times New Roman"/>
                <w:color w:val="000000"/>
                <w:szCs w:val="21"/>
              </w:rPr>
            </w:pPr>
            <w:r>
              <w:rPr>
                <w:rFonts w:ascii="宋体" w:hAnsi="宋体" w:eastAsia="宋体" w:cs="Times New Roman"/>
                <w:color w:val="000000"/>
                <w:szCs w:val="21"/>
              </w:rPr>
              <w:t>1. 认识、了解各种干燥设备</w:t>
            </w:r>
            <w:r>
              <w:rPr>
                <w:rFonts w:hint="eastAsia" w:ascii="宋体" w:hAnsi="宋体" w:eastAsia="宋体" w:cs="Times New Roman"/>
                <w:color w:val="000000"/>
                <w:szCs w:val="21"/>
              </w:rPr>
              <w:t>；</w:t>
            </w:r>
          </w:p>
          <w:p>
            <w:pPr>
              <w:rPr>
                <w:rFonts w:ascii="宋体" w:hAnsi="宋体" w:eastAsia="宋体" w:cs="Times New Roman"/>
                <w:color w:val="000000"/>
                <w:szCs w:val="21"/>
              </w:rPr>
            </w:pPr>
            <w:r>
              <w:rPr>
                <w:rFonts w:ascii="宋体" w:hAnsi="宋体" w:eastAsia="宋体" w:cs="Times New Roman"/>
                <w:color w:val="000000"/>
                <w:szCs w:val="21"/>
              </w:rPr>
              <w:t>2. 选择、确定干燥过程的操作条件</w:t>
            </w:r>
            <w:r>
              <w:rPr>
                <w:rFonts w:hint="eastAsia" w:ascii="宋体" w:hAnsi="宋体" w:eastAsia="宋体" w:cs="Times New Roman"/>
                <w:color w:val="000000"/>
                <w:szCs w:val="21"/>
              </w:rPr>
              <w:t>；</w:t>
            </w:r>
          </w:p>
          <w:p>
            <w:pPr>
              <w:rPr>
                <w:rFonts w:ascii="宋体" w:hAnsi="宋体" w:eastAsia="宋体" w:cs="Times New Roman"/>
                <w:color w:val="000000"/>
                <w:szCs w:val="21"/>
              </w:rPr>
            </w:pPr>
            <w:r>
              <w:rPr>
                <w:rFonts w:ascii="宋体" w:hAnsi="宋体" w:eastAsia="宋体" w:cs="Times New Roman"/>
                <w:color w:val="000000"/>
                <w:szCs w:val="21"/>
              </w:rPr>
              <w:t>3. 干燥器的操作和调节</w:t>
            </w:r>
            <w:r>
              <w:rPr>
                <w:rFonts w:hint="eastAsia" w:ascii="宋体" w:hAnsi="宋体" w:eastAsia="宋体" w:cs="Times New Roman"/>
                <w:color w:val="000000"/>
                <w:szCs w:val="21"/>
              </w:rPr>
              <w:t>。</w:t>
            </w:r>
          </w:p>
        </w:tc>
        <w:tc>
          <w:tcPr>
            <w:tcW w:w="2239" w:type="dxa"/>
          </w:tcPr>
          <w:p>
            <w:pPr>
              <w:rPr>
                <w:rFonts w:ascii="宋体" w:hAnsi="宋体" w:eastAsia="宋体" w:cs="Times New Roman"/>
                <w:color w:val="000000"/>
                <w:szCs w:val="21"/>
              </w:rPr>
            </w:pPr>
            <w:r>
              <w:rPr>
                <w:rFonts w:ascii="宋体" w:hAnsi="宋体" w:eastAsia="宋体" w:cs="Times New Roman"/>
                <w:color w:val="000000"/>
                <w:szCs w:val="21"/>
              </w:rPr>
              <w:t>①干燥原理及湿度图的应用；</w:t>
            </w:r>
          </w:p>
          <w:p>
            <w:pPr>
              <w:rPr>
                <w:rFonts w:ascii="宋体" w:hAnsi="宋体" w:eastAsia="宋体" w:cs="Times New Roman"/>
                <w:color w:val="000000"/>
                <w:szCs w:val="21"/>
              </w:rPr>
            </w:pPr>
            <w:r>
              <w:rPr>
                <w:rFonts w:ascii="宋体" w:hAnsi="宋体" w:eastAsia="宋体" w:cs="Times New Roman"/>
                <w:color w:val="000000"/>
                <w:szCs w:val="21"/>
              </w:rPr>
              <w:t>②干燥曲线及相关计算</w:t>
            </w:r>
            <w:r>
              <w:rPr>
                <w:rFonts w:hint="eastAsia" w:ascii="宋体" w:hAnsi="宋体" w:eastAsia="宋体" w:cs="Times New Roman"/>
                <w:color w:val="000000"/>
                <w:szCs w:val="21"/>
              </w:rPr>
              <w:t>。</w:t>
            </w:r>
          </w:p>
        </w:tc>
        <w:tc>
          <w:tcPr>
            <w:tcW w:w="1610" w:type="dxa"/>
          </w:tcPr>
          <w:p>
            <w:pPr>
              <w:rPr>
                <w:rFonts w:ascii="宋体" w:hAnsi="宋体" w:eastAsia="宋体" w:cs="Times New Roman"/>
                <w:color w:val="000000"/>
                <w:szCs w:val="21"/>
              </w:rPr>
            </w:pPr>
            <w:r>
              <w:rPr>
                <w:rFonts w:ascii="宋体" w:hAnsi="宋体" w:eastAsia="宋体" w:cs="Times New Roman"/>
                <w:color w:val="000000"/>
                <w:szCs w:val="21"/>
              </w:rPr>
              <w:t>①流化床干燥器的操作及工艺参数的调节；</w:t>
            </w:r>
          </w:p>
          <w:p>
            <w:pPr>
              <w:rPr>
                <w:rFonts w:ascii="宋体" w:hAnsi="宋体" w:eastAsia="宋体" w:cs="Times New Roman"/>
                <w:color w:val="000000"/>
                <w:szCs w:val="21"/>
              </w:rPr>
            </w:pPr>
            <w:r>
              <w:rPr>
                <w:rFonts w:ascii="宋体" w:hAnsi="宋体" w:eastAsia="宋体" w:cs="Times New Roman"/>
                <w:color w:val="000000"/>
                <w:szCs w:val="21"/>
              </w:rPr>
              <w:t>②干燥器的合理选择</w:t>
            </w:r>
            <w:r>
              <w:rPr>
                <w:rFonts w:hint="eastAsia" w:ascii="宋体" w:hAnsi="宋体" w:eastAsia="宋体" w:cs="Times New Roman"/>
                <w:color w:val="000000"/>
                <w:szCs w:val="21"/>
              </w:rPr>
              <w:t>。</w:t>
            </w:r>
          </w:p>
        </w:tc>
        <w:tc>
          <w:tcPr>
            <w:tcW w:w="708" w:type="dxa"/>
            <w:vAlign w:val="center"/>
          </w:tcPr>
          <w:p>
            <w:pPr>
              <w:snapToGrid w:val="0"/>
              <w:jc w:val="center"/>
              <w:rPr>
                <w:rFonts w:ascii="宋体" w:hAnsi="宋体" w:eastAsia="宋体" w:cs="Times New Roman"/>
                <w:color w:val="000000"/>
                <w:kern w:val="0"/>
                <w:szCs w:val="21"/>
              </w:rPr>
            </w:pPr>
            <w:r>
              <w:rPr>
                <w:rFonts w:ascii="宋体" w:hAnsi="宋体" w:eastAsia="宋体" w:cs="Times New Roman"/>
                <w:color w:val="000000"/>
                <w:kern w:val="0"/>
                <w:szCs w:val="21"/>
              </w:rPr>
              <w:t>1</w:t>
            </w:r>
            <w:r>
              <w:rPr>
                <w:rFonts w:hint="eastAsia" w:ascii="宋体" w:hAnsi="宋体" w:eastAsia="宋体" w:cs="Times New Roman"/>
                <w:color w:val="000000"/>
                <w:kern w:val="0"/>
                <w:szCs w:val="21"/>
              </w:rPr>
              <w:t>6</w:t>
            </w:r>
          </w:p>
        </w:tc>
      </w:tr>
    </w:tbl>
    <w:p>
      <w:pPr>
        <w:spacing w:line="360" w:lineRule="auto"/>
        <w:rPr>
          <w:rFonts w:ascii="宋体" w:hAnsi="宋体" w:eastAsia="宋体" w:cs="Times New Roman"/>
          <w:sz w:val="24"/>
        </w:rPr>
      </w:pPr>
    </w:p>
    <w:p>
      <w:pPr>
        <w:spacing w:line="360" w:lineRule="auto"/>
        <w:ind w:firstLine="480" w:firstLineChars="150"/>
        <w:rPr>
          <w:rFonts w:ascii="黑体" w:hAnsi="黑体" w:eastAsia="黑体" w:cs="Times New Roman"/>
          <w:sz w:val="32"/>
          <w:szCs w:val="32"/>
        </w:rPr>
      </w:pPr>
      <w:r>
        <w:rPr>
          <w:rFonts w:hint="eastAsia" w:ascii="黑体" w:hAnsi="黑体" w:eastAsia="黑体" w:cs="Times New Roman"/>
          <w:sz w:val="32"/>
          <w:szCs w:val="32"/>
        </w:rPr>
        <w:t>五、教学组织与教学方法</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1．教学组织</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以“多媒体教学” 、“现场教学”为主的教学模式，将传统的课堂搬到实验、实训场所，强调“以学生为主体、以教师为主导”思想来设计教学活动，结合具体对象和模型，边讲边练、边学边做，实现了“理实一体化”教学。每个任务均按照“课前准备”、“典型实例分析”、“知识链接”、“任务实施”、“知识拓展”、“技能检测”六个步骤完成。</w:t>
      </w:r>
    </w:p>
    <w:p>
      <w:pPr>
        <w:spacing w:line="360" w:lineRule="auto"/>
        <w:ind w:firstLine="480" w:firstLineChars="200"/>
        <w:rPr>
          <w:rFonts w:ascii="Times New Roman" w:hAnsi="Times New Roman" w:eastAsia="宋体" w:cs="Times New Roman"/>
          <w:color w:val="000000"/>
          <w:sz w:val="24"/>
        </w:rPr>
      </w:pPr>
      <w:r>
        <w:rPr>
          <w:rFonts w:hint="eastAsia" w:ascii="Times New Roman" w:hAnsi="Times New Roman" w:eastAsia="宋体" w:cs="Times New Roman"/>
          <w:color w:val="000000"/>
          <w:sz w:val="24"/>
        </w:rPr>
        <w:t>2．教学方法</w:t>
      </w:r>
    </w:p>
    <w:p>
      <w:pPr>
        <w:spacing w:line="360" w:lineRule="auto"/>
        <w:rPr>
          <w:rFonts w:ascii="Times New Roman" w:hAnsi="Times New Roman" w:eastAsia="宋体" w:cs="Times New Roman"/>
          <w:color w:val="000000"/>
          <w:sz w:val="24"/>
        </w:rPr>
      </w:pPr>
      <w:r>
        <w:rPr>
          <w:rFonts w:hint="eastAsia" w:ascii="Times New Roman" w:hAnsi="Times New Roman" w:eastAsia="宋体" w:cs="Times New Roman"/>
          <w:color w:val="000000"/>
          <w:sz w:val="24"/>
        </w:rPr>
        <w:t xml:space="preserve">   （1）“任务驱动、项目导向”的教学方法</w:t>
      </w:r>
    </w:p>
    <w:p>
      <w:pPr>
        <w:spacing w:line="360" w:lineRule="auto"/>
        <w:rPr>
          <w:rFonts w:ascii="Times New Roman" w:hAnsi="Times New Roman" w:eastAsia="宋体" w:cs="Times New Roman"/>
          <w:color w:val="000000"/>
          <w:sz w:val="24"/>
        </w:rPr>
      </w:pPr>
      <w:r>
        <w:rPr>
          <w:rFonts w:hint="eastAsia" w:ascii="Times New Roman" w:hAnsi="Times New Roman" w:eastAsia="宋体" w:cs="Times New Roman"/>
          <w:color w:val="000000"/>
          <w:sz w:val="24"/>
        </w:rPr>
        <w:t xml:space="preserve">    本课程采用“任务驱动、项目导向”的教学方法进行教学，将课程设置成26个项目，全程贯通项目教学，项目选择采用实际工作任务，辅之以情境教学、案例教学等教学方法。整个教学按照“资讯</w:t>
      </w:r>
      <w:r>
        <w:rPr>
          <w:rFonts w:hint="eastAsia" w:ascii="Times New Roman" w:hAnsi="Times New Roman" w:eastAsia="宋体" w:cs="SSJ0+ZETBZa-3"/>
          <w:color w:val="000000"/>
          <w:sz w:val="24"/>
        </w:rPr>
        <w:t>—</w:t>
      </w:r>
      <w:r>
        <w:rPr>
          <w:rFonts w:hint="eastAsia" w:ascii="Times New Roman" w:hAnsi="Times New Roman" w:eastAsia="宋体" w:cs="Times New Roman"/>
          <w:color w:val="000000"/>
          <w:sz w:val="24"/>
        </w:rPr>
        <w:t>决策</w:t>
      </w:r>
      <w:r>
        <w:rPr>
          <w:rFonts w:hint="eastAsia" w:ascii="Times New Roman" w:hAnsi="Times New Roman" w:eastAsia="宋体" w:cs="SSJ0+ZETBZa-3"/>
          <w:color w:val="000000"/>
          <w:sz w:val="24"/>
        </w:rPr>
        <w:t>—</w:t>
      </w:r>
      <w:r>
        <w:rPr>
          <w:rFonts w:hint="eastAsia" w:ascii="Times New Roman" w:hAnsi="Times New Roman" w:eastAsia="宋体" w:cs="Times New Roman"/>
          <w:color w:val="000000"/>
          <w:sz w:val="24"/>
        </w:rPr>
        <w:t>计划</w:t>
      </w:r>
      <w:r>
        <w:rPr>
          <w:rFonts w:hint="eastAsia" w:ascii="Times New Roman" w:hAnsi="Times New Roman" w:eastAsia="宋体" w:cs="SSJ0+ZETBZa-3"/>
          <w:color w:val="000000"/>
          <w:sz w:val="24"/>
        </w:rPr>
        <w:t>—</w:t>
      </w:r>
      <w:r>
        <w:rPr>
          <w:rFonts w:hint="eastAsia" w:ascii="Times New Roman" w:hAnsi="Times New Roman" w:eastAsia="宋体" w:cs="Times New Roman"/>
          <w:color w:val="000000"/>
          <w:sz w:val="24"/>
        </w:rPr>
        <w:t>实施</w:t>
      </w:r>
      <w:r>
        <w:rPr>
          <w:rFonts w:hint="eastAsia" w:ascii="Times New Roman" w:hAnsi="Times New Roman" w:eastAsia="宋体" w:cs="SSJ0+ZETBZa-3"/>
          <w:color w:val="000000"/>
          <w:sz w:val="24"/>
        </w:rPr>
        <w:t>—</w:t>
      </w:r>
      <w:r>
        <w:rPr>
          <w:rFonts w:hint="eastAsia" w:ascii="Times New Roman" w:hAnsi="Times New Roman" w:eastAsia="宋体" w:cs="Times New Roman"/>
          <w:color w:val="000000"/>
          <w:sz w:val="24"/>
        </w:rPr>
        <w:t>检查</w:t>
      </w:r>
      <w:r>
        <w:rPr>
          <w:rFonts w:hint="eastAsia" w:ascii="Times New Roman" w:hAnsi="Times New Roman" w:eastAsia="宋体" w:cs="SSJ0+ZETBZa-3"/>
          <w:color w:val="000000"/>
          <w:sz w:val="24"/>
        </w:rPr>
        <w:t>—</w:t>
      </w:r>
      <w:r>
        <w:rPr>
          <w:rFonts w:hint="eastAsia" w:ascii="Times New Roman" w:hAnsi="Times New Roman" w:eastAsia="宋体" w:cs="Times New Roman"/>
          <w:color w:val="000000"/>
          <w:sz w:val="24"/>
        </w:rPr>
        <w:t>评价”六个步骤进行，即教师布置任务后，学生分组，收集资料→决策工作方案→制定工作计划，教师审核工作计划，提出改进意见→学生按工作计划实施项目→教师检查→学生互评，教师考核。这一过程中，始终以“任务驱动”为主线，将策划、任务分解、“教学做”有机结合起来。通过“任务驱动，项目导向”教学法，可以加强学生训练目的性，学生通过项目调研、项目实施、项目验收等环节的训练，培养了学生发现问题、分析问题和解决问题的能力和技术综合应用能力。</w:t>
      </w:r>
    </w:p>
    <w:p>
      <w:pPr>
        <w:autoSpaceDE w:val="0"/>
        <w:autoSpaceDN w:val="0"/>
        <w:adjustRightInd w:val="0"/>
        <w:spacing w:line="360" w:lineRule="auto"/>
        <w:ind w:firstLine="480" w:firstLineChars="200"/>
        <w:rPr>
          <w:rFonts w:ascii="E-HZ+ZETBZb-4" w:hAnsi="Times New Roman" w:eastAsia="E-HZ+ZETBZb-4" w:cs="E-HZ+ZETBZb-4"/>
          <w:color w:val="000000"/>
          <w:kern w:val="0"/>
          <w:szCs w:val="21"/>
        </w:rPr>
      </w:pPr>
      <w:r>
        <w:rPr>
          <w:rFonts w:hint="eastAsia" w:ascii="宋体" w:hAnsi="宋体" w:eastAsia="宋体" w:cs="Times New Roman"/>
          <w:color w:val="000000"/>
          <w:kern w:val="0"/>
          <w:sz w:val="24"/>
        </w:rPr>
        <w:t>倡导以学生为主体自主完成六步全过程</w:t>
      </w:r>
      <w:r>
        <w:rPr>
          <w:rFonts w:hint="eastAsia" w:ascii="宋体" w:hAnsi="宋体" w:eastAsia="宋体" w:cs="AdobeHeitiStd-Regular"/>
          <w:color w:val="000000"/>
          <w:kern w:val="0"/>
          <w:sz w:val="24"/>
        </w:rPr>
        <w:t>，</w:t>
      </w:r>
      <w:r>
        <w:rPr>
          <w:rFonts w:hint="eastAsia" w:ascii="宋体" w:hAnsi="宋体" w:eastAsia="宋体" w:cs="Times New Roman"/>
          <w:color w:val="000000"/>
          <w:kern w:val="0"/>
          <w:sz w:val="24"/>
        </w:rPr>
        <w:t>充分挖掘对学生能力培养的因素</w:t>
      </w:r>
      <w:r>
        <w:rPr>
          <w:rFonts w:hint="eastAsia" w:ascii="宋体" w:hAnsi="宋体" w:eastAsia="宋体" w:cs="AdobeHeitiStd-Regular"/>
          <w:color w:val="000000"/>
          <w:kern w:val="0"/>
          <w:sz w:val="24"/>
        </w:rPr>
        <w:t>，</w:t>
      </w:r>
      <w:r>
        <w:rPr>
          <w:rFonts w:hint="eastAsia" w:ascii="宋体" w:hAnsi="宋体" w:eastAsia="宋体" w:cs="Times New Roman"/>
          <w:color w:val="000000"/>
          <w:kern w:val="0"/>
          <w:sz w:val="24"/>
        </w:rPr>
        <w:t>学生自主进行计划制定</w:t>
      </w:r>
      <w:r>
        <w:rPr>
          <w:rFonts w:hint="eastAsia" w:ascii="宋体" w:hAnsi="宋体" w:eastAsia="宋体" w:cs="SSJ0+ZETBZa-3"/>
          <w:color w:val="000000"/>
          <w:kern w:val="0"/>
          <w:sz w:val="24"/>
        </w:rPr>
        <w:t>、</w:t>
      </w:r>
      <w:r>
        <w:rPr>
          <w:rFonts w:hint="eastAsia" w:ascii="宋体" w:hAnsi="宋体" w:eastAsia="宋体" w:cs="Times New Roman"/>
          <w:color w:val="000000"/>
          <w:kern w:val="0"/>
          <w:sz w:val="24"/>
        </w:rPr>
        <w:t>过程实施</w:t>
      </w:r>
      <w:r>
        <w:rPr>
          <w:rFonts w:hint="eastAsia" w:ascii="宋体" w:hAnsi="宋体" w:eastAsia="宋体" w:cs="SSJ0+ZETBZa-3"/>
          <w:color w:val="000000"/>
          <w:kern w:val="0"/>
          <w:sz w:val="24"/>
        </w:rPr>
        <w:t>、</w:t>
      </w:r>
      <w:r>
        <w:rPr>
          <w:rFonts w:hint="eastAsia" w:ascii="宋体" w:hAnsi="宋体" w:eastAsia="宋体" w:cs="Times New Roman"/>
          <w:color w:val="000000"/>
          <w:kern w:val="0"/>
          <w:sz w:val="24"/>
        </w:rPr>
        <w:t>质量控制与管理及工作评价</w:t>
      </w:r>
      <w:r>
        <w:rPr>
          <w:rFonts w:hint="eastAsia" w:ascii="宋体" w:hAnsi="宋体" w:eastAsia="宋体" w:cs="AdobeHeitiStd-Regular"/>
          <w:color w:val="000000"/>
          <w:kern w:val="0"/>
          <w:sz w:val="24"/>
        </w:rPr>
        <w:t>，</w:t>
      </w:r>
      <w:r>
        <w:rPr>
          <w:rFonts w:hint="eastAsia" w:ascii="宋体" w:hAnsi="宋体" w:eastAsia="宋体" w:cs="Times New Roman"/>
          <w:color w:val="000000"/>
          <w:kern w:val="0"/>
          <w:sz w:val="24"/>
        </w:rPr>
        <w:t>同学之间协同配合</w:t>
      </w:r>
      <w:r>
        <w:rPr>
          <w:rFonts w:hint="eastAsia" w:ascii="宋体" w:hAnsi="宋体" w:eastAsia="宋体" w:cs="AdobeHeitiStd-Regular"/>
          <w:color w:val="000000"/>
          <w:kern w:val="0"/>
          <w:sz w:val="24"/>
        </w:rPr>
        <w:t>，</w:t>
      </w:r>
      <w:r>
        <w:rPr>
          <w:rFonts w:hint="eastAsia" w:ascii="宋体" w:hAnsi="宋体" w:eastAsia="宋体" w:cs="Times New Roman"/>
          <w:color w:val="000000"/>
          <w:kern w:val="0"/>
          <w:sz w:val="24"/>
        </w:rPr>
        <w:t>共同完成</w:t>
      </w:r>
      <w:r>
        <w:rPr>
          <w:rFonts w:hint="eastAsia" w:ascii="宋体" w:hAnsi="宋体" w:eastAsia="宋体" w:cs="SSJ0+ZETBZa-3"/>
          <w:color w:val="000000"/>
          <w:kern w:val="0"/>
          <w:sz w:val="24"/>
        </w:rPr>
        <w:t>“</w:t>
      </w:r>
      <w:r>
        <w:rPr>
          <w:rFonts w:hint="eastAsia" w:ascii="宋体" w:hAnsi="宋体" w:eastAsia="宋体" w:cs="Times New Roman"/>
          <w:color w:val="000000"/>
          <w:kern w:val="0"/>
          <w:sz w:val="24"/>
        </w:rPr>
        <w:t>工作任务</w:t>
      </w:r>
      <w:r>
        <w:rPr>
          <w:rFonts w:hint="eastAsia" w:ascii="宋体" w:hAnsi="宋体" w:eastAsia="宋体" w:cs="SSJ0+ZETBZc-6"/>
          <w:color w:val="000000"/>
          <w:kern w:val="0"/>
          <w:sz w:val="24"/>
        </w:rPr>
        <w:t>”</w:t>
      </w:r>
      <w:r>
        <w:rPr>
          <w:rFonts w:hint="eastAsia" w:ascii="宋体" w:hAnsi="宋体" w:eastAsia="宋体" w:cs="AdobeHeitiStd-Regular"/>
          <w:color w:val="000000"/>
          <w:kern w:val="0"/>
          <w:sz w:val="24"/>
        </w:rPr>
        <w:t>，</w:t>
      </w:r>
      <w:r>
        <w:rPr>
          <w:rFonts w:hint="eastAsia" w:ascii="宋体" w:hAnsi="宋体" w:eastAsia="宋体" w:cs="Times New Roman"/>
          <w:color w:val="000000"/>
          <w:kern w:val="0"/>
          <w:sz w:val="24"/>
        </w:rPr>
        <w:t>教师在其中只起到指导</w:t>
      </w:r>
      <w:r>
        <w:rPr>
          <w:rFonts w:hint="eastAsia" w:ascii="宋体" w:hAnsi="宋体" w:eastAsia="宋体" w:cs="SSJ0+ZETBZa-3"/>
          <w:color w:val="000000"/>
          <w:kern w:val="0"/>
          <w:sz w:val="24"/>
        </w:rPr>
        <w:t>、</w:t>
      </w:r>
      <w:r>
        <w:rPr>
          <w:rFonts w:hint="eastAsia" w:ascii="宋体" w:hAnsi="宋体" w:eastAsia="宋体" w:cs="Times New Roman"/>
          <w:color w:val="000000"/>
          <w:kern w:val="0"/>
          <w:sz w:val="24"/>
        </w:rPr>
        <w:t>答疑和归纳提升作用</w:t>
      </w:r>
      <w:r>
        <w:rPr>
          <w:rFonts w:hint="eastAsia" w:ascii="宋体" w:hAnsi="宋体" w:eastAsia="宋体" w:cs="SSJ0+ZETBZa-3"/>
          <w:color w:val="000000"/>
          <w:kern w:val="0"/>
          <w:sz w:val="24"/>
        </w:rPr>
        <w:t>。</w:t>
      </w:r>
      <w:r>
        <w:rPr>
          <w:rFonts w:hint="eastAsia" w:ascii="宋体" w:hAnsi="宋体" w:eastAsia="宋体" w:cs="Times New Roman"/>
          <w:color w:val="000000"/>
          <w:kern w:val="0"/>
          <w:sz w:val="24"/>
        </w:rPr>
        <w:t>学生以小组配合的学习形式</w:t>
      </w:r>
      <w:r>
        <w:rPr>
          <w:rFonts w:hint="eastAsia" w:ascii="宋体" w:hAnsi="宋体" w:eastAsia="宋体" w:cs="AdobeHeitiStd-Regular"/>
          <w:color w:val="000000"/>
          <w:kern w:val="0"/>
          <w:sz w:val="24"/>
        </w:rPr>
        <w:t>，</w:t>
      </w:r>
      <w:r>
        <w:rPr>
          <w:rFonts w:hint="eastAsia" w:ascii="宋体" w:hAnsi="宋体" w:eastAsia="宋体" w:cs="Times New Roman"/>
          <w:color w:val="000000"/>
          <w:kern w:val="0"/>
          <w:sz w:val="24"/>
        </w:rPr>
        <w:t>组内成员在完成每一次教学任务时都分工明确</w:t>
      </w:r>
      <w:r>
        <w:rPr>
          <w:rFonts w:hint="eastAsia" w:ascii="宋体" w:hAnsi="宋体" w:eastAsia="宋体" w:cs="AdobeHeitiStd-Regular"/>
          <w:color w:val="000000"/>
          <w:kern w:val="0"/>
          <w:sz w:val="24"/>
        </w:rPr>
        <w:t>，</w:t>
      </w:r>
      <w:r>
        <w:rPr>
          <w:rFonts w:hint="eastAsia" w:ascii="宋体" w:hAnsi="宋体" w:eastAsia="宋体" w:cs="Times New Roman"/>
          <w:color w:val="000000"/>
          <w:kern w:val="0"/>
          <w:sz w:val="24"/>
        </w:rPr>
        <w:t>按照规定完成资料收集</w:t>
      </w:r>
      <w:r>
        <w:rPr>
          <w:rFonts w:hint="eastAsia" w:ascii="宋体" w:hAnsi="宋体" w:eastAsia="宋体" w:cs="SSJ0+ZETBZa-3"/>
          <w:color w:val="000000"/>
          <w:kern w:val="0"/>
          <w:sz w:val="24"/>
        </w:rPr>
        <w:t>、</w:t>
      </w:r>
      <w:r>
        <w:rPr>
          <w:rFonts w:hint="eastAsia" w:ascii="宋体" w:hAnsi="宋体" w:eastAsia="宋体" w:cs="Times New Roman"/>
          <w:color w:val="000000"/>
          <w:kern w:val="0"/>
          <w:sz w:val="24"/>
        </w:rPr>
        <w:t>计划制定</w:t>
      </w:r>
      <w:r>
        <w:rPr>
          <w:rFonts w:hint="eastAsia" w:ascii="宋体" w:hAnsi="宋体" w:eastAsia="宋体" w:cs="SSJ0+ZETBZa-3"/>
          <w:color w:val="000000"/>
          <w:kern w:val="0"/>
          <w:sz w:val="24"/>
        </w:rPr>
        <w:t>、</w:t>
      </w:r>
      <w:r>
        <w:rPr>
          <w:rFonts w:hint="eastAsia" w:ascii="宋体" w:hAnsi="宋体" w:eastAsia="宋体" w:cs="Times New Roman"/>
          <w:color w:val="000000"/>
          <w:kern w:val="0"/>
          <w:sz w:val="24"/>
        </w:rPr>
        <w:t>拟定安全注意事项</w:t>
      </w:r>
      <w:r>
        <w:rPr>
          <w:rFonts w:hint="eastAsia" w:ascii="宋体" w:hAnsi="宋体" w:eastAsia="宋体" w:cs="SSJ0+ZETBZa-3"/>
          <w:color w:val="000000"/>
          <w:kern w:val="0"/>
          <w:sz w:val="24"/>
        </w:rPr>
        <w:t>、</w:t>
      </w:r>
      <w:r>
        <w:rPr>
          <w:rFonts w:hint="eastAsia" w:ascii="宋体" w:hAnsi="宋体" w:eastAsia="宋体" w:cs="Times New Roman"/>
          <w:color w:val="000000"/>
          <w:kern w:val="0"/>
          <w:sz w:val="24"/>
        </w:rPr>
        <w:t>熟悉操作规程</w:t>
      </w:r>
      <w:r>
        <w:rPr>
          <w:rFonts w:hint="eastAsia" w:ascii="宋体" w:hAnsi="宋体" w:eastAsia="宋体" w:cs="SSJ0+ZETBZa-3"/>
          <w:color w:val="000000"/>
          <w:kern w:val="0"/>
          <w:sz w:val="24"/>
        </w:rPr>
        <w:t>、</w:t>
      </w:r>
      <w:r>
        <w:rPr>
          <w:rFonts w:hint="eastAsia" w:ascii="宋体" w:hAnsi="宋体" w:eastAsia="宋体" w:cs="Times New Roman"/>
          <w:color w:val="000000"/>
          <w:kern w:val="0"/>
          <w:sz w:val="24"/>
        </w:rPr>
        <w:t>实施装置操作等工作任务</w:t>
      </w:r>
      <w:r>
        <w:rPr>
          <w:rFonts w:hint="eastAsia" w:ascii="宋体" w:hAnsi="宋体" w:eastAsia="宋体" w:cs="AdobeHeitiStd-Regular"/>
          <w:color w:val="000000"/>
          <w:kern w:val="0"/>
          <w:sz w:val="24"/>
        </w:rPr>
        <w:t>，</w:t>
      </w:r>
      <w:r>
        <w:rPr>
          <w:rFonts w:hint="eastAsia" w:ascii="宋体" w:hAnsi="宋体" w:eastAsia="宋体" w:cs="Times New Roman"/>
          <w:color w:val="000000"/>
          <w:kern w:val="0"/>
          <w:sz w:val="24"/>
        </w:rPr>
        <w:t>通过反复训练</w:t>
      </w:r>
      <w:r>
        <w:rPr>
          <w:rFonts w:hint="eastAsia" w:ascii="宋体" w:hAnsi="宋体" w:eastAsia="宋体" w:cs="AdobeHeitiStd-Regular"/>
          <w:color w:val="000000"/>
          <w:kern w:val="0"/>
          <w:sz w:val="24"/>
        </w:rPr>
        <w:t>，</w:t>
      </w:r>
      <w:r>
        <w:rPr>
          <w:rFonts w:hint="eastAsia" w:ascii="宋体" w:hAnsi="宋体" w:eastAsia="宋体" w:cs="Times New Roman"/>
          <w:color w:val="000000"/>
          <w:kern w:val="0"/>
          <w:sz w:val="24"/>
        </w:rPr>
        <w:t>使学生熟练掌握专业技能</w:t>
      </w:r>
      <w:r>
        <w:rPr>
          <w:rFonts w:hint="eastAsia" w:ascii="宋体" w:hAnsi="宋体" w:eastAsia="宋体" w:cs="AdobeHeitiStd-Regular"/>
          <w:color w:val="000000"/>
          <w:kern w:val="0"/>
          <w:sz w:val="24"/>
        </w:rPr>
        <w:t>，</w:t>
      </w:r>
      <w:r>
        <w:rPr>
          <w:rFonts w:hint="eastAsia" w:ascii="宋体" w:hAnsi="宋体" w:eastAsia="宋体" w:cs="Times New Roman"/>
          <w:color w:val="000000"/>
          <w:kern w:val="0"/>
          <w:sz w:val="24"/>
        </w:rPr>
        <w:t>学习到与操作有关的理论知识</w:t>
      </w:r>
      <w:r>
        <w:rPr>
          <w:rFonts w:hint="eastAsia" w:ascii="宋体" w:hAnsi="宋体" w:eastAsia="宋体" w:cs="AdobeHeitiStd-Regular"/>
          <w:color w:val="000000"/>
          <w:kern w:val="0"/>
          <w:sz w:val="24"/>
        </w:rPr>
        <w:t>，</w:t>
      </w:r>
      <w:r>
        <w:rPr>
          <w:rFonts w:hint="eastAsia" w:ascii="宋体" w:hAnsi="宋体" w:eastAsia="宋体" w:cs="Times New Roman"/>
          <w:color w:val="000000"/>
          <w:kern w:val="0"/>
          <w:sz w:val="24"/>
        </w:rPr>
        <w:t>特别是应用理论知识解决问题问题的能力得到提高</w:t>
      </w:r>
      <w:r>
        <w:rPr>
          <w:rFonts w:hint="eastAsia" w:ascii="宋体" w:hAnsi="宋体" w:eastAsia="宋体" w:cs="AdobeHeitiStd-Regular"/>
          <w:color w:val="000000"/>
          <w:kern w:val="0"/>
          <w:sz w:val="24"/>
        </w:rPr>
        <w:t>，</w:t>
      </w:r>
      <w:r>
        <w:rPr>
          <w:rFonts w:hint="eastAsia" w:ascii="宋体" w:hAnsi="宋体" w:eastAsia="宋体" w:cs="Times New Roman"/>
          <w:color w:val="000000"/>
          <w:kern w:val="0"/>
          <w:sz w:val="24"/>
        </w:rPr>
        <w:t>同时培养学生的团队合作精神</w:t>
      </w:r>
      <w:r>
        <w:rPr>
          <w:rFonts w:hint="eastAsia" w:ascii="宋体" w:hAnsi="宋体" w:eastAsia="宋体" w:cs="AdobeHeitiStd-Regular"/>
          <w:color w:val="000000"/>
          <w:kern w:val="0"/>
          <w:sz w:val="24"/>
        </w:rPr>
        <w:t>，</w:t>
      </w:r>
      <w:r>
        <w:rPr>
          <w:rFonts w:hint="eastAsia" w:ascii="宋体" w:hAnsi="宋体" w:eastAsia="宋体" w:cs="Times New Roman"/>
          <w:color w:val="000000"/>
          <w:kern w:val="0"/>
          <w:sz w:val="24"/>
        </w:rPr>
        <w:t>并在工作中享受自我实现的成就感</w:t>
      </w:r>
      <w:r>
        <w:rPr>
          <w:rFonts w:hint="eastAsia" w:ascii="宋体" w:hAnsi="宋体" w:eastAsia="宋体" w:cs="AdobeHeitiStd-Regular"/>
          <w:color w:val="000000"/>
          <w:kern w:val="0"/>
          <w:sz w:val="24"/>
        </w:rPr>
        <w:t>，</w:t>
      </w:r>
      <w:r>
        <w:rPr>
          <w:rFonts w:hint="eastAsia" w:ascii="宋体" w:hAnsi="宋体" w:eastAsia="宋体" w:cs="Times New Roman"/>
          <w:color w:val="000000"/>
          <w:sz w:val="24"/>
        </w:rPr>
        <w:t>充分发挥学生的主动性和创造性</w:t>
      </w:r>
      <w:r>
        <w:rPr>
          <w:rFonts w:hint="eastAsia" w:ascii="宋体" w:hAnsi="宋体" w:eastAsia="宋体" w:cs="SSJ0+ZETBZa-3"/>
          <w:color w:val="000000"/>
          <w:sz w:val="24"/>
        </w:rPr>
        <w:t>。</w:t>
      </w:r>
      <w:r>
        <w:rPr>
          <w:rFonts w:hint="eastAsia" w:ascii="宋体" w:hAnsi="宋体" w:eastAsia="宋体" w:cs="Times New Roman"/>
          <w:color w:val="000000"/>
          <w:sz w:val="24"/>
        </w:rPr>
        <w:t>每个学习任务结束时教师对任务相关的理论知识进行系统提炼</w:t>
      </w:r>
      <w:r>
        <w:rPr>
          <w:rFonts w:hint="eastAsia" w:ascii="宋体" w:hAnsi="宋体" w:eastAsia="宋体" w:cs="SSJ0+ZETBZa-3"/>
          <w:color w:val="000000"/>
          <w:sz w:val="24"/>
        </w:rPr>
        <w:t>。</w:t>
      </w:r>
    </w:p>
    <w:p>
      <w:pPr>
        <w:autoSpaceDE w:val="0"/>
        <w:autoSpaceDN w:val="0"/>
        <w:adjustRightInd w:val="0"/>
        <w:spacing w:line="360" w:lineRule="auto"/>
        <w:ind w:firstLine="360" w:firstLineChars="150"/>
        <w:rPr>
          <w:rFonts w:ascii="宋体" w:hAnsi="宋体" w:eastAsia="宋体" w:cs="Times New Roman"/>
          <w:color w:val="000000"/>
          <w:kern w:val="0"/>
          <w:sz w:val="24"/>
        </w:rPr>
      </w:pPr>
      <w:r>
        <w:rPr>
          <w:rFonts w:hint="eastAsia" w:ascii="宋体" w:hAnsi="宋体" w:eastAsia="宋体" w:cs="Times New Roman"/>
          <w:color w:val="000000"/>
          <w:kern w:val="0"/>
          <w:sz w:val="24"/>
        </w:rPr>
        <w:t>（2）小组合作学习法</w:t>
      </w:r>
    </w:p>
    <w:p>
      <w:pPr>
        <w:autoSpaceDE w:val="0"/>
        <w:autoSpaceDN w:val="0"/>
        <w:adjustRightInd w:val="0"/>
        <w:spacing w:line="360" w:lineRule="auto"/>
        <w:ind w:firstLine="480" w:firstLineChars="200"/>
        <w:rPr>
          <w:rFonts w:ascii="宋体" w:hAnsi="宋体" w:eastAsia="宋体" w:cs="Times New Roman"/>
          <w:color w:val="000000"/>
          <w:kern w:val="0"/>
          <w:sz w:val="24"/>
        </w:rPr>
      </w:pPr>
      <w:r>
        <w:rPr>
          <w:rFonts w:hint="eastAsia" w:ascii="宋体" w:hAnsi="宋体" w:eastAsia="宋体" w:cs="Times New Roman"/>
          <w:color w:val="000000"/>
          <w:kern w:val="0"/>
          <w:sz w:val="24"/>
        </w:rPr>
        <w:t>将学生分成若干小组，每个小组一般可由4—6名学生组成，每组推选一名小组长，以小组讨论方式进行合作学习，同学之间协同配合，共同制定工作计划，进行任务分配来完成具体的工作任务，教师在其中只起到指导、答疑和归纳提升作用。学生以小组配合的学习形式，组内成员在完成每一次教学任务时都分工明确，按照规定完成资料收集、计划制定、拟定安全注意事项、熟悉操作规程、实施装置操作等工作任务，通过反复训练，使学生熟练掌握专业技能，学习到与操作有关的理论知识，特别是应用理论知识解决问题问题的能力得到提高，同时培养学生的团队合作精神，并在工作中享受自我实现的成就感，充分发挥学生的主动性和创造性。</w:t>
      </w:r>
    </w:p>
    <w:p>
      <w:pPr>
        <w:autoSpaceDE w:val="0"/>
        <w:autoSpaceDN w:val="0"/>
        <w:adjustRightInd w:val="0"/>
        <w:spacing w:line="360" w:lineRule="auto"/>
        <w:ind w:firstLine="360" w:firstLineChars="150"/>
        <w:rPr>
          <w:rFonts w:ascii="宋体" w:hAnsi="宋体" w:eastAsia="宋体" w:cs="Times New Roman"/>
          <w:color w:val="000000"/>
          <w:kern w:val="0"/>
          <w:sz w:val="24"/>
        </w:rPr>
      </w:pPr>
      <w:r>
        <w:rPr>
          <w:rFonts w:hint="eastAsia" w:ascii="宋体" w:hAnsi="宋体" w:eastAsia="宋体" w:cs="Times New Roman"/>
          <w:color w:val="000000"/>
          <w:kern w:val="0"/>
          <w:sz w:val="24"/>
        </w:rPr>
        <w:t>（3）自主学习法</w:t>
      </w:r>
    </w:p>
    <w:p>
      <w:pPr>
        <w:autoSpaceDE w:val="0"/>
        <w:autoSpaceDN w:val="0"/>
        <w:adjustRightInd w:val="0"/>
        <w:spacing w:line="360" w:lineRule="auto"/>
        <w:ind w:firstLine="480" w:firstLineChars="200"/>
        <w:rPr>
          <w:rFonts w:ascii="宋体" w:hAnsi="宋体" w:eastAsia="宋体" w:cs="Times New Roman"/>
          <w:color w:val="000000"/>
          <w:kern w:val="0"/>
          <w:sz w:val="24"/>
        </w:rPr>
      </w:pPr>
      <w:r>
        <w:rPr>
          <w:rFonts w:hint="eastAsia" w:ascii="宋体" w:hAnsi="宋体" w:eastAsia="宋体" w:cs="Times New Roman"/>
          <w:color w:val="000000"/>
          <w:kern w:val="0"/>
          <w:sz w:val="24"/>
        </w:rPr>
        <w:t>在教学过程中，倡导以学生为主体自主完成六步全过程，充分挖掘对学生能力培养的因素。学生通过自主进行计划制定、过程实施、质量控制与管理及工作评价，可极大地发挥自身的能动性和主体性；通过完成任务所需的获取信息、设计方案、制定操作规程、操作等完整实践过程，可有效掌握职业技能、获得专业知识，从而构建自己的经验和知识体系。此外，还可以通过在线网站和教学录像、动画视频、电化教学片等内容，让学生进行自主学习。</w:t>
      </w:r>
    </w:p>
    <w:p>
      <w:pPr>
        <w:spacing w:line="360" w:lineRule="auto"/>
        <w:ind w:firstLine="480" w:firstLineChars="150"/>
        <w:rPr>
          <w:rFonts w:ascii="黑体" w:hAnsi="黑体" w:eastAsia="黑体" w:cs="Times New Roman"/>
          <w:sz w:val="32"/>
          <w:szCs w:val="32"/>
        </w:rPr>
      </w:pPr>
      <w:r>
        <w:rPr>
          <w:rFonts w:hint="eastAsia" w:ascii="黑体" w:hAnsi="黑体" w:eastAsia="黑体" w:cs="Times New Roman"/>
          <w:sz w:val="32"/>
          <w:szCs w:val="32"/>
        </w:rPr>
        <w:t>六、考核标准与成绩评定方法</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采用过程考核（任务考评）、阶段考核（情境考核）及期末考核（课程考核）相结合的考评方式，强调过程考核重要性。过程考核为开放性评价，由教师和学生共同参与考评，注重考核学生专业能力、方法能力和社会能力，鼓励同学间、小组间的相对评价和适度竞争：既着眼于对整个小组的评价，又要注意到个人在项目中所承担的角色、发挥的具体的作用及进步情况；终结考评由教师进行考评，注重考核学生专业知识掌握情况、综合技能水平和职业行动完整性。</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学生成绩组成=过程考核成绩60%+阶段考核20%+期末考核20%。过程考核由组员评价（占过程考核的40%）和小组评价（占过程考核60%）两部分组成。</w:t>
      </w:r>
    </w:p>
    <w:p>
      <w:pPr>
        <w:spacing w:line="360" w:lineRule="auto"/>
        <w:ind w:firstLine="480" w:firstLineChars="200"/>
        <w:rPr>
          <w:sz w:val="24"/>
        </w:rPr>
      </w:pPr>
      <w:r>
        <w:rPr>
          <w:rFonts w:hint="eastAsia"/>
          <w:sz w:val="24"/>
        </w:rPr>
        <w:t>1．</w:t>
      </w:r>
      <w:r>
        <w:rPr>
          <w:sz w:val="24"/>
        </w:rPr>
        <w:t>工作任务评价（60%）</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每一个工作任务都以工作成果及完成的任务符合度进行考核，学生完成工作任务后提出自评成绩，小组成员进行互评，教师对工作任务的成果进行逐项分析，哪些工作可以进一步改进？如何改进？并将学生的出勤、课堂纪律、团队合作等纳入考核指标，具体权重可根据工作任务的特点、内容、难度确定，工作任务考评占总成绩的60%。</w:t>
      </w:r>
    </w:p>
    <w:p>
      <w:pPr>
        <w:spacing w:line="360" w:lineRule="auto"/>
        <w:ind w:firstLine="480" w:firstLineChars="200"/>
        <w:rPr>
          <w:sz w:val="24"/>
        </w:rPr>
      </w:pPr>
      <w:r>
        <w:rPr>
          <w:sz w:val="24"/>
        </w:rPr>
        <w:t>2</w:t>
      </w:r>
      <w:r>
        <w:rPr>
          <w:rFonts w:hint="eastAsia"/>
          <w:sz w:val="24"/>
        </w:rPr>
        <w:t>．</w:t>
      </w:r>
      <w:r>
        <w:rPr>
          <w:sz w:val="24"/>
        </w:rPr>
        <w:t xml:space="preserve"> 阶段评价（20%）</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针对工作任务中的知识点进行阶段性测试，通过提炼工作任务中的重要知识点，实现知识应用中由工作知识的针对性到知识应用的普适性之间的迁移，把握应用知识的深度和广度。阶段评价由理论考试及实践考试组成，各占50%。其中理论考试注重课程知识点的考核，实践考试包括实际动手能力，绘制化工设备图样。</w:t>
      </w:r>
    </w:p>
    <w:p>
      <w:pPr>
        <w:spacing w:line="360" w:lineRule="auto"/>
        <w:ind w:firstLine="480" w:firstLineChars="200"/>
        <w:rPr>
          <w:sz w:val="24"/>
        </w:rPr>
      </w:pPr>
      <w:r>
        <w:rPr>
          <w:sz w:val="24"/>
        </w:rPr>
        <w:t>3</w:t>
      </w:r>
      <w:r>
        <w:rPr>
          <w:rFonts w:hint="eastAsia"/>
          <w:sz w:val="24"/>
        </w:rPr>
        <w:t>．</w:t>
      </w:r>
      <w:r>
        <w:rPr>
          <w:sz w:val="24"/>
        </w:rPr>
        <w:t>期末考试综合评价（20%）</w:t>
      </w:r>
    </w:p>
    <w:p>
      <w:pPr>
        <w:adjustRightInd w:val="0"/>
        <w:snapToGrid w:val="0"/>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学习任务过程评价中，确定了知识目标考核、技能目标考核和态度目标考核三项合一的综合能力考核评价体系。依据多项工作任务的《评分标准》及学生在工作过程中的工具使用、操作技能、存在问题、阶段性作业、结果展示、讲解交流、组织纪律等进行专业能力综合考核。</w:t>
      </w:r>
    </w:p>
    <w:p>
      <w:pPr>
        <w:spacing w:line="360" w:lineRule="auto"/>
        <w:ind w:firstLine="480" w:firstLineChars="200"/>
        <w:rPr>
          <w:sz w:val="24"/>
        </w:rPr>
      </w:pPr>
      <w:r>
        <w:rPr>
          <w:sz w:val="24"/>
        </w:rPr>
        <w:t>4</w:t>
      </w:r>
      <w:r>
        <w:rPr>
          <w:rFonts w:hint="eastAsia"/>
          <w:sz w:val="24"/>
        </w:rPr>
        <w:t>．</w:t>
      </w:r>
      <w:r>
        <w:rPr>
          <w:sz w:val="24"/>
        </w:rPr>
        <w:t xml:space="preserve"> 评价标准</w:t>
      </w:r>
    </w:p>
    <w:p>
      <w:pPr>
        <w:adjustRightInd w:val="0"/>
        <w:snapToGrid w:val="0"/>
        <w:spacing w:line="360" w:lineRule="auto"/>
        <w:jc w:val="center"/>
        <w:rPr>
          <w:rFonts w:ascii="Times New Roman" w:hAnsi="Times New Roman" w:eastAsia="宋体" w:cs="Times New Roman"/>
          <w:bCs/>
          <w:sz w:val="24"/>
        </w:rPr>
      </w:pPr>
      <w:r>
        <w:rPr>
          <w:rFonts w:ascii="Times New Roman" w:hAnsi="宋体" w:eastAsia="宋体" w:cs="Times New Roman"/>
          <w:bCs/>
          <w:sz w:val="24"/>
        </w:rPr>
        <w:t>表</w:t>
      </w:r>
      <w:r>
        <w:rPr>
          <w:rFonts w:hint="eastAsia" w:ascii="Times New Roman" w:hAnsi="Times New Roman" w:eastAsia="宋体" w:cs="Times New Roman"/>
          <w:bCs/>
          <w:sz w:val="24"/>
        </w:rPr>
        <w:t>4.2</w:t>
      </w:r>
      <w:r>
        <w:rPr>
          <w:rFonts w:ascii="Times New Roman" w:hAnsi="宋体" w:eastAsia="宋体" w:cs="Times New Roman"/>
          <w:bCs/>
          <w:sz w:val="24"/>
        </w:rPr>
        <w:t>学生成绩评价表</w:t>
      </w:r>
    </w:p>
    <w:tbl>
      <w:tblPr>
        <w:tblStyle w:val="18"/>
        <w:tblW w:w="8774" w:type="dxa"/>
        <w:jc w:val="center"/>
        <w:tblBorders>
          <w:top w:val="single" w:color="auto" w:sz="12" w:space="0"/>
          <w:left w:val="single" w:color="auto" w:sz="12" w:space="0"/>
          <w:bottom w:val="single" w:color="auto" w:sz="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080"/>
        <w:gridCol w:w="237"/>
        <w:gridCol w:w="843"/>
        <w:gridCol w:w="222"/>
        <w:gridCol w:w="1038"/>
        <w:gridCol w:w="27"/>
        <w:gridCol w:w="1065"/>
        <w:gridCol w:w="168"/>
        <w:gridCol w:w="897"/>
        <w:gridCol w:w="543"/>
        <w:gridCol w:w="522"/>
        <w:gridCol w:w="378"/>
        <w:gridCol w:w="180"/>
        <w:gridCol w:w="508"/>
        <w:gridCol w:w="392"/>
        <w:gridCol w:w="674"/>
      </w:tblGrid>
      <w:tr>
        <w:tblPrEx>
          <w:tblBorders>
            <w:top w:val="single" w:color="auto" w:sz="12" w:space="0"/>
            <w:left w:val="single" w:color="auto" w:sz="12" w:space="0"/>
            <w:bottom w:val="single" w:color="auto" w:sz="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1317" w:type="dxa"/>
            <w:gridSpan w:val="2"/>
            <w:vAlign w:val="center"/>
          </w:tcPr>
          <w:p>
            <w:pPr>
              <w:adjustRightInd w:val="0"/>
              <w:snapToGrid w:val="0"/>
              <w:spacing w:line="360" w:lineRule="auto"/>
              <w:rPr>
                <w:rFonts w:ascii="Times New Roman" w:hAnsi="Times New Roman" w:eastAsia="仿宋_GB2312" w:cs="Times New Roman"/>
                <w:szCs w:val="21"/>
              </w:rPr>
            </w:pPr>
            <w:r>
              <w:rPr>
                <w:rFonts w:ascii="Times New Roman" w:hAnsi="Times New Roman" w:eastAsia="仿宋_GB2312" w:cs="Times New Roman"/>
                <w:szCs w:val="21"/>
              </w:rPr>
              <w:t>学生姓名</w:t>
            </w:r>
          </w:p>
        </w:tc>
        <w:tc>
          <w:tcPr>
            <w:tcW w:w="1065"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065" w:type="dxa"/>
            <w:gridSpan w:val="2"/>
            <w:vAlign w:val="center"/>
          </w:tcPr>
          <w:p>
            <w:pPr>
              <w:adjustRightInd w:val="0"/>
              <w:snapToGrid w:val="0"/>
              <w:spacing w:line="360" w:lineRule="auto"/>
              <w:rPr>
                <w:rFonts w:ascii="Times New Roman" w:hAnsi="Times New Roman" w:eastAsia="仿宋_GB2312" w:cs="Times New Roman"/>
                <w:szCs w:val="21"/>
              </w:rPr>
            </w:pPr>
            <w:r>
              <w:rPr>
                <w:rFonts w:ascii="Times New Roman" w:hAnsi="Times New Roman" w:eastAsia="仿宋_GB2312" w:cs="Times New Roman"/>
                <w:szCs w:val="21"/>
              </w:rPr>
              <w:t>学号</w:t>
            </w:r>
          </w:p>
        </w:tc>
        <w:tc>
          <w:tcPr>
            <w:tcW w:w="1065" w:type="dxa"/>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065" w:type="dxa"/>
            <w:gridSpan w:val="2"/>
            <w:vAlign w:val="center"/>
          </w:tcPr>
          <w:p>
            <w:pPr>
              <w:adjustRightInd w:val="0"/>
              <w:snapToGrid w:val="0"/>
              <w:spacing w:line="360" w:lineRule="auto"/>
              <w:rPr>
                <w:rFonts w:ascii="Times New Roman" w:hAnsi="Times New Roman" w:eastAsia="仿宋_GB2312" w:cs="Times New Roman"/>
                <w:szCs w:val="21"/>
              </w:rPr>
            </w:pPr>
            <w:r>
              <w:rPr>
                <w:rFonts w:ascii="Times New Roman" w:hAnsi="Times New Roman" w:eastAsia="仿宋_GB2312" w:cs="Times New Roman"/>
                <w:szCs w:val="21"/>
              </w:rPr>
              <w:t>小组</w:t>
            </w:r>
          </w:p>
        </w:tc>
        <w:tc>
          <w:tcPr>
            <w:tcW w:w="1065"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066" w:type="dxa"/>
            <w:gridSpan w:val="3"/>
            <w:vAlign w:val="center"/>
          </w:tcPr>
          <w:p>
            <w:pPr>
              <w:adjustRightInd w:val="0"/>
              <w:snapToGrid w:val="0"/>
              <w:spacing w:line="360" w:lineRule="auto"/>
              <w:rPr>
                <w:rFonts w:ascii="Times New Roman" w:hAnsi="Times New Roman" w:eastAsia="仿宋_GB2312" w:cs="Times New Roman"/>
                <w:szCs w:val="21"/>
              </w:rPr>
            </w:pPr>
            <w:r>
              <w:rPr>
                <w:rFonts w:ascii="Times New Roman" w:hAnsi="Times New Roman" w:eastAsia="仿宋_GB2312" w:cs="Times New Roman"/>
                <w:szCs w:val="21"/>
              </w:rPr>
              <w:t>班级</w:t>
            </w:r>
          </w:p>
        </w:tc>
        <w:tc>
          <w:tcPr>
            <w:tcW w:w="1066"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r>
      <w:tr>
        <w:tblPrEx>
          <w:tblBorders>
            <w:top w:val="single" w:color="auto" w:sz="12" w:space="0"/>
            <w:left w:val="single" w:color="auto" w:sz="12" w:space="0"/>
            <w:bottom w:val="single" w:color="auto" w:sz="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70" w:hRule="atLeast"/>
          <w:jc w:val="center"/>
        </w:trPr>
        <w:tc>
          <w:tcPr>
            <w:tcW w:w="8774" w:type="dxa"/>
            <w:gridSpan w:val="16"/>
            <w:vAlign w:val="center"/>
          </w:tcPr>
          <w:p>
            <w:pPr>
              <w:adjustRightInd w:val="0"/>
              <w:snapToGrid w:val="0"/>
              <w:spacing w:beforeLines="50"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工作任务评价（60%）</w:t>
            </w:r>
          </w:p>
        </w:tc>
      </w:tr>
      <w:tr>
        <w:tblPrEx>
          <w:tblBorders>
            <w:top w:val="single" w:color="auto" w:sz="12" w:space="0"/>
            <w:left w:val="single" w:color="auto" w:sz="12" w:space="0"/>
            <w:bottom w:val="single" w:color="auto" w:sz="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1080" w:type="dxa"/>
            <w:vAlign w:val="center"/>
          </w:tcPr>
          <w:p>
            <w:pPr>
              <w:adjustRightInd w:val="0"/>
              <w:snapToGrid w:val="0"/>
              <w:spacing w:line="360" w:lineRule="auto"/>
              <w:rPr>
                <w:rFonts w:ascii="Times New Roman" w:hAnsi="Times New Roman" w:eastAsia="仿宋_GB2312" w:cs="Times New Roman"/>
                <w:szCs w:val="21"/>
              </w:rPr>
            </w:pPr>
            <w:r>
              <w:rPr>
                <w:rFonts w:ascii="Times New Roman" w:hAnsi="Times New Roman" w:eastAsia="仿宋_GB2312" w:cs="Times New Roman"/>
                <w:szCs w:val="21"/>
              </w:rPr>
              <w:t>工作</w:t>
            </w:r>
          </w:p>
          <w:p>
            <w:pPr>
              <w:adjustRightInd w:val="0"/>
              <w:snapToGrid w:val="0"/>
              <w:spacing w:line="360" w:lineRule="auto"/>
              <w:rPr>
                <w:rFonts w:ascii="Times New Roman" w:hAnsi="Times New Roman" w:eastAsia="仿宋_GB2312" w:cs="Times New Roman"/>
                <w:szCs w:val="21"/>
              </w:rPr>
            </w:pPr>
            <w:r>
              <w:rPr>
                <w:rFonts w:ascii="Times New Roman" w:hAnsi="Times New Roman" w:eastAsia="仿宋_GB2312" w:cs="Times New Roman"/>
                <w:szCs w:val="21"/>
              </w:rPr>
              <w:t>任务</w:t>
            </w:r>
          </w:p>
        </w:tc>
        <w:tc>
          <w:tcPr>
            <w:tcW w:w="1080" w:type="dxa"/>
            <w:gridSpan w:val="2"/>
            <w:vAlign w:val="center"/>
          </w:tcPr>
          <w:p>
            <w:pPr>
              <w:adjustRightInd w:val="0"/>
              <w:snapToGrid w:val="0"/>
              <w:spacing w:line="360" w:lineRule="auto"/>
              <w:rPr>
                <w:rFonts w:ascii="Times New Roman" w:hAnsi="Times New Roman" w:eastAsia="仿宋_GB2312" w:cs="Times New Roman"/>
                <w:szCs w:val="21"/>
              </w:rPr>
            </w:pPr>
            <w:r>
              <w:rPr>
                <w:rFonts w:ascii="Times New Roman" w:hAnsi="Times New Roman" w:eastAsia="仿宋_GB2312" w:cs="Times New Roman"/>
                <w:szCs w:val="21"/>
              </w:rPr>
              <w:t>查阅资料</w:t>
            </w:r>
          </w:p>
          <w:p>
            <w:pPr>
              <w:adjustRightInd w:val="0"/>
              <w:snapToGrid w:val="0"/>
              <w:spacing w:line="360" w:lineRule="auto"/>
              <w:rPr>
                <w:rFonts w:ascii="Times New Roman" w:hAnsi="Times New Roman" w:eastAsia="仿宋_GB2312" w:cs="Times New Roman"/>
                <w:szCs w:val="21"/>
              </w:rPr>
            </w:pPr>
            <w:r>
              <w:rPr>
                <w:rFonts w:ascii="Times New Roman" w:hAnsi="Times New Roman" w:eastAsia="仿宋_GB2312" w:cs="Times New Roman"/>
                <w:szCs w:val="21"/>
              </w:rPr>
              <w:t>（10分）</w:t>
            </w:r>
          </w:p>
        </w:tc>
        <w:tc>
          <w:tcPr>
            <w:tcW w:w="1260" w:type="dxa"/>
            <w:gridSpan w:val="2"/>
            <w:vAlign w:val="center"/>
          </w:tcPr>
          <w:p>
            <w:pPr>
              <w:adjustRightInd w:val="0"/>
              <w:snapToGrid w:val="0"/>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知识点</w:t>
            </w:r>
          </w:p>
          <w:p>
            <w:pPr>
              <w:adjustRightInd w:val="0"/>
              <w:snapToGrid w:val="0"/>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训练</w:t>
            </w:r>
          </w:p>
          <w:p>
            <w:pPr>
              <w:adjustRightInd w:val="0"/>
              <w:snapToGrid w:val="0"/>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（10分）</w:t>
            </w:r>
          </w:p>
        </w:tc>
        <w:tc>
          <w:tcPr>
            <w:tcW w:w="1260" w:type="dxa"/>
            <w:gridSpan w:val="3"/>
            <w:vAlign w:val="center"/>
          </w:tcPr>
          <w:p>
            <w:pPr>
              <w:adjustRightInd w:val="0"/>
              <w:snapToGrid w:val="0"/>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计划方案拟定</w:t>
            </w:r>
          </w:p>
          <w:p>
            <w:pPr>
              <w:adjustRightInd w:val="0"/>
              <w:snapToGrid w:val="0"/>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（10分）</w:t>
            </w:r>
          </w:p>
        </w:tc>
        <w:tc>
          <w:tcPr>
            <w:tcW w:w="1440" w:type="dxa"/>
            <w:gridSpan w:val="2"/>
            <w:vAlign w:val="center"/>
          </w:tcPr>
          <w:p>
            <w:pPr>
              <w:adjustRightInd w:val="0"/>
              <w:snapToGrid w:val="0"/>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任务中承担的角色</w:t>
            </w:r>
          </w:p>
          <w:p>
            <w:pPr>
              <w:adjustRightInd w:val="0"/>
              <w:snapToGrid w:val="0"/>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（10分）</w:t>
            </w:r>
          </w:p>
        </w:tc>
        <w:tc>
          <w:tcPr>
            <w:tcW w:w="1080" w:type="dxa"/>
            <w:gridSpan w:val="3"/>
            <w:vAlign w:val="center"/>
          </w:tcPr>
          <w:p>
            <w:pPr>
              <w:adjustRightInd w:val="0"/>
              <w:snapToGrid w:val="0"/>
              <w:spacing w:line="360" w:lineRule="auto"/>
              <w:rPr>
                <w:rFonts w:ascii="Times New Roman" w:hAnsi="Times New Roman" w:eastAsia="仿宋_GB2312" w:cs="Times New Roman"/>
                <w:szCs w:val="21"/>
              </w:rPr>
            </w:pPr>
            <w:r>
              <w:rPr>
                <w:rFonts w:ascii="Times New Roman" w:hAnsi="Times New Roman" w:eastAsia="仿宋_GB2312" w:cs="Times New Roman"/>
                <w:szCs w:val="21"/>
              </w:rPr>
              <w:t>任务成果</w:t>
            </w:r>
          </w:p>
          <w:p>
            <w:pPr>
              <w:adjustRightInd w:val="0"/>
              <w:snapToGrid w:val="0"/>
              <w:spacing w:line="360" w:lineRule="auto"/>
              <w:rPr>
                <w:rFonts w:ascii="Times New Roman" w:hAnsi="Times New Roman" w:eastAsia="仿宋_GB2312" w:cs="Times New Roman"/>
                <w:szCs w:val="21"/>
              </w:rPr>
            </w:pPr>
            <w:r>
              <w:rPr>
                <w:rFonts w:ascii="Times New Roman" w:hAnsi="Times New Roman" w:eastAsia="仿宋_GB2312" w:cs="Times New Roman"/>
                <w:szCs w:val="21"/>
              </w:rPr>
              <w:t>（60分）</w:t>
            </w:r>
          </w:p>
        </w:tc>
        <w:tc>
          <w:tcPr>
            <w:tcW w:w="900" w:type="dxa"/>
            <w:gridSpan w:val="2"/>
            <w:vAlign w:val="center"/>
          </w:tcPr>
          <w:p>
            <w:pPr>
              <w:adjustRightInd w:val="0"/>
              <w:snapToGrid w:val="0"/>
              <w:spacing w:line="360" w:lineRule="auto"/>
              <w:rPr>
                <w:rFonts w:ascii="Times New Roman" w:hAnsi="Times New Roman" w:eastAsia="仿宋_GB2312" w:cs="Times New Roman"/>
                <w:szCs w:val="21"/>
              </w:rPr>
            </w:pPr>
            <w:r>
              <w:rPr>
                <w:rFonts w:ascii="Times New Roman" w:hAnsi="Times New Roman" w:eastAsia="仿宋_GB2312" w:cs="Times New Roman"/>
                <w:szCs w:val="21"/>
              </w:rPr>
              <w:t>评价人</w:t>
            </w:r>
          </w:p>
        </w:tc>
        <w:tc>
          <w:tcPr>
            <w:tcW w:w="674" w:type="dxa"/>
            <w:vAlign w:val="center"/>
          </w:tcPr>
          <w:p>
            <w:pPr>
              <w:adjustRightInd w:val="0"/>
              <w:snapToGrid w:val="0"/>
              <w:spacing w:line="360" w:lineRule="auto"/>
              <w:rPr>
                <w:rFonts w:ascii="Times New Roman" w:hAnsi="Times New Roman" w:eastAsia="仿宋_GB2312" w:cs="Times New Roman"/>
                <w:szCs w:val="21"/>
              </w:rPr>
            </w:pPr>
            <w:r>
              <w:rPr>
                <w:rFonts w:ascii="Times New Roman" w:hAnsi="Times New Roman" w:eastAsia="仿宋_GB2312" w:cs="Times New Roman"/>
                <w:szCs w:val="21"/>
              </w:rPr>
              <w:t>得分</w:t>
            </w:r>
          </w:p>
        </w:tc>
      </w:tr>
      <w:tr>
        <w:tblPrEx>
          <w:tblBorders>
            <w:top w:val="single" w:color="auto" w:sz="12" w:space="0"/>
            <w:left w:val="single" w:color="auto" w:sz="12" w:space="0"/>
            <w:bottom w:val="single" w:color="auto" w:sz="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1080" w:type="dxa"/>
            <w:vAlign w:val="center"/>
          </w:tcPr>
          <w:p>
            <w:pPr>
              <w:adjustRightInd w:val="0"/>
              <w:snapToGrid w:val="0"/>
              <w:spacing w:line="360" w:lineRule="auto"/>
              <w:rPr>
                <w:rFonts w:ascii="Times New Roman" w:hAnsi="Times New Roman" w:eastAsia="仿宋_GB2312" w:cs="Times New Roman"/>
                <w:szCs w:val="21"/>
              </w:rPr>
            </w:pPr>
            <w:r>
              <w:rPr>
                <w:rFonts w:ascii="Times New Roman" w:hAnsi="Times New Roman" w:eastAsia="仿宋_GB2312" w:cs="Times New Roman"/>
                <w:szCs w:val="21"/>
              </w:rPr>
              <w:t>任务1</w:t>
            </w:r>
          </w:p>
        </w:tc>
        <w:tc>
          <w:tcPr>
            <w:tcW w:w="108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26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260" w:type="dxa"/>
            <w:gridSpan w:val="3"/>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44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080" w:type="dxa"/>
            <w:gridSpan w:val="3"/>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90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674" w:type="dxa"/>
            <w:vAlign w:val="center"/>
          </w:tcPr>
          <w:p>
            <w:pPr>
              <w:adjustRightInd w:val="0"/>
              <w:snapToGrid w:val="0"/>
              <w:spacing w:line="360" w:lineRule="auto"/>
              <w:ind w:firstLine="420" w:firstLineChars="200"/>
              <w:rPr>
                <w:rFonts w:ascii="Times New Roman" w:hAnsi="Times New Roman" w:eastAsia="仿宋_GB2312" w:cs="Times New Roman"/>
                <w:szCs w:val="21"/>
              </w:rPr>
            </w:pPr>
          </w:p>
        </w:tc>
      </w:tr>
      <w:tr>
        <w:tblPrEx>
          <w:tblBorders>
            <w:top w:val="single" w:color="auto" w:sz="12" w:space="0"/>
            <w:left w:val="single" w:color="auto" w:sz="12" w:space="0"/>
            <w:bottom w:val="single" w:color="auto" w:sz="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1080" w:type="dxa"/>
            <w:vAlign w:val="center"/>
          </w:tcPr>
          <w:p>
            <w:pPr>
              <w:adjustRightInd w:val="0"/>
              <w:snapToGrid w:val="0"/>
              <w:spacing w:line="360" w:lineRule="auto"/>
              <w:rPr>
                <w:rFonts w:ascii="Times New Roman" w:hAnsi="Times New Roman" w:eastAsia="仿宋_GB2312" w:cs="Times New Roman"/>
                <w:szCs w:val="21"/>
              </w:rPr>
            </w:pPr>
            <w:r>
              <w:rPr>
                <w:rFonts w:ascii="Times New Roman" w:hAnsi="Times New Roman" w:eastAsia="仿宋_GB2312" w:cs="Times New Roman"/>
                <w:szCs w:val="21"/>
              </w:rPr>
              <w:t>任务2</w:t>
            </w:r>
          </w:p>
        </w:tc>
        <w:tc>
          <w:tcPr>
            <w:tcW w:w="108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26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260" w:type="dxa"/>
            <w:gridSpan w:val="3"/>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44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080" w:type="dxa"/>
            <w:gridSpan w:val="3"/>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90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674" w:type="dxa"/>
            <w:vAlign w:val="center"/>
          </w:tcPr>
          <w:p>
            <w:pPr>
              <w:adjustRightInd w:val="0"/>
              <w:snapToGrid w:val="0"/>
              <w:spacing w:line="360" w:lineRule="auto"/>
              <w:ind w:firstLine="420" w:firstLineChars="200"/>
              <w:rPr>
                <w:rFonts w:ascii="Times New Roman" w:hAnsi="Times New Roman" w:eastAsia="仿宋_GB2312" w:cs="Times New Roman"/>
                <w:szCs w:val="21"/>
              </w:rPr>
            </w:pPr>
          </w:p>
        </w:tc>
      </w:tr>
      <w:tr>
        <w:tblPrEx>
          <w:tblBorders>
            <w:top w:val="single" w:color="auto" w:sz="12" w:space="0"/>
            <w:left w:val="single" w:color="auto" w:sz="12" w:space="0"/>
            <w:bottom w:val="single" w:color="auto" w:sz="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1080" w:type="dxa"/>
            <w:vAlign w:val="center"/>
          </w:tcPr>
          <w:p>
            <w:pPr>
              <w:adjustRightInd w:val="0"/>
              <w:snapToGrid w:val="0"/>
              <w:spacing w:line="360" w:lineRule="auto"/>
              <w:rPr>
                <w:rFonts w:ascii="Times New Roman" w:hAnsi="Times New Roman" w:eastAsia="仿宋_GB2312" w:cs="Times New Roman"/>
                <w:szCs w:val="21"/>
              </w:rPr>
            </w:pPr>
            <w:r>
              <w:rPr>
                <w:rFonts w:ascii="Times New Roman" w:hAnsi="Times New Roman" w:eastAsia="仿宋_GB2312" w:cs="Times New Roman"/>
                <w:szCs w:val="21"/>
              </w:rPr>
              <w:t>任务3</w:t>
            </w:r>
          </w:p>
        </w:tc>
        <w:tc>
          <w:tcPr>
            <w:tcW w:w="108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26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260" w:type="dxa"/>
            <w:gridSpan w:val="3"/>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44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080" w:type="dxa"/>
            <w:gridSpan w:val="3"/>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90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674" w:type="dxa"/>
            <w:vAlign w:val="center"/>
          </w:tcPr>
          <w:p>
            <w:pPr>
              <w:adjustRightInd w:val="0"/>
              <w:snapToGrid w:val="0"/>
              <w:spacing w:line="360" w:lineRule="auto"/>
              <w:ind w:firstLine="420" w:firstLineChars="200"/>
              <w:rPr>
                <w:rFonts w:ascii="Times New Roman" w:hAnsi="Times New Roman" w:eastAsia="仿宋_GB2312" w:cs="Times New Roman"/>
                <w:szCs w:val="21"/>
              </w:rPr>
            </w:pPr>
          </w:p>
        </w:tc>
      </w:tr>
      <w:tr>
        <w:tblPrEx>
          <w:tblBorders>
            <w:top w:val="single" w:color="auto" w:sz="12" w:space="0"/>
            <w:left w:val="single" w:color="auto" w:sz="12" w:space="0"/>
            <w:bottom w:val="single" w:color="auto" w:sz="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1080" w:type="dxa"/>
            <w:vAlign w:val="center"/>
          </w:tcPr>
          <w:p>
            <w:pPr>
              <w:adjustRightInd w:val="0"/>
              <w:snapToGrid w:val="0"/>
              <w:spacing w:line="360" w:lineRule="auto"/>
              <w:rPr>
                <w:rFonts w:ascii="Times New Roman" w:hAnsi="Times New Roman" w:eastAsia="仿宋_GB2312" w:cs="Times New Roman"/>
                <w:szCs w:val="21"/>
              </w:rPr>
            </w:pPr>
            <w:r>
              <w:rPr>
                <w:rFonts w:ascii="Times New Roman" w:hAnsi="Times New Roman" w:eastAsia="仿宋_GB2312" w:cs="Times New Roman"/>
                <w:szCs w:val="21"/>
              </w:rPr>
              <w:t>任务4</w:t>
            </w:r>
          </w:p>
        </w:tc>
        <w:tc>
          <w:tcPr>
            <w:tcW w:w="108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26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260" w:type="dxa"/>
            <w:gridSpan w:val="3"/>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44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080" w:type="dxa"/>
            <w:gridSpan w:val="3"/>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90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674" w:type="dxa"/>
            <w:vAlign w:val="center"/>
          </w:tcPr>
          <w:p>
            <w:pPr>
              <w:adjustRightInd w:val="0"/>
              <w:snapToGrid w:val="0"/>
              <w:spacing w:line="360" w:lineRule="auto"/>
              <w:ind w:firstLine="420" w:firstLineChars="200"/>
              <w:rPr>
                <w:rFonts w:ascii="Times New Roman" w:hAnsi="Times New Roman" w:eastAsia="仿宋_GB2312" w:cs="Times New Roman"/>
                <w:szCs w:val="21"/>
              </w:rPr>
            </w:pPr>
          </w:p>
        </w:tc>
      </w:tr>
      <w:tr>
        <w:tblPrEx>
          <w:tblBorders>
            <w:top w:val="single" w:color="auto" w:sz="12" w:space="0"/>
            <w:left w:val="single" w:color="auto" w:sz="12" w:space="0"/>
            <w:bottom w:val="single" w:color="auto" w:sz="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1080" w:type="dxa"/>
            <w:vAlign w:val="center"/>
          </w:tcPr>
          <w:p>
            <w:pPr>
              <w:adjustRightInd w:val="0"/>
              <w:snapToGrid w:val="0"/>
              <w:spacing w:line="360" w:lineRule="auto"/>
              <w:ind w:firstLine="420" w:firstLineChars="200"/>
              <w:rPr>
                <w:rFonts w:ascii="Times New Roman" w:hAnsi="Times New Roman" w:eastAsia="仿宋_GB2312" w:cs="Times New Roman"/>
                <w:szCs w:val="21"/>
              </w:rPr>
            </w:pPr>
            <w:r>
              <w:rPr>
                <w:rFonts w:ascii="Times New Roman" w:hAnsi="Times New Roman" w:eastAsia="仿宋_GB2312" w:cs="Times New Roman"/>
                <w:szCs w:val="21"/>
              </w:rPr>
              <w:t>…</w:t>
            </w:r>
          </w:p>
        </w:tc>
        <w:tc>
          <w:tcPr>
            <w:tcW w:w="108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26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260" w:type="dxa"/>
            <w:gridSpan w:val="3"/>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44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080" w:type="dxa"/>
            <w:gridSpan w:val="3"/>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90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674" w:type="dxa"/>
            <w:vAlign w:val="center"/>
          </w:tcPr>
          <w:p>
            <w:pPr>
              <w:adjustRightInd w:val="0"/>
              <w:snapToGrid w:val="0"/>
              <w:spacing w:line="360" w:lineRule="auto"/>
              <w:ind w:firstLine="420" w:firstLineChars="200"/>
              <w:rPr>
                <w:rFonts w:ascii="Times New Roman" w:hAnsi="Times New Roman" w:eastAsia="仿宋_GB2312" w:cs="Times New Roman"/>
                <w:szCs w:val="21"/>
              </w:rPr>
            </w:pPr>
          </w:p>
        </w:tc>
      </w:tr>
      <w:tr>
        <w:tblPrEx>
          <w:tblBorders>
            <w:top w:val="single" w:color="auto" w:sz="12" w:space="0"/>
            <w:left w:val="single" w:color="auto" w:sz="12" w:space="0"/>
            <w:bottom w:val="single" w:color="auto" w:sz="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1080" w:type="dxa"/>
            <w:vAlign w:val="center"/>
          </w:tcPr>
          <w:p>
            <w:pPr>
              <w:adjustRightInd w:val="0"/>
              <w:snapToGrid w:val="0"/>
              <w:spacing w:line="360" w:lineRule="auto"/>
              <w:rPr>
                <w:rFonts w:ascii="Times New Roman" w:hAnsi="Times New Roman" w:eastAsia="仿宋_GB2312" w:cs="Times New Roman"/>
                <w:szCs w:val="21"/>
              </w:rPr>
            </w:pPr>
            <w:r>
              <w:rPr>
                <w:rFonts w:ascii="Times New Roman" w:hAnsi="Times New Roman" w:eastAsia="仿宋_GB2312" w:cs="Times New Roman"/>
                <w:szCs w:val="21"/>
              </w:rPr>
              <w:t>任务18</w:t>
            </w:r>
          </w:p>
        </w:tc>
        <w:tc>
          <w:tcPr>
            <w:tcW w:w="108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26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260" w:type="dxa"/>
            <w:gridSpan w:val="3"/>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44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1080" w:type="dxa"/>
            <w:gridSpan w:val="3"/>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900" w:type="dxa"/>
            <w:gridSpan w:val="2"/>
            <w:vAlign w:val="center"/>
          </w:tcPr>
          <w:p>
            <w:pPr>
              <w:adjustRightInd w:val="0"/>
              <w:snapToGrid w:val="0"/>
              <w:spacing w:line="360" w:lineRule="auto"/>
              <w:ind w:firstLine="420" w:firstLineChars="200"/>
              <w:rPr>
                <w:rFonts w:ascii="Times New Roman" w:hAnsi="Times New Roman" w:eastAsia="仿宋_GB2312" w:cs="Times New Roman"/>
                <w:szCs w:val="21"/>
              </w:rPr>
            </w:pPr>
          </w:p>
        </w:tc>
        <w:tc>
          <w:tcPr>
            <w:tcW w:w="674" w:type="dxa"/>
            <w:vAlign w:val="center"/>
          </w:tcPr>
          <w:p>
            <w:pPr>
              <w:adjustRightInd w:val="0"/>
              <w:snapToGrid w:val="0"/>
              <w:spacing w:line="360" w:lineRule="auto"/>
              <w:ind w:firstLine="420" w:firstLineChars="200"/>
              <w:rPr>
                <w:rFonts w:ascii="Times New Roman" w:hAnsi="Times New Roman" w:eastAsia="仿宋_GB2312" w:cs="Times New Roman"/>
                <w:szCs w:val="21"/>
              </w:rPr>
            </w:pPr>
          </w:p>
        </w:tc>
      </w:tr>
      <w:tr>
        <w:tblPrEx>
          <w:tblBorders>
            <w:top w:val="single" w:color="auto" w:sz="12" w:space="0"/>
            <w:left w:val="single" w:color="auto" w:sz="12" w:space="0"/>
            <w:bottom w:val="single" w:color="auto" w:sz="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04" w:hRule="atLeast"/>
          <w:jc w:val="center"/>
        </w:trPr>
        <w:tc>
          <w:tcPr>
            <w:tcW w:w="8774" w:type="dxa"/>
            <w:gridSpan w:val="16"/>
            <w:vAlign w:val="center"/>
          </w:tcPr>
          <w:p>
            <w:pPr>
              <w:adjustRightInd w:val="0"/>
              <w:snapToGrid w:val="0"/>
              <w:spacing w:beforeLines="50"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阶段评价（20%）</w:t>
            </w:r>
          </w:p>
        </w:tc>
      </w:tr>
      <w:tr>
        <w:tblPrEx>
          <w:tblBorders>
            <w:top w:val="single" w:color="auto" w:sz="12" w:space="0"/>
            <w:left w:val="single" w:color="auto" w:sz="12" w:space="0"/>
            <w:bottom w:val="single" w:color="auto" w:sz="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2160" w:type="dxa"/>
            <w:gridSpan w:val="3"/>
            <w:vAlign w:val="center"/>
          </w:tcPr>
          <w:p>
            <w:pPr>
              <w:adjustRightInd w:val="0"/>
              <w:snapToGrid w:val="0"/>
              <w:spacing w:beforeLines="50"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理论考试（50分）</w:t>
            </w:r>
          </w:p>
        </w:tc>
        <w:tc>
          <w:tcPr>
            <w:tcW w:w="2352" w:type="dxa"/>
            <w:gridSpan w:val="4"/>
            <w:vAlign w:val="center"/>
          </w:tcPr>
          <w:p>
            <w:pPr>
              <w:adjustRightInd w:val="0"/>
              <w:snapToGrid w:val="0"/>
              <w:spacing w:beforeLines="50" w:line="360" w:lineRule="auto"/>
              <w:ind w:firstLine="420" w:firstLineChars="200"/>
              <w:rPr>
                <w:rFonts w:ascii="Times New Roman" w:hAnsi="Times New Roman" w:eastAsia="仿宋_GB2312" w:cs="Times New Roman"/>
                <w:szCs w:val="21"/>
              </w:rPr>
            </w:pPr>
          </w:p>
        </w:tc>
        <w:tc>
          <w:tcPr>
            <w:tcW w:w="2508" w:type="dxa"/>
            <w:gridSpan w:val="5"/>
            <w:vAlign w:val="center"/>
          </w:tcPr>
          <w:p>
            <w:pPr>
              <w:adjustRightInd w:val="0"/>
              <w:snapToGrid w:val="0"/>
              <w:spacing w:beforeLines="50" w:line="360" w:lineRule="auto"/>
              <w:rPr>
                <w:rFonts w:ascii="Times New Roman" w:hAnsi="Times New Roman" w:eastAsia="仿宋_GB2312" w:cs="Times New Roman"/>
                <w:szCs w:val="21"/>
              </w:rPr>
            </w:pPr>
            <w:r>
              <w:rPr>
                <w:rFonts w:ascii="Times New Roman" w:hAnsi="Times New Roman" w:eastAsia="仿宋_GB2312" w:cs="Times New Roman"/>
                <w:szCs w:val="21"/>
              </w:rPr>
              <w:t>实践考试（50分）</w:t>
            </w:r>
          </w:p>
        </w:tc>
        <w:tc>
          <w:tcPr>
            <w:tcW w:w="1754" w:type="dxa"/>
            <w:gridSpan w:val="4"/>
            <w:vAlign w:val="center"/>
          </w:tcPr>
          <w:p>
            <w:pPr>
              <w:adjustRightInd w:val="0"/>
              <w:snapToGrid w:val="0"/>
              <w:spacing w:line="360" w:lineRule="auto"/>
              <w:ind w:firstLine="420" w:firstLineChars="200"/>
              <w:rPr>
                <w:rFonts w:ascii="Times New Roman" w:hAnsi="Times New Roman" w:eastAsia="仿宋_GB2312" w:cs="Times New Roman"/>
                <w:szCs w:val="21"/>
              </w:rPr>
            </w:pPr>
          </w:p>
        </w:tc>
      </w:tr>
      <w:tr>
        <w:tblPrEx>
          <w:tblBorders>
            <w:top w:val="single" w:color="auto" w:sz="12" w:space="0"/>
            <w:left w:val="single" w:color="auto" w:sz="12" w:space="0"/>
            <w:bottom w:val="single" w:color="auto" w:sz="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67" w:hRule="atLeast"/>
          <w:jc w:val="center"/>
        </w:trPr>
        <w:tc>
          <w:tcPr>
            <w:tcW w:w="8774" w:type="dxa"/>
            <w:gridSpan w:val="16"/>
            <w:vAlign w:val="center"/>
          </w:tcPr>
          <w:p>
            <w:pPr>
              <w:adjustRightInd w:val="0"/>
              <w:snapToGrid w:val="0"/>
              <w:spacing w:beforeLines="50"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期末考试综合评价（20%）</w:t>
            </w:r>
          </w:p>
        </w:tc>
      </w:tr>
      <w:tr>
        <w:tblPrEx>
          <w:tblBorders>
            <w:top w:val="single" w:color="auto" w:sz="12" w:space="0"/>
            <w:left w:val="single" w:color="auto" w:sz="12" w:space="0"/>
            <w:bottom w:val="single" w:color="auto" w:sz="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2160" w:type="dxa"/>
            <w:gridSpan w:val="3"/>
            <w:vAlign w:val="center"/>
          </w:tcPr>
          <w:p>
            <w:pPr>
              <w:adjustRightInd w:val="0"/>
              <w:snapToGrid w:val="0"/>
              <w:spacing w:beforeLines="50"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总分（100分）</w:t>
            </w:r>
          </w:p>
        </w:tc>
        <w:tc>
          <w:tcPr>
            <w:tcW w:w="6614" w:type="dxa"/>
            <w:gridSpan w:val="13"/>
            <w:vAlign w:val="center"/>
          </w:tcPr>
          <w:p>
            <w:pPr>
              <w:adjustRightInd w:val="0"/>
              <w:snapToGrid w:val="0"/>
              <w:spacing w:line="360" w:lineRule="auto"/>
              <w:rPr>
                <w:rFonts w:ascii="Times New Roman" w:hAnsi="Times New Roman" w:eastAsia="仿宋_GB2312" w:cs="Times New Roman"/>
                <w:szCs w:val="21"/>
              </w:rPr>
            </w:pPr>
          </w:p>
        </w:tc>
      </w:tr>
      <w:tr>
        <w:tblPrEx>
          <w:tblBorders>
            <w:top w:val="single" w:color="auto" w:sz="12" w:space="0"/>
            <w:left w:val="single" w:color="auto" w:sz="12" w:space="0"/>
            <w:bottom w:val="single" w:color="auto" w:sz="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2160" w:type="dxa"/>
            <w:gridSpan w:val="3"/>
            <w:vAlign w:val="center"/>
          </w:tcPr>
          <w:p>
            <w:pPr>
              <w:adjustRightInd w:val="0"/>
              <w:snapToGrid w:val="0"/>
              <w:spacing w:beforeLines="50"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学生最终成绩</w:t>
            </w:r>
          </w:p>
        </w:tc>
        <w:tc>
          <w:tcPr>
            <w:tcW w:w="6614" w:type="dxa"/>
            <w:gridSpan w:val="13"/>
            <w:vAlign w:val="center"/>
          </w:tcPr>
          <w:p>
            <w:pPr>
              <w:adjustRightInd w:val="0"/>
              <w:snapToGrid w:val="0"/>
              <w:spacing w:line="360" w:lineRule="auto"/>
              <w:rPr>
                <w:rFonts w:ascii="Times New Roman" w:hAnsi="Times New Roman" w:eastAsia="仿宋_GB2312" w:cs="Times New Roman"/>
                <w:szCs w:val="21"/>
              </w:rPr>
            </w:pPr>
          </w:p>
        </w:tc>
      </w:tr>
    </w:tbl>
    <w:p>
      <w:pPr>
        <w:spacing w:line="360" w:lineRule="auto"/>
        <w:rPr>
          <w:rFonts w:ascii="宋体" w:hAnsi="宋体" w:eastAsia="宋体" w:cs="Times New Roman"/>
          <w:sz w:val="24"/>
        </w:rPr>
      </w:pPr>
    </w:p>
    <w:p>
      <w:pPr>
        <w:spacing w:line="360" w:lineRule="auto"/>
        <w:ind w:firstLine="480" w:firstLineChars="150"/>
        <w:rPr>
          <w:rFonts w:ascii="黑体" w:hAnsi="黑体" w:eastAsia="黑体" w:cs="Times New Roman"/>
          <w:sz w:val="32"/>
          <w:szCs w:val="32"/>
        </w:rPr>
      </w:pPr>
      <w:r>
        <w:rPr>
          <w:rFonts w:hint="eastAsia" w:ascii="黑体" w:hAnsi="黑体" w:eastAsia="黑体" w:cs="Times New Roman"/>
          <w:sz w:val="32"/>
          <w:szCs w:val="32"/>
        </w:rPr>
        <w:t>七、教学建议</w:t>
      </w:r>
    </w:p>
    <w:p>
      <w:pPr>
        <w:spacing w:line="360" w:lineRule="auto"/>
        <w:rPr>
          <w:rFonts w:ascii="宋体" w:hAnsi="宋体" w:eastAsia="宋体" w:cs="Times New Roman"/>
          <w:sz w:val="24"/>
        </w:rPr>
      </w:pPr>
      <w:r>
        <w:rPr>
          <w:rFonts w:hint="eastAsia" w:ascii="宋体" w:hAnsi="宋体" w:eastAsia="宋体" w:cs="Times New Roman"/>
          <w:sz w:val="24"/>
        </w:rPr>
        <w:t xml:space="preserve">    重视基础知识，加强学生的动手能力，借助现代化的教学手段，激发学生的学习兴趣，重视在教学过程中，激发和训练学生的创新思维，尽量与社会、生产生活相联系，培养学生的综合能力。</w:t>
      </w:r>
    </w:p>
    <w:p>
      <w:pPr>
        <w:spacing w:line="360" w:lineRule="auto"/>
        <w:ind w:firstLine="480" w:firstLineChars="150"/>
        <w:rPr>
          <w:rFonts w:ascii="黑体" w:hAnsi="黑体" w:eastAsia="黑体" w:cs="Times New Roman"/>
          <w:sz w:val="32"/>
          <w:szCs w:val="32"/>
        </w:rPr>
      </w:pPr>
      <w:r>
        <w:rPr>
          <w:rFonts w:hint="eastAsia" w:ascii="黑体" w:hAnsi="黑体" w:eastAsia="黑体" w:cs="Times New Roman"/>
          <w:sz w:val="32"/>
          <w:szCs w:val="32"/>
        </w:rPr>
        <w:t>八、选用教材标及推荐教材和参考用书（或课程网站）</w:t>
      </w:r>
    </w:p>
    <w:bookmarkEnd w:id="77"/>
    <w:p>
      <w:pPr>
        <w:autoSpaceDE w:val="0"/>
        <w:autoSpaceDN w:val="0"/>
        <w:adjustRightInd w:val="0"/>
        <w:spacing w:line="360" w:lineRule="auto"/>
        <w:ind w:firstLine="480" w:firstLineChars="200"/>
        <w:rPr>
          <w:rFonts w:ascii="宋体" w:hAnsi="宋体" w:eastAsia="宋体" w:cs="Times New Roman"/>
          <w:color w:val="000000"/>
          <w:kern w:val="0"/>
          <w:sz w:val="24"/>
        </w:rPr>
      </w:pPr>
      <w:r>
        <w:rPr>
          <w:rFonts w:hint="eastAsia" w:ascii="宋体" w:hAnsi="宋体" w:eastAsia="宋体" w:cs="Times New Roman"/>
          <w:color w:val="000000"/>
          <w:kern w:val="0"/>
          <w:sz w:val="24"/>
        </w:rPr>
        <w:t>1．推荐教材：</w:t>
      </w:r>
    </w:p>
    <w:p>
      <w:pPr>
        <w:autoSpaceDE w:val="0"/>
        <w:autoSpaceDN w:val="0"/>
        <w:adjustRightInd w:val="0"/>
        <w:spacing w:line="360" w:lineRule="auto"/>
        <w:ind w:firstLine="480" w:firstLineChars="200"/>
        <w:rPr>
          <w:rFonts w:ascii="宋体" w:hAnsi="宋体" w:eastAsia="宋体" w:cs="Times New Roman"/>
          <w:color w:val="000000"/>
          <w:kern w:val="0"/>
          <w:sz w:val="24"/>
        </w:rPr>
      </w:pPr>
      <w:r>
        <w:rPr>
          <w:rFonts w:hint="eastAsia" w:ascii="宋体" w:hAnsi="宋体" w:eastAsia="宋体" w:cs="Times New Roman"/>
          <w:color w:val="000000"/>
          <w:kern w:val="0"/>
          <w:sz w:val="24"/>
        </w:rPr>
        <w:t>（1）</w:t>
      </w:r>
      <w:r>
        <w:fldChar w:fldCharType="begin"/>
      </w:r>
      <w:r>
        <w:instrText xml:space="preserve"> HYPERLINK "http://search.bookuu.com/cd%5Bkeywords%5D_%25E5%2591%25A8%25E9%2595%25BF%25E4%25B8%25BD%2B%25E7%2594%25B0%25E6%25B5%25B7%25E7%258E%25B2.html" \t "_blank" \o "周长丽//田海玲" </w:instrText>
      </w:r>
      <w:r>
        <w:fldChar w:fldCharType="separate"/>
      </w:r>
      <w:r>
        <w:rPr>
          <w:rFonts w:hint="eastAsia" w:ascii="宋体" w:hAnsi="宋体" w:eastAsia="宋体" w:cs="Times New Roman"/>
          <w:color w:val="000000"/>
          <w:kern w:val="0"/>
          <w:sz w:val="24"/>
        </w:rPr>
        <w:t>周长丽</w:t>
      </w:r>
      <w:r>
        <w:rPr>
          <w:rFonts w:hint="eastAsia" w:ascii="宋体" w:hAnsi="宋体" w:eastAsia="宋体" w:cs="Times New Roman"/>
          <w:color w:val="000000"/>
          <w:kern w:val="0"/>
          <w:sz w:val="24"/>
        </w:rPr>
        <w:fldChar w:fldCharType="end"/>
      </w:r>
      <w:r>
        <w:rPr>
          <w:rFonts w:hint="eastAsia" w:ascii="宋体" w:hAnsi="宋体" w:eastAsia="宋体" w:cs="Times New Roman"/>
          <w:color w:val="000000"/>
          <w:kern w:val="0"/>
          <w:sz w:val="24"/>
        </w:rPr>
        <w:t>. 化工单元操作. 化学工业出版社. 2010.</w:t>
      </w:r>
    </w:p>
    <w:p>
      <w:pPr>
        <w:autoSpaceDE w:val="0"/>
        <w:autoSpaceDN w:val="0"/>
        <w:adjustRightInd w:val="0"/>
        <w:spacing w:line="360" w:lineRule="auto"/>
        <w:ind w:firstLine="480" w:firstLineChars="200"/>
        <w:rPr>
          <w:rFonts w:ascii="宋体" w:hAnsi="宋体" w:eastAsia="宋体" w:cs="Times New Roman"/>
          <w:color w:val="000000"/>
          <w:kern w:val="0"/>
          <w:sz w:val="24"/>
        </w:rPr>
      </w:pPr>
      <w:r>
        <w:rPr>
          <w:rFonts w:hint="eastAsia" w:ascii="宋体" w:hAnsi="宋体" w:eastAsia="宋体" w:cs="Times New Roman"/>
          <w:color w:val="000000"/>
          <w:kern w:val="0"/>
          <w:sz w:val="24"/>
        </w:rPr>
        <w:t>（2）杨祖荣. 化工原理. 北京：高等教育出版社. 2008.</w:t>
      </w:r>
    </w:p>
    <w:p>
      <w:pPr>
        <w:autoSpaceDE w:val="0"/>
        <w:autoSpaceDN w:val="0"/>
        <w:adjustRightInd w:val="0"/>
        <w:spacing w:line="360" w:lineRule="auto"/>
        <w:ind w:firstLine="480" w:firstLineChars="200"/>
        <w:rPr>
          <w:rFonts w:ascii="宋体" w:hAnsi="宋体" w:eastAsia="宋体" w:cs="Times New Roman"/>
          <w:color w:val="000000"/>
          <w:kern w:val="0"/>
          <w:sz w:val="24"/>
        </w:rPr>
      </w:pPr>
      <w:r>
        <w:rPr>
          <w:rFonts w:hint="eastAsia" w:ascii="宋体" w:hAnsi="宋体" w:eastAsia="宋体" w:cs="Times New Roman"/>
          <w:color w:val="000000"/>
          <w:kern w:val="0"/>
          <w:sz w:val="24"/>
        </w:rPr>
        <w:t>2．参考教学资料</w:t>
      </w:r>
    </w:p>
    <w:p>
      <w:pPr>
        <w:autoSpaceDE w:val="0"/>
        <w:autoSpaceDN w:val="0"/>
        <w:adjustRightInd w:val="0"/>
        <w:spacing w:line="360" w:lineRule="auto"/>
        <w:ind w:firstLine="480" w:firstLineChars="200"/>
        <w:rPr>
          <w:rFonts w:ascii="宋体" w:hAnsi="宋体" w:eastAsia="宋体" w:cs="Times New Roman"/>
          <w:color w:val="000000"/>
          <w:kern w:val="0"/>
          <w:sz w:val="24"/>
        </w:rPr>
      </w:pPr>
      <w:r>
        <w:rPr>
          <w:rFonts w:hint="eastAsia" w:ascii="宋体" w:hAnsi="宋体" w:eastAsia="宋体" w:cs="Times New Roman"/>
          <w:color w:val="000000"/>
          <w:kern w:val="0"/>
          <w:sz w:val="24"/>
        </w:rPr>
        <w:t>（1）陆美娟．化工原理．北京：化学工业出版社. 2008．</w:t>
      </w:r>
    </w:p>
    <w:p>
      <w:pPr>
        <w:autoSpaceDE w:val="0"/>
        <w:autoSpaceDN w:val="0"/>
        <w:adjustRightInd w:val="0"/>
        <w:spacing w:line="360" w:lineRule="auto"/>
        <w:ind w:firstLine="480" w:firstLineChars="200"/>
        <w:rPr>
          <w:rFonts w:ascii="宋体" w:hAnsi="宋体" w:eastAsia="宋体" w:cs="Times New Roman"/>
          <w:color w:val="000000"/>
          <w:kern w:val="0"/>
          <w:sz w:val="24"/>
        </w:rPr>
      </w:pPr>
      <w:r>
        <w:rPr>
          <w:rFonts w:hint="eastAsia" w:ascii="宋体" w:hAnsi="宋体" w:eastAsia="宋体" w:cs="Times New Roman"/>
          <w:color w:val="000000"/>
          <w:kern w:val="0"/>
          <w:sz w:val="24"/>
        </w:rPr>
        <w:t>（2）李居参. 化工单元操作实用技术. 高等教育出版社. 2008.</w:t>
      </w:r>
    </w:p>
    <w:p>
      <w:pPr>
        <w:autoSpaceDE w:val="0"/>
        <w:autoSpaceDN w:val="0"/>
        <w:adjustRightInd w:val="0"/>
        <w:spacing w:line="360" w:lineRule="auto"/>
        <w:ind w:firstLine="480" w:firstLineChars="200"/>
        <w:rPr>
          <w:rFonts w:ascii="宋体" w:hAnsi="宋体" w:eastAsia="宋体" w:cs="Times New Roman"/>
          <w:color w:val="000000"/>
          <w:kern w:val="0"/>
          <w:sz w:val="24"/>
        </w:rPr>
      </w:pPr>
      <w:r>
        <w:rPr>
          <w:rFonts w:hint="eastAsia" w:ascii="宋体" w:hAnsi="宋体" w:eastAsia="宋体" w:cs="Times New Roman"/>
          <w:color w:val="000000"/>
          <w:kern w:val="0"/>
          <w:sz w:val="24"/>
        </w:rPr>
        <w:t>（3）刘爱民. 化工单元操作技术. 高等教育出版社. 2006。</w:t>
      </w:r>
    </w:p>
    <w:p>
      <w:pPr>
        <w:autoSpaceDE w:val="0"/>
        <w:autoSpaceDN w:val="0"/>
        <w:adjustRightInd w:val="0"/>
        <w:spacing w:line="360" w:lineRule="auto"/>
        <w:ind w:firstLine="480" w:firstLineChars="200"/>
        <w:rPr>
          <w:rFonts w:ascii="宋体" w:hAnsi="宋体" w:eastAsia="宋体" w:cs="Times New Roman"/>
          <w:color w:val="000000"/>
          <w:kern w:val="0"/>
          <w:sz w:val="24"/>
        </w:rPr>
      </w:pPr>
      <w:r>
        <w:rPr>
          <w:rFonts w:hint="eastAsia" w:ascii="宋体" w:hAnsi="宋体" w:eastAsia="宋体" w:cs="Times New Roman"/>
          <w:color w:val="000000"/>
          <w:kern w:val="0"/>
          <w:sz w:val="24"/>
        </w:rPr>
        <w:t>（4）陈敏垣．化工原理．北京：化学工业出版社. 2004.</w:t>
      </w:r>
    </w:p>
    <w:p>
      <w:pPr>
        <w:autoSpaceDE w:val="0"/>
        <w:autoSpaceDN w:val="0"/>
        <w:adjustRightInd w:val="0"/>
        <w:spacing w:line="360" w:lineRule="auto"/>
        <w:ind w:firstLine="480" w:firstLineChars="200"/>
        <w:rPr>
          <w:rFonts w:ascii="宋体" w:hAnsi="宋体" w:eastAsia="宋体" w:cs="Times New Roman"/>
          <w:color w:val="000000"/>
          <w:kern w:val="0"/>
          <w:sz w:val="24"/>
        </w:rPr>
      </w:pPr>
      <w:r>
        <w:rPr>
          <w:rFonts w:hint="eastAsia" w:ascii="宋体" w:hAnsi="宋体" w:eastAsia="宋体" w:cs="Times New Roman"/>
          <w:color w:val="000000"/>
          <w:kern w:val="0"/>
          <w:sz w:val="24"/>
        </w:rPr>
        <w:t>（5）贾绍义编. 化工原理课程设计. 天津大学出版社. 2002.</w:t>
      </w:r>
    </w:p>
    <w:p>
      <w:pPr>
        <w:autoSpaceDE w:val="0"/>
        <w:autoSpaceDN w:val="0"/>
        <w:adjustRightInd w:val="0"/>
        <w:spacing w:line="360" w:lineRule="auto"/>
        <w:ind w:firstLine="480" w:firstLineChars="200"/>
        <w:rPr>
          <w:rFonts w:ascii="宋体" w:hAnsi="宋体" w:eastAsia="宋体" w:cs="Times New Roman"/>
          <w:color w:val="000000"/>
          <w:kern w:val="0"/>
          <w:sz w:val="24"/>
        </w:rPr>
      </w:pPr>
      <w:r>
        <w:rPr>
          <w:rFonts w:hint="eastAsia" w:ascii="宋体" w:hAnsi="宋体" w:eastAsia="宋体" w:cs="Times New Roman"/>
          <w:color w:val="000000"/>
          <w:kern w:val="0"/>
          <w:sz w:val="24"/>
        </w:rPr>
        <w:t>（6）化学工程手册编委会编. 化学工程手册. 化学工业出版社. 1996.</w:t>
      </w:r>
    </w:p>
    <w:p>
      <w:pPr>
        <w:autoSpaceDE w:val="0"/>
        <w:autoSpaceDN w:val="0"/>
        <w:adjustRightInd w:val="0"/>
        <w:spacing w:line="360" w:lineRule="auto"/>
        <w:ind w:firstLine="480" w:firstLineChars="200"/>
        <w:rPr>
          <w:rFonts w:ascii="宋体" w:hAnsi="宋体" w:eastAsia="宋体" w:cs="Times New Roman"/>
          <w:color w:val="000000"/>
          <w:kern w:val="0"/>
          <w:sz w:val="24"/>
        </w:rPr>
      </w:pPr>
      <w:r>
        <w:rPr>
          <w:rFonts w:hint="eastAsia" w:ascii="宋体" w:hAnsi="宋体" w:eastAsia="宋体" w:cs="Times New Roman"/>
          <w:color w:val="000000"/>
          <w:kern w:val="0"/>
          <w:sz w:val="24"/>
        </w:rPr>
        <w:t xml:space="preserve">（7）国家精品课程资源网 </w:t>
      </w:r>
      <w:r>
        <w:fldChar w:fldCharType="begin"/>
      </w:r>
      <w:r>
        <w:instrText xml:space="preserve"> HYPERLINK "http://www.jingpinke.com/" </w:instrText>
      </w:r>
      <w:r>
        <w:fldChar w:fldCharType="separate"/>
      </w:r>
      <w:r>
        <w:rPr>
          <w:rFonts w:hint="eastAsia" w:ascii="宋体" w:hAnsi="宋体" w:eastAsia="宋体" w:cs="Times New Roman"/>
          <w:color w:val="000000"/>
          <w:kern w:val="0"/>
          <w:sz w:val="24"/>
        </w:rPr>
        <w:t>http://www.jingpinke.com/</w:t>
      </w:r>
      <w:r>
        <w:rPr>
          <w:rFonts w:hint="eastAsia" w:ascii="宋体" w:hAnsi="宋体" w:eastAsia="宋体" w:cs="Times New Roman"/>
          <w:color w:val="000000"/>
          <w:kern w:val="0"/>
          <w:sz w:val="24"/>
        </w:rPr>
        <w:fldChar w:fldCharType="end"/>
      </w:r>
      <w:r>
        <w:rPr>
          <w:rFonts w:hint="eastAsia" w:ascii="宋体" w:hAnsi="宋体" w:eastAsia="宋体" w:cs="Times New Roman"/>
          <w:color w:val="000000"/>
          <w:kern w:val="0"/>
          <w:sz w:val="24"/>
        </w:rPr>
        <w:t>.</w:t>
      </w:r>
    </w:p>
    <w:p>
      <w:pPr>
        <w:pStyle w:val="3"/>
        <w:ind w:firstLine="480" w:firstLineChars="150"/>
        <w:rPr>
          <w:b w:val="0"/>
        </w:rPr>
      </w:pPr>
      <w:bookmarkStart w:id="78" w:name="_Toc10477"/>
      <w:bookmarkStart w:id="79" w:name="_Toc20941"/>
      <w:bookmarkStart w:id="80" w:name="_Toc17278760"/>
      <w:bookmarkStart w:id="81" w:name="_Toc361913079"/>
      <w:r>
        <w:rPr>
          <w:rFonts w:hint="eastAsia"/>
          <w:b w:val="0"/>
        </w:rPr>
        <w:t>《无机化工生产技术》核心课程标准</w:t>
      </w:r>
      <w:bookmarkEnd w:id="78"/>
      <w:bookmarkEnd w:id="79"/>
      <w:bookmarkEnd w:id="80"/>
      <w:bookmarkEnd w:id="81"/>
    </w:p>
    <w:p>
      <w:pPr>
        <w:rPr>
          <w:rFonts w:ascii="Times New Roman" w:hAnsi="Times New Roman" w:eastAsia="宋体" w:cs="Times New Roman"/>
        </w:rPr>
      </w:pPr>
    </w:p>
    <w:tbl>
      <w:tblPr>
        <w:tblStyle w:val="18"/>
        <w:tblW w:w="8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3274"/>
        <w:gridCol w:w="1620"/>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课程编码</w:t>
            </w:r>
          </w:p>
        </w:tc>
        <w:tc>
          <w:tcPr>
            <w:tcW w:w="3274" w:type="dxa"/>
            <w:vAlign w:val="center"/>
          </w:tcPr>
          <w:p>
            <w:pPr>
              <w:spacing w:line="360" w:lineRule="auto"/>
              <w:jc w:val="center"/>
              <w:rPr>
                <w:rFonts w:ascii="Times New Roman" w:hAnsi="Times New Roman" w:eastAsia="宋体" w:cs="Times New Roman"/>
                <w:szCs w:val="21"/>
              </w:rPr>
            </w:pPr>
            <w:r>
              <w:rPr>
                <w:rFonts w:ascii="仿宋_GB2312" w:hAnsi="仿宋_GB2312" w:eastAsia="仿宋_GB2312" w:cs="Times New Roman"/>
                <w:szCs w:val="21"/>
              </w:rPr>
              <w:t>100305</w:t>
            </w:r>
            <w:r>
              <w:rPr>
                <w:rFonts w:hint="eastAsia" w:ascii="仿宋_GB2312" w:hAnsi="仿宋_GB2312" w:eastAsia="仿宋_GB2312" w:cs="Times New Roman"/>
                <w:szCs w:val="21"/>
              </w:rPr>
              <w:t>5</w:t>
            </w:r>
          </w:p>
        </w:tc>
        <w:tc>
          <w:tcPr>
            <w:tcW w:w="1620"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课程类别</w:t>
            </w:r>
          </w:p>
        </w:tc>
        <w:tc>
          <w:tcPr>
            <w:tcW w:w="199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专业</w:t>
            </w:r>
            <w:r>
              <w:rPr>
                <w:rFonts w:hint="eastAsia" w:ascii="Times New Roman" w:hAnsi="宋体" w:eastAsia="宋体" w:cs="Times New Roman"/>
                <w:szCs w:val="21"/>
              </w:rPr>
              <w:t>（技能）课程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计划学时</w:t>
            </w:r>
          </w:p>
        </w:tc>
        <w:tc>
          <w:tcPr>
            <w:tcW w:w="3274" w:type="dxa"/>
            <w:vAlign w:val="center"/>
          </w:tcPr>
          <w:p>
            <w:pPr>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72</w:t>
            </w:r>
          </w:p>
        </w:tc>
        <w:tc>
          <w:tcPr>
            <w:tcW w:w="1620"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课程类型</w:t>
            </w:r>
          </w:p>
        </w:tc>
        <w:tc>
          <w:tcPr>
            <w:tcW w:w="1994" w:type="dxa"/>
            <w:vAlign w:val="center"/>
          </w:tcPr>
          <w:p>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适用专业</w:t>
            </w:r>
          </w:p>
        </w:tc>
        <w:tc>
          <w:tcPr>
            <w:tcW w:w="327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应用化工技术</w:t>
            </w:r>
          </w:p>
        </w:tc>
        <w:tc>
          <w:tcPr>
            <w:tcW w:w="1620"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课程性质</w:t>
            </w:r>
          </w:p>
        </w:tc>
        <w:tc>
          <w:tcPr>
            <w:tcW w:w="199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专业必修课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33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开课学期</w:t>
            </w:r>
          </w:p>
        </w:tc>
        <w:tc>
          <w:tcPr>
            <w:tcW w:w="327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第</w:t>
            </w:r>
            <w:r>
              <w:rPr>
                <w:rFonts w:hint="eastAsia" w:ascii="Times New Roman" w:hAnsi="Times New Roman" w:eastAsia="宋体" w:cs="Times New Roman"/>
                <w:szCs w:val="21"/>
              </w:rPr>
              <w:t>4</w:t>
            </w:r>
            <w:r>
              <w:rPr>
                <w:rFonts w:ascii="Times New Roman" w:hAnsi="宋体" w:eastAsia="宋体" w:cs="Times New Roman"/>
                <w:szCs w:val="21"/>
              </w:rPr>
              <w:t>学期</w:t>
            </w:r>
          </w:p>
        </w:tc>
        <w:tc>
          <w:tcPr>
            <w:tcW w:w="1620"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学分</w:t>
            </w:r>
          </w:p>
        </w:tc>
        <w:tc>
          <w:tcPr>
            <w:tcW w:w="1994" w:type="dxa"/>
            <w:vAlign w:val="center"/>
          </w:tcPr>
          <w:p>
            <w:pPr>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先行课程</w:t>
            </w:r>
          </w:p>
        </w:tc>
        <w:tc>
          <w:tcPr>
            <w:tcW w:w="3274" w:type="dxa"/>
            <w:vAlign w:val="center"/>
          </w:tcPr>
          <w:p>
            <w:pPr>
              <w:spacing w:line="360" w:lineRule="auto"/>
              <w:jc w:val="center"/>
              <w:rPr>
                <w:rFonts w:ascii="Times New Roman" w:hAnsi="宋体" w:eastAsia="宋体" w:cs="Times New Roman"/>
                <w:szCs w:val="21"/>
              </w:rPr>
            </w:pPr>
            <w:r>
              <w:rPr>
                <w:rFonts w:ascii="Times New Roman" w:hAnsi="宋体" w:eastAsia="宋体" w:cs="Times New Roman"/>
                <w:szCs w:val="21"/>
              </w:rPr>
              <w:t>基础化学，化工制图</w:t>
            </w:r>
            <w:r>
              <w:rPr>
                <w:rFonts w:hint="eastAsia" w:ascii="Times New Roman" w:hAnsi="宋体" w:eastAsia="宋体" w:cs="Times New Roman"/>
                <w:szCs w:val="21"/>
              </w:rPr>
              <w:t>，</w:t>
            </w:r>
          </w:p>
          <w:p>
            <w:pPr>
              <w:spacing w:line="360" w:lineRule="auto"/>
              <w:jc w:val="center"/>
              <w:rPr>
                <w:rFonts w:ascii="Times New Roman" w:hAnsi="Times New Roman" w:eastAsia="宋体" w:cs="Times New Roman"/>
                <w:szCs w:val="21"/>
              </w:rPr>
            </w:pPr>
            <w:r>
              <w:rPr>
                <w:rFonts w:hint="eastAsia" w:ascii="Times New Roman" w:hAnsi="宋体" w:eastAsia="宋体" w:cs="Times New Roman"/>
                <w:szCs w:val="21"/>
              </w:rPr>
              <w:t>化工单元操作、环境监测与分析等</w:t>
            </w:r>
          </w:p>
        </w:tc>
        <w:tc>
          <w:tcPr>
            <w:tcW w:w="1620"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开课单位</w:t>
            </w:r>
          </w:p>
        </w:tc>
        <w:tc>
          <w:tcPr>
            <w:tcW w:w="1994" w:type="dxa"/>
            <w:vAlign w:val="center"/>
          </w:tcPr>
          <w:p>
            <w:pPr>
              <w:spacing w:line="360" w:lineRule="auto"/>
              <w:jc w:val="center"/>
              <w:rPr>
                <w:rFonts w:ascii="Times New Roman" w:hAnsi="Times New Roman" w:eastAsia="宋体" w:cs="Times New Roman"/>
                <w:szCs w:val="21"/>
              </w:rPr>
            </w:pPr>
            <w:r>
              <w:rPr>
                <w:rFonts w:hint="eastAsia" w:ascii="Times New Roman" w:hAnsi="宋体" w:eastAsia="宋体" w:cs="Times New Roman"/>
                <w:szCs w:val="21"/>
              </w:rPr>
              <w:t>化工系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平行课程</w:t>
            </w:r>
          </w:p>
        </w:tc>
        <w:tc>
          <w:tcPr>
            <w:tcW w:w="3274" w:type="dxa"/>
            <w:vAlign w:val="center"/>
          </w:tcPr>
          <w:p>
            <w:pPr>
              <w:widowControl/>
              <w:jc w:val="center"/>
              <w:rPr>
                <w:rFonts w:ascii="Times New Roman" w:hAnsi="Times New Roman" w:eastAsia="宋体" w:cs="Times New Roman"/>
                <w:szCs w:val="21"/>
              </w:rPr>
            </w:pPr>
            <w:r>
              <w:rPr>
                <w:rFonts w:ascii="Times New Roman" w:hAnsi="Times New Roman" w:eastAsia="宋体" w:cs="Times New Roman"/>
                <w:szCs w:val="21"/>
              </w:rPr>
              <w:t>煤质分析</w:t>
            </w:r>
            <w:r>
              <w:rPr>
                <w:rFonts w:hint="eastAsia" w:ascii="Times New Roman" w:hAnsi="Times New Roman" w:eastAsia="宋体" w:cs="Times New Roman"/>
                <w:szCs w:val="21"/>
              </w:rPr>
              <w:t>、</w:t>
            </w:r>
            <w:r>
              <w:rPr>
                <w:rFonts w:ascii="Times New Roman" w:hAnsi="Times New Roman" w:eastAsia="宋体" w:cs="Times New Roman"/>
                <w:szCs w:val="21"/>
              </w:rPr>
              <w:t>煤气化工艺等</w:t>
            </w:r>
          </w:p>
        </w:tc>
        <w:tc>
          <w:tcPr>
            <w:tcW w:w="1620"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考核类型</w:t>
            </w:r>
          </w:p>
        </w:tc>
        <w:tc>
          <w:tcPr>
            <w:tcW w:w="199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考试</w:t>
            </w:r>
            <w:r>
              <w:rPr>
                <w:rFonts w:hint="eastAsia" w:ascii="Times New Roman" w:hAnsi="宋体" w:eastAsia="宋体" w:cs="Times New Roman"/>
                <w:szCs w:val="21"/>
              </w:rPr>
              <w:t>+</w:t>
            </w:r>
            <w:r>
              <w:rPr>
                <w:rFonts w:ascii="Times New Roman" w:hAnsi="宋体" w:eastAsia="宋体" w:cs="Times New Roman"/>
                <w:szCs w:val="21"/>
              </w:rPr>
              <w:t>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后继课程</w:t>
            </w:r>
          </w:p>
        </w:tc>
        <w:tc>
          <w:tcPr>
            <w:tcW w:w="6888" w:type="dxa"/>
            <w:gridSpan w:val="3"/>
            <w:vAlign w:val="center"/>
          </w:tcPr>
          <w:p>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t>顶岗实习</w:t>
            </w:r>
            <w:r>
              <w:rPr>
                <w:rFonts w:hint="eastAsia" w:ascii="Times New Roman" w:hAnsi="Times New Roman" w:eastAsia="宋体" w:cs="Times New Roman"/>
                <w:szCs w:val="21"/>
              </w:rPr>
              <w:t>、</w:t>
            </w:r>
            <w:r>
              <w:rPr>
                <w:rFonts w:ascii="Times New Roman" w:hAnsi="Times New Roman" w:eastAsia="宋体" w:cs="Times New Roman"/>
                <w:szCs w:val="21"/>
              </w:rPr>
              <w:t>跟岗实习</w:t>
            </w:r>
            <w:r>
              <w:rPr>
                <w:rFonts w:hint="eastAsia" w:ascii="Times New Roman" w:hAnsi="Times New Roman" w:eastAsia="宋体" w:cs="Times New Roman"/>
                <w:szCs w:val="21"/>
              </w:rPr>
              <w:t>、</w:t>
            </w:r>
            <w:r>
              <w:rPr>
                <w:rFonts w:ascii="Times New Roman" w:hAnsi="Times New Roman" w:eastAsia="宋体" w:cs="Times New Roman"/>
                <w:szCs w:val="21"/>
              </w:rPr>
              <w:t>毕业设计</w:t>
            </w:r>
          </w:p>
        </w:tc>
      </w:tr>
    </w:tbl>
    <w:p>
      <w:pPr>
        <w:spacing w:line="360" w:lineRule="auto"/>
        <w:ind w:firstLine="480" w:firstLineChars="200"/>
        <w:rPr>
          <w:rFonts w:ascii="宋体" w:hAnsi="宋体" w:eastAsia="宋体" w:cs="Times New Roman"/>
          <w:sz w:val="24"/>
        </w:rPr>
      </w:pPr>
      <w:bookmarkStart w:id="82" w:name="_Toc5220"/>
    </w:p>
    <w:p>
      <w:pPr>
        <w:adjustRightInd w:val="0"/>
        <w:snapToGrid w:val="0"/>
        <w:spacing w:beforeLines="50" w:line="360" w:lineRule="auto"/>
        <w:ind w:firstLine="640" w:firstLineChars="200"/>
        <w:rPr>
          <w:rFonts w:ascii="黑体" w:hAnsi="黑体" w:eastAsia="黑体" w:cs="Times New Roman"/>
          <w:sz w:val="32"/>
          <w:szCs w:val="32"/>
        </w:rPr>
      </w:pPr>
      <w:r>
        <w:rPr>
          <w:rFonts w:hint="eastAsia" w:ascii="黑体" w:hAnsi="黑体" w:eastAsia="黑体" w:cs="Times New Roman"/>
          <w:sz w:val="32"/>
          <w:szCs w:val="32"/>
        </w:rPr>
        <w:t>一、课程性质与定位</w:t>
      </w:r>
    </w:p>
    <w:p>
      <w:pPr>
        <w:spacing w:line="360" w:lineRule="auto"/>
        <w:ind w:firstLine="480" w:firstLineChars="200"/>
        <w:rPr>
          <w:rFonts w:ascii="Times New Roman" w:hAnsi="Times New Roman" w:eastAsia="宋体" w:cs="Times New Roman"/>
          <w:sz w:val="24"/>
        </w:rPr>
      </w:pPr>
      <w:r>
        <w:rPr>
          <w:rFonts w:hint="eastAsia" w:ascii="Times New Roman" w:hAnsi="黑体" w:eastAsia="黑体" w:cs="Times New Roman"/>
          <w:bCs/>
          <w:sz w:val="24"/>
        </w:rPr>
        <w:t>《</w:t>
      </w:r>
      <w:r>
        <w:rPr>
          <w:rFonts w:hint="eastAsia" w:ascii="Times New Roman" w:hAnsi="Times New Roman" w:eastAsia="宋体" w:cs="Times New Roman"/>
          <w:sz w:val="24"/>
        </w:rPr>
        <w:t>无机化工生产技术</w:t>
      </w:r>
      <w:r>
        <w:rPr>
          <w:rFonts w:hint="eastAsia" w:ascii="Times New Roman" w:hAnsi="黑体" w:eastAsia="宋体" w:cs="Times New Roman"/>
          <w:bCs/>
          <w:sz w:val="24"/>
        </w:rPr>
        <w:t>》</w:t>
      </w:r>
      <w:r>
        <w:rPr>
          <w:rFonts w:hint="eastAsia" w:ascii="Times New Roman" w:hAnsi="宋体" w:eastAsia="宋体" w:cs="Times New Roman"/>
          <w:sz w:val="24"/>
        </w:rPr>
        <w:t>课程是高职高专类应用技术化工专业的核心课程之一。</w:t>
      </w:r>
      <w:r>
        <w:rPr>
          <w:rFonts w:hint="eastAsia" w:ascii="Times New Roman" w:hAnsi="Times New Roman" w:eastAsia="宋体" w:cs="Times New Roman"/>
          <w:sz w:val="24"/>
        </w:rPr>
        <w:t xml:space="preserve">课程目的与任务是使学生在基础理论学习之后，建立实际工程概念，熟悉无机化工过程的原料来源及产品流向，熟悉无机化工工艺中常用的技术手段。 </w:t>
      </w:r>
    </w:p>
    <w:p>
      <w:pPr>
        <w:spacing w:line="360" w:lineRule="auto"/>
        <w:ind w:firstLine="600" w:firstLineChars="250"/>
        <w:rPr>
          <w:rFonts w:ascii="宋体" w:hAnsi="宋体" w:eastAsia="宋体" w:cs="Times New Roman"/>
          <w:bCs/>
          <w:sz w:val="24"/>
        </w:rPr>
      </w:pPr>
      <w:r>
        <w:rPr>
          <w:rFonts w:hint="eastAsia" w:ascii="Times New Roman" w:hAnsi="Times New Roman" w:eastAsia="宋体" w:cs="Times New Roman"/>
          <w:sz w:val="24"/>
        </w:rPr>
        <w:t>课程从化工生产工艺角度出发，运用化工过程的基本原理，阐明基本无机化工工艺的基本概念和基本理论，介绍典型基本无机化工工艺的生产方法与工艺原理、典型流程与关键设备、工艺条件与节能降耗分</w:t>
      </w:r>
      <w:r>
        <w:rPr>
          <w:rFonts w:hint="eastAsia" w:ascii="宋体" w:hAnsi="宋体" w:eastAsia="宋体" w:cs="Times New Roman"/>
          <w:sz w:val="24"/>
        </w:rPr>
        <w:t>析。同时优选有选择性介绍有关无机化工生产的新工艺、新技术、新设备、</w:t>
      </w:r>
      <w:r>
        <w:rPr>
          <w:rFonts w:hint="eastAsia" w:ascii="宋体" w:hAnsi="宋体" w:eastAsia="宋体" w:cs="Times New Roman"/>
          <w:bCs/>
          <w:sz w:val="24"/>
        </w:rPr>
        <w:t>发展动态能量回收</w:t>
      </w:r>
      <w:r>
        <w:rPr>
          <w:rFonts w:hint="eastAsia" w:ascii="宋体" w:hAnsi="宋体" w:eastAsia="宋体" w:cs="Times New Roman"/>
          <w:sz w:val="24"/>
        </w:rPr>
        <w:t>、三废处理等问题。</w:t>
      </w:r>
    </w:p>
    <w:p>
      <w:pPr>
        <w:adjustRightInd w:val="0"/>
        <w:snapToGrid w:val="0"/>
        <w:spacing w:beforeLines="50" w:line="360" w:lineRule="auto"/>
        <w:ind w:firstLine="640" w:firstLineChars="200"/>
        <w:rPr>
          <w:rFonts w:ascii="黑体" w:hAnsi="黑体" w:eastAsia="黑体" w:cs="Times New Roman"/>
          <w:sz w:val="32"/>
          <w:szCs w:val="32"/>
        </w:rPr>
      </w:pPr>
      <w:r>
        <w:rPr>
          <w:rFonts w:hint="eastAsia" w:ascii="黑体" w:hAnsi="黑体" w:eastAsia="黑体" w:cs="Times New Roman"/>
          <w:sz w:val="32"/>
          <w:szCs w:val="32"/>
        </w:rPr>
        <w:t>二、课程设计理念</w:t>
      </w:r>
    </w:p>
    <w:p>
      <w:pPr>
        <w:spacing w:line="360" w:lineRule="auto"/>
        <w:rPr>
          <w:rFonts w:ascii="Calibri" w:hAnsi="Calibri" w:eastAsia="宋体" w:cs="Times New Roman"/>
          <w:sz w:val="24"/>
        </w:rPr>
      </w:pPr>
      <w:r>
        <w:rPr>
          <w:rFonts w:hint="eastAsia" w:ascii="Calibri" w:hAnsi="Calibri" w:eastAsia="宋体" w:cs="Times New Roman"/>
          <w:sz w:val="24"/>
        </w:rPr>
        <w:t xml:space="preserve">    针对本课程实践性、实用性强的特点，我们以应用化工技术专业的发展为依托，以企业需求为前提，以学生职业技能培养和职业素养成为主线，主动适应行业发展的需要，努力探索职业教育与终身学习对接；教学过程与生产过程对接；专业课程内容与职业标准对接；学历证书与职业资格证书对接；专业与产业、企业、岗位对接等五个对接。</w:t>
      </w:r>
    </w:p>
    <w:p>
      <w:pPr>
        <w:spacing w:line="360" w:lineRule="auto"/>
        <w:ind w:firstLine="480" w:firstLineChars="200"/>
        <w:rPr>
          <w:rFonts w:ascii="宋体" w:hAnsi="宋体" w:eastAsia="宋体" w:cs="Times New Roman"/>
          <w:bCs/>
          <w:sz w:val="24"/>
        </w:rPr>
      </w:pPr>
      <w:r>
        <w:rPr>
          <w:rFonts w:hint="eastAsia" w:ascii="Times New Roman" w:hAnsi="Times New Roman" w:eastAsia="宋体" w:cs="Times New Roman"/>
          <w:sz w:val="24"/>
        </w:rPr>
        <w:t>在教学内容的选取上以培养技能型专业人才为出发，以满足岗位职业技能需求为目标，以真实的工作任务或产品为载体设计教学过程。本课程主要采用项目化教学法，参照国家相应的职业资格标准，通过岗位调研，与企业共同确定岗位，按岗位能力确定岗位人才培养规格，确定人才培养目标。按职业岗位工作过程的完整性配置课程、构建课程体系。按典型工作任务需求选择课程内容，课程内容反映职业标准。</w:t>
      </w:r>
    </w:p>
    <w:p>
      <w:pPr>
        <w:adjustRightInd w:val="0"/>
        <w:snapToGrid w:val="0"/>
        <w:spacing w:beforeLines="50" w:line="360" w:lineRule="auto"/>
        <w:ind w:firstLine="480" w:firstLineChars="150"/>
        <w:rPr>
          <w:rFonts w:ascii="黑体" w:hAnsi="黑体" w:eastAsia="黑体" w:cs="Times New Roman"/>
          <w:sz w:val="32"/>
          <w:szCs w:val="32"/>
        </w:rPr>
      </w:pPr>
      <w:r>
        <w:rPr>
          <w:rFonts w:hint="eastAsia" w:ascii="黑体" w:hAnsi="黑体" w:eastAsia="黑体" w:cs="Times New Roman"/>
          <w:sz w:val="32"/>
          <w:szCs w:val="32"/>
        </w:rPr>
        <w:t>三、课程目标</w:t>
      </w:r>
    </w:p>
    <w:p>
      <w:pPr>
        <w:spacing w:line="360" w:lineRule="auto"/>
        <w:ind w:firstLine="480" w:firstLineChars="200"/>
        <w:rPr>
          <w:rFonts w:ascii="宋体" w:hAnsi="宋体" w:eastAsia="宋体" w:cs="Times New Roman"/>
          <w:bCs/>
          <w:sz w:val="24"/>
        </w:rPr>
      </w:pPr>
      <w:r>
        <w:rPr>
          <w:rFonts w:hint="eastAsia" w:ascii="宋体" w:hAnsi="宋体" w:eastAsia="宋体" w:cs="Times New Roman"/>
          <w:bCs/>
          <w:sz w:val="24"/>
        </w:rPr>
        <w:t>本课程的目标是：使学生具备高素质的应用化工技术专门人才所必需的无机化工生产技术基础知识、基本原理及生产技术。能够进行正常岗位操作、开停车操作等生产操作。通过课程学习，培养学生的专业能力、方法能力和社会能力。</w:t>
      </w:r>
    </w:p>
    <w:p>
      <w:pPr>
        <w:spacing w:line="360" w:lineRule="auto"/>
        <w:ind w:firstLine="480" w:firstLineChars="200"/>
        <w:rPr>
          <w:rFonts w:ascii="宋体" w:hAnsi="宋体" w:eastAsia="宋体" w:cs="Times New Roman"/>
          <w:bCs/>
          <w:sz w:val="24"/>
        </w:rPr>
      </w:pPr>
      <w:r>
        <w:rPr>
          <w:rFonts w:hint="eastAsia" w:ascii="宋体" w:hAnsi="宋体" w:eastAsia="宋体" w:cs="Times New Roman"/>
          <w:bCs/>
          <w:sz w:val="24"/>
        </w:rPr>
        <w:t>1．专业知识目标</w:t>
      </w:r>
    </w:p>
    <w:tbl>
      <w:tblPr>
        <w:tblStyle w:val="18"/>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spacing w:line="360" w:lineRule="auto"/>
              <w:rPr>
                <w:rFonts w:ascii="Times New Roman" w:hAnsi="Times New Roman" w:eastAsia="宋体" w:cs="Times New Roman"/>
                <w:bCs/>
                <w:szCs w:val="21"/>
              </w:rPr>
            </w:pPr>
            <w:r>
              <w:rPr>
                <w:rFonts w:ascii="Times New Roman" w:hAnsi="宋体" w:eastAsia="宋体" w:cs="Times New Roman"/>
                <w:bCs/>
                <w:szCs w:val="21"/>
              </w:rPr>
              <w:t>（</w:t>
            </w:r>
            <w:r>
              <w:rPr>
                <w:rFonts w:ascii="Times New Roman" w:hAnsi="Times New Roman" w:eastAsia="宋体" w:cs="Times New Roman"/>
                <w:bCs/>
                <w:szCs w:val="21"/>
              </w:rPr>
              <w:t>1</w:t>
            </w:r>
            <w:r>
              <w:rPr>
                <w:rFonts w:ascii="Times New Roman" w:hAnsi="宋体" w:eastAsia="宋体" w:cs="Times New Roman"/>
                <w:bCs/>
                <w:szCs w:val="21"/>
              </w:rPr>
              <w:t>）了解无机化工在化工行业中的重要地位和发展趋势；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spacing w:line="360" w:lineRule="auto"/>
              <w:rPr>
                <w:rFonts w:ascii="Times New Roman" w:hAnsi="Times New Roman" w:eastAsia="宋体" w:cs="Times New Roman"/>
                <w:bCs/>
                <w:szCs w:val="21"/>
              </w:rPr>
            </w:pPr>
            <w:r>
              <w:rPr>
                <w:rFonts w:ascii="Times New Roman" w:hAnsi="宋体" w:eastAsia="宋体" w:cs="Times New Roman"/>
                <w:bCs/>
                <w:szCs w:val="21"/>
              </w:rPr>
              <w:t>（</w:t>
            </w:r>
            <w:r>
              <w:rPr>
                <w:rFonts w:ascii="Times New Roman" w:hAnsi="Times New Roman" w:eastAsia="宋体" w:cs="Times New Roman"/>
                <w:bCs/>
                <w:szCs w:val="21"/>
              </w:rPr>
              <w:t>2</w:t>
            </w:r>
            <w:r>
              <w:rPr>
                <w:rFonts w:ascii="Times New Roman" w:hAnsi="宋体" w:eastAsia="宋体" w:cs="Times New Roman"/>
                <w:bCs/>
                <w:szCs w:val="21"/>
              </w:rPr>
              <w:t>）掌握典型无机产品原料的多样性及生产路线选择原则；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spacing w:line="360" w:lineRule="auto"/>
              <w:rPr>
                <w:rFonts w:ascii="Times New Roman" w:hAnsi="Times New Roman" w:eastAsia="宋体" w:cs="Times New Roman"/>
                <w:bCs/>
                <w:szCs w:val="21"/>
              </w:rPr>
            </w:pPr>
            <w:r>
              <w:rPr>
                <w:rFonts w:ascii="Times New Roman" w:hAnsi="宋体" w:eastAsia="宋体" w:cs="Times New Roman"/>
                <w:bCs/>
                <w:szCs w:val="21"/>
              </w:rPr>
              <w:t>（</w:t>
            </w:r>
            <w:r>
              <w:rPr>
                <w:rFonts w:ascii="Times New Roman" w:hAnsi="Times New Roman" w:eastAsia="宋体" w:cs="Times New Roman"/>
                <w:bCs/>
                <w:szCs w:val="21"/>
              </w:rPr>
              <w:t>3</w:t>
            </w:r>
            <w:r>
              <w:rPr>
                <w:rFonts w:ascii="Times New Roman" w:hAnsi="宋体" w:eastAsia="宋体" w:cs="Times New Roman"/>
                <w:bCs/>
                <w:szCs w:val="21"/>
              </w:rPr>
              <w:t>）掌握主要反应器的基本结构及其操作控制要点；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spacing w:line="360" w:lineRule="auto"/>
              <w:rPr>
                <w:rFonts w:ascii="Times New Roman" w:hAnsi="Times New Roman" w:eastAsia="宋体" w:cs="Times New Roman"/>
                <w:bCs/>
                <w:szCs w:val="21"/>
              </w:rPr>
            </w:pPr>
            <w:r>
              <w:rPr>
                <w:rFonts w:ascii="Times New Roman" w:hAnsi="宋体" w:eastAsia="宋体" w:cs="Times New Roman"/>
                <w:bCs/>
                <w:szCs w:val="21"/>
              </w:rPr>
              <w:t>（</w:t>
            </w:r>
            <w:r>
              <w:rPr>
                <w:rFonts w:ascii="Times New Roman" w:hAnsi="Times New Roman" w:eastAsia="宋体" w:cs="Times New Roman"/>
                <w:bCs/>
                <w:szCs w:val="21"/>
              </w:rPr>
              <w:t>4</w:t>
            </w:r>
            <w:r>
              <w:rPr>
                <w:rFonts w:ascii="Times New Roman" w:hAnsi="宋体" w:eastAsia="宋体" w:cs="Times New Roman"/>
                <w:bCs/>
                <w:szCs w:val="21"/>
              </w:rPr>
              <w:t>）掌握典型无机化学产品生产条件的选择；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spacing w:line="360" w:lineRule="auto"/>
              <w:rPr>
                <w:rFonts w:ascii="Times New Roman" w:hAnsi="Times New Roman" w:eastAsia="宋体" w:cs="Times New Roman"/>
                <w:bCs/>
                <w:szCs w:val="21"/>
              </w:rPr>
            </w:pPr>
            <w:r>
              <w:rPr>
                <w:rFonts w:ascii="Times New Roman" w:hAnsi="宋体" w:eastAsia="宋体" w:cs="Times New Roman"/>
                <w:bCs/>
                <w:szCs w:val="21"/>
              </w:rPr>
              <w:t>（</w:t>
            </w:r>
            <w:r>
              <w:rPr>
                <w:rFonts w:ascii="Times New Roman" w:hAnsi="Times New Roman" w:eastAsia="宋体" w:cs="Times New Roman"/>
                <w:bCs/>
                <w:szCs w:val="21"/>
              </w:rPr>
              <w:t>5</w:t>
            </w:r>
            <w:r>
              <w:rPr>
                <w:rFonts w:ascii="Times New Roman" w:hAnsi="宋体" w:eastAsia="宋体" w:cs="Times New Roman"/>
                <w:bCs/>
                <w:szCs w:val="21"/>
              </w:rPr>
              <w:t>）掌握典型无机化学产品生产工艺流程的组织；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spacing w:line="360" w:lineRule="auto"/>
              <w:rPr>
                <w:rFonts w:ascii="Times New Roman" w:hAnsi="Times New Roman" w:eastAsia="宋体" w:cs="Times New Roman"/>
                <w:bCs/>
                <w:szCs w:val="21"/>
              </w:rPr>
            </w:pPr>
            <w:r>
              <w:rPr>
                <w:rFonts w:ascii="Times New Roman" w:hAnsi="宋体" w:eastAsia="宋体" w:cs="Times New Roman"/>
                <w:bCs/>
                <w:szCs w:val="21"/>
              </w:rPr>
              <w:t>（</w:t>
            </w:r>
            <w:r>
              <w:rPr>
                <w:rFonts w:ascii="Times New Roman" w:hAnsi="Times New Roman" w:eastAsia="宋体" w:cs="Times New Roman"/>
                <w:bCs/>
                <w:szCs w:val="21"/>
              </w:rPr>
              <w:t>6</w:t>
            </w:r>
            <w:r>
              <w:rPr>
                <w:rFonts w:ascii="Times New Roman" w:hAnsi="宋体" w:eastAsia="宋体" w:cs="Times New Roman"/>
                <w:bCs/>
                <w:szCs w:val="21"/>
              </w:rPr>
              <w:t>）大型化学产品生产过程主要异常现象及故障排除；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Times New Roman" w:hAnsi="Times New Roman" w:eastAsia="宋体" w:cs="Times New Roman"/>
                <w:bCs/>
                <w:szCs w:val="21"/>
              </w:rPr>
            </w:pPr>
            <w:r>
              <w:rPr>
                <w:rFonts w:ascii="Times New Roman" w:hAnsi="宋体" w:eastAsia="宋体" w:cs="Times New Roman"/>
                <w:bCs/>
                <w:szCs w:val="21"/>
              </w:rPr>
              <w:t>（</w:t>
            </w:r>
            <w:r>
              <w:rPr>
                <w:rFonts w:ascii="Times New Roman" w:hAnsi="Times New Roman" w:eastAsia="宋体" w:cs="Times New Roman"/>
                <w:bCs/>
                <w:szCs w:val="21"/>
              </w:rPr>
              <w:t>7</w:t>
            </w:r>
            <w:r>
              <w:rPr>
                <w:rFonts w:ascii="Times New Roman" w:hAnsi="宋体" w:eastAsia="宋体" w:cs="Times New Roman"/>
                <w:bCs/>
                <w:szCs w:val="21"/>
              </w:rPr>
              <w:t>）具有较强的安全意识与环保意识；</w:t>
            </w:r>
          </w:p>
        </w:tc>
      </w:tr>
    </w:tbl>
    <w:p>
      <w:pPr>
        <w:spacing w:line="360" w:lineRule="auto"/>
        <w:ind w:firstLine="120" w:firstLineChars="50"/>
        <w:rPr>
          <w:rFonts w:ascii="Times New Roman" w:hAnsi="Times New Roman" w:eastAsia="宋体" w:cs="Times New Roman"/>
          <w:bCs/>
          <w:sz w:val="24"/>
        </w:rPr>
      </w:pPr>
      <w:r>
        <w:rPr>
          <w:rFonts w:ascii="Times New Roman" w:hAnsi="Times New Roman" w:eastAsia="宋体" w:cs="Times New Roman"/>
          <w:bCs/>
          <w:sz w:val="24"/>
        </w:rPr>
        <w:t>2</w:t>
      </w:r>
      <w:r>
        <w:rPr>
          <w:rFonts w:hint="eastAsia" w:ascii="Times New Roman" w:hAnsi="宋体" w:eastAsia="宋体" w:cs="Times New Roman"/>
          <w:bCs/>
          <w:sz w:val="24"/>
        </w:rPr>
        <w:t>．</w:t>
      </w:r>
      <w:r>
        <w:rPr>
          <w:rFonts w:ascii="Times New Roman" w:hAnsi="宋体" w:eastAsia="宋体" w:cs="Times New Roman"/>
          <w:bCs/>
          <w:sz w:val="24"/>
        </w:rPr>
        <w:t>方法能力目标</w:t>
      </w:r>
    </w:p>
    <w:tbl>
      <w:tblPr>
        <w:tblStyle w:val="18"/>
        <w:tblW w:w="8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1" w:type="dxa"/>
          </w:tcPr>
          <w:p>
            <w:pPr>
              <w:spacing w:line="360" w:lineRule="auto"/>
              <w:rPr>
                <w:rFonts w:ascii="Times New Roman" w:hAnsi="Times New Roman" w:eastAsia="宋体" w:cs="Times New Roman"/>
                <w:bCs/>
                <w:szCs w:val="21"/>
              </w:rPr>
            </w:pPr>
            <w:r>
              <w:rPr>
                <w:rFonts w:ascii="Times New Roman" w:hAnsi="宋体" w:eastAsia="宋体" w:cs="Times New Roman"/>
                <w:bCs/>
                <w:szCs w:val="21"/>
              </w:rPr>
              <w:t>（</w:t>
            </w:r>
            <w:r>
              <w:rPr>
                <w:rFonts w:ascii="Times New Roman" w:hAnsi="Times New Roman" w:eastAsia="宋体" w:cs="Times New Roman"/>
                <w:bCs/>
                <w:szCs w:val="21"/>
              </w:rPr>
              <w:t>1</w:t>
            </w:r>
            <w:r>
              <w:rPr>
                <w:rFonts w:ascii="Times New Roman" w:hAnsi="宋体" w:eastAsia="宋体" w:cs="Times New Roman"/>
                <w:bCs/>
                <w:szCs w:val="21"/>
              </w:rPr>
              <w:t>）具有较强的自我学习和自我提高能力；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1" w:type="dxa"/>
          </w:tcPr>
          <w:p>
            <w:pPr>
              <w:spacing w:line="360" w:lineRule="auto"/>
              <w:rPr>
                <w:rFonts w:ascii="Times New Roman" w:hAnsi="Times New Roman" w:eastAsia="宋体" w:cs="Times New Roman"/>
                <w:bCs/>
                <w:szCs w:val="21"/>
              </w:rPr>
            </w:pPr>
            <w:r>
              <w:rPr>
                <w:rFonts w:ascii="Times New Roman" w:hAnsi="宋体" w:eastAsia="宋体" w:cs="Times New Roman"/>
                <w:bCs/>
                <w:szCs w:val="21"/>
              </w:rPr>
              <w:t>（</w:t>
            </w:r>
            <w:r>
              <w:rPr>
                <w:rFonts w:ascii="Times New Roman" w:hAnsi="Times New Roman" w:eastAsia="宋体" w:cs="Times New Roman"/>
                <w:bCs/>
                <w:szCs w:val="21"/>
              </w:rPr>
              <w:t>2</w:t>
            </w:r>
            <w:r>
              <w:rPr>
                <w:rFonts w:ascii="Times New Roman" w:hAnsi="宋体" w:eastAsia="宋体" w:cs="Times New Roman"/>
                <w:bCs/>
                <w:szCs w:val="21"/>
              </w:rPr>
              <w:t>）具有较强的发现问题、分析问题和解决问题的能力；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1" w:type="dxa"/>
          </w:tcPr>
          <w:p>
            <w:pPr>
              <w:spacing w:line="360" w:lineRule="auto"/>
              <w:rPr>
                <w:rFonts w:ascii="Times New Roman" w:hAnsi="Times New Roman" w:eastAsia="宋体" w:cs="Times New Roman"/>
                <w:bCs/>
                <w:szCs w:val="21"/>
              </w:rPr>
            </w:pPr>
            <w:r>
              <w:rPr>
                <w:rFonts w:ascii="Times New Roman" w:hAnsi="宋体" w:eastAsia="宋体" w:cs="Times New Roman"/>
                <w:bCs/>
                <w:szCs w:val="21"/>
              </w:rPr>
              <w:t>（</w:t>
            </w:r>
            <w:r>
              <w:rPr>
                <w:rFonts w:ascii="Times New Roman" w:hAnsi="Times New Roman" w:eastAsia="宋体" w:cs="Times New Roman"/>
                <w:bCs/>
                <w:szCs w:val="21"/>
              </w:rPr>
              <w:t>3</w:t>
            </w:r>
            <w:r>
              <w:rPr>
                <w:rFonts w:ascii="Times New Roman" w:hAnsi="宋体" w:eastAsia="宋体" w:cs="Times New Roman"/>
                <w:bCs/>
                <w:szCs w:val="21"/>
              </w:rPr>
              <w:t>）具有较强的发散性思维能力和创新意识。</w:t>
            </w:r>
          </w:p>
        </w:tc>
      </w:tr>
    </w:tbl>
    <w:p>
      <w:pPr>
        <w:spacing w:line="360" w:lineRule="auto"/>
        <w:ind w:firstLine="240" w:firstLineChars="100"/>
        <w:rPr>
          <w:rFonts w:ascii="Times New Roman" w:hAnsi="Times New Roman" w:eastAsia="宋体" w:cs="Times New Roman"/>
          <w:bCs/>
          <w:sz w:val="24"/>
        </w:rPr>
      </w:pPr>
      <w:r>
        <w:rPr>
          <w:rFonts w:ascii="Times New Roman" w:hAnsi="Times New Roman" w:eastAsia="宋体" w:cs="Times New Roman"/>
          <w:bCs/>
          <w:sz w:val="24"/>
        </w:rPr>
        <w:t>3</w:t>
      </w:r>
      <w:r>
        <w:rPr>
          <w:rFonts w:hint="eastAsia" w:ascii="Times New Roman" w:hAnsi="宋体" w:eastAsia="宋体" w:cs="Times New Roman"/>
          <w:bCs/>
          <w:sz w:val="24"/>
        </w:rPr>
        <w:t>．</w:t>
      </w:r>
      <w:r>
        <w:rPr>
          <w:rFonts w:ascii="Times New Roman" w:hAnsi="宋体" w:eastAsia="宋体" w:cs="Times New Roman"/>
          <w:bCs/>
          <w:sz w:val="24"/>
        </w:rPr>
        <w:t>社会能力目标</w:t>
      </w:r>
    </w:p>
    <w:tbl>
      <w:tblPr>
        <w:tblStyle w:val="18"/>
        <w:tblpPr w:leftFromText="180" w:rightFromText="180" w:vertAnchor="text" w:horzAnchor="margin" w:tblpY="294"/>
        <w:tblOverlap w:val="never"/>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spacing w:line="360" w:lineRule="auto"/>
              <w:rPr>
                <w:rFonts w:ascii="Times New Roman" w:hAnsi="Times New Roman" w:eastAsia="宋体" w:cs="Times New Roman"/>
                <w:bCs/>
                <w:szCs w:val="21"/>
              </w:rPr>
            </w:pPr>
            <w:r>
              <w:rPr>
                <w:rFonts w:ascii="Times New Roman" w:hAnsi="宋体" w:eastAsia="宋体" w:cs="Times New Roman"/>
                <w:bCs/>
                <w:szCs w:val="21"/>
              </w:rPr>
              <w:t>（</w:t>
            </w:r>
            <w:r>
              <w:rPr>
                <w:rFonts w:ascii="Times New Roman" w:hAnsi="Times New Roman" w:eastAsia="宋体" w:cs="Times New Roman"/>
                <w:bCs/>
                <w:szCs w:val="21"/>
              </w:rPr>
              <w:t>1</w:t>
            </w:r>
            <w:r>
              <w:rPr>
                <w:rFonts w:ascii="Times New Roman" w:hAnsi="宋体" w:eastAsia="宋体" w:cs="Times New Roman"/>
                <w:bCs/>
                <w:szCs w:val="21"/>
              </w:rPr>
              <w:t>）具有与人合作能力和团队精神；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spacing w:line="360" w:lineRule="auto"/>
              <w:rPr>
                <w:rFonts w:ascii="Times New Roman" w:hAnsi="Times New Roman" w:eastAsia="宋体" w:cs="Times New Roman"/>
                <w:bCs/>
                <w:szCs w:val="21"/>
              </w:rPr>
            </w:pPr>
            <w:r>
              <w:rPr>
                <w:rFonts w:ascii="Times New Roman" w:hAnsi="宋体" w:eastAsia="宋体" w:cs="Times New Roman"/>
                <w:bCs/>
                <w:szCs w:val="21"/>
              </w:rPr>
              <w:t>（</w:t>
            </w:r>
            <w:r>
              <w:rPr>
                <w:rFonts w:ascii="Times New Roman" w:hAnsi="Times New Roman" w:eastAsia="宋体" w:cs="Times New Roman"/>
                <w:bCs/>
                <w:szCs w:val="21"/>
              </w:rPr>
              <w:t>2</w:t>
            </w:r>
            <w:r>
              <w:rPr>
                <w:rFonts w:ascii="Times New Roman" w:hAnsi="宋体" w:eastAsia="宋体" w:cs="Times New Roman"/>
                <w:bCs/>
                <w:szCs w:val="21"/>
              </w:rPr>
              <w:t>）具有社会交往能力；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spacing w:line="360" w:lineRule="auto"/>
              <w:rPr>
                <w:rFonts w:ascii="Times New Roman" w:hAnsi="Times New Roman" w:eastAsia="宋体" w:cs="Times New Roman"/>
                <w:bCs/>
                <w:szCs w:val="21"/>
              </w:rPr>
            </w:pPr>
            <w:r>
              <w:rPr>
                <w:rFonts w:ascii="Times New Roman" w:hAnsi="宋体" w:eastAsia="宋体" w:cs="Times New Roman"/>
                <w:bCs/>
                <w:szCs w:val="21"/>
              </w:rPr>
              <w:t>（</w:t>
            </w:r>
            <w:r>
              <w:rPr>
                <w:rFonts w:ascii="Times New Roman" w:hAnsi="Times New Roman" w:eastAsia="宋体" w:cs="Times New Roman"/>
                <w:bCs/>
                <w:szCs w:val="21"/>
              </w:rPr>
              <w:t>3</w:t>
            </w:r>
            <w:r>
              <w:rPr>
                <w:rFonts w:ascii="Times New Roman" w:hAnsi="宋体" w:eastAsia="宋体" w:cs="Times New Roman"/>
                <w:bCs/>
                <w:szCs w:val="21"/>
              </w:rPr>
              <w:t>）具有较强的口头和文字表达能力。</w:t>
            </w:r>
          </w:p>
        </w:tc>
      </w:tr>
    </w:tbl>
    <w:p>
      <w:pPr>
        <w:adjustRightInd w:val="0"/>
        <w:snapToGrid w:val="0"/>
        <w:spacing w:beforeLines="50" w:line="360" w:lineRule="auto"/>
        <w:ind w:firstLine="480" w:firstLineChars="150"/>
        <w:rPr>
          <w:rFonts w:ascii="黑体" w:hAnsi="黑体" w:eastAsia="黑体" w:cs="Times New Roman"/>
          <w:sz w:val="32"/>
          <w:szCs w:val="32"/>
        </w:rPr>
      </w:pPr>
      <w:r>
        <w:rPr>
          <w:rFonts w:hint="eastAsia" w:ascii="黑体" w:hAnsi="黑体" w:eastAsia="黑体" w:cs="Times New Roman"/>
          <w:sz w:val="32"/>
          <w:szCs w:val="32"/>
        </w:rPr>
        <w:t>四、课程教学内容及学时分配</w:t>
      </w:r>
    </w:p>
    <w:p>
      <w:pPr>
        <w:spacing w:line="360" w:lineRule="auto"/>
        <w:ind w:firstLine="480" w:firstLineChars="200"/>
        <w:rPr>
          <w:rFonts w:ascii="Calibri" w:hAnsi="Calibri" w:eastAsia="宋体" w:cs="Times New Roman"/>
          <w:sz w:val="24"/>
        </w:rPr>
      </w:pPr>
      <w:r>
        <w:rPr>
          <w:rFonts w:hint="eastAsia" w:ascii="Calibri" w:hAnsi="Calibri" w:eastAsia="宋体" w:cs="Times New Roman"/>
          <w:sz w:val="24"/>
        </w:rPr>
        <w:t>1．教学内容选取的依据</w:t>
      </w:r>
    </w:p>
    <w:p>
      <w:pPr>
        <w:spacing w:line="360" w:lineRule="auto"/>
        <w:ind w:firstLine="480" w:firstLineChars="200"/>
        <w:rPr>
          <w:rFonts w:ascii="Calibri" w:hAnsi="Calibri" w:eastAsia="宋体" w:cs="Times New Roman"/>
          <w:sz w:val="24"/>
        </w:rPr>
      </w:pPr>
      <w:r>
        <w:rPr>
          <w:rFonts w:ascii="Calibri" w:hAnsi="Calibri" w:eastAsia="宋体" w:cs="Times New Roman"/>
          <w:sz w:val="24"/>
        </w:rPr>
        <w:t>通过企业调研和专家座谈会开发的课程内容分散于各个职业岗位工作中，呈交叉无序状态，给教学带来诸多不便，所以在实施教学之前需进行整合序化。课程内容的整合与序化也是通过校企合作完成的。整合序化以岗位任务分析为依据，以</w:t>
      </w:r>
      <w:r>
        <w:rPr>
          <w:rFonts w:hint="eastAsia" w:ascii="Calibri" w:hAnsi="Calibri" w:eastAsia="宋体" w:cs="Times New Roman"/>
          <w:sz w:val="24"/>
        </w:rPr>
        <w:t>无机化工生产技术与操作的相关</w:t>
      </w:r>
      <w:r>
        <w:rPr>
          <w:rFonts w:ascii="Calibri" w:hAnsi="Calibri" w:eastAsia="宋体" w:cs="Times New Roman"/>
          <w:sz w:val="24"/>
        </w:rPr>
        <w:t>岗位工作过程为主线，遵循学生职业成长规律，把技能训练和知识的掌握贯穿于以工作任务为载体的项目教学中，课程教学尽可能与职业资格取证培训相融合，更加注重学生工作过程知识的获取和岗位能力的培养。</w:t>
      </w:r>
      <w:r>
        <w:rPr>
          <w:rFonts w:ascii="Calibri" w:hAnsi="Calibri" w:eastAsia="宋体" w:cs="Times New Roman"/>
          <w:sz w:val="24"/>
        </w:rPr>
        <w:br w:type="textWrapping"/>
      </w:r>
      <w:r>
        <w:rPr>
          <w:rFonts w:hint="eastAsia" w:ascii="Calibri" w:hAnsi="Calibri" w:eastAsia="宋体" w:cs="Times New Roman"/>
          <w:sz w:val="24"/>
        </w:rPr>
        <w:t xml:space="preserve">   2.</w:t>
      </w:r>
      <w:r>
        <w:rPr>
          <w:rFonts w:ascii="Calibri" w:hAnsi="Calibri" w:eastAsia="宋体" w:cs="Times New Roman"/>
          <w:sz w:val="24"/>
        </w:rPr>
        <w:t>教学内容的组织</w:t>
      </w:r>
      <w:r>
        <w:rPr>
          <w:rFonts w:ascii="Calibri" w:hAnsi="Calibri" w:eastAsia="宋体" w:cs="Times New Roman"/>
          <w:sz w:val="24"/>
        </w:rPr>
        <w:br w:type="textWrapping"/>
      </w:r>
      <w:r>
        <w:rPr>
          <w:rFonts w:ascii="Calibri" w:hAnsi="Calibri" w:eastAsia="宋体" w:cs="Times New Roman"/>
          <w:sz w:val="24"/>
        </w:rPr>
        <w:t>经过</w:t>
      </w:r>
      <w:r>
        <w:rPr>
          <w:rFonts w:hint="eastAsia" w:ascii="Calibri" w:hAnsi="Calibri" w:eastAsia="宋体" w:cs="Times New Roman"/>
          <w:sz w:val="24"/>
        </w:rPr>
        <w:t>选择、</w:t>
      </w:r>
      <w:r>
        <w:rPr>
          <w:rFonts w:ascii="Calibri" w:hAnsi="Calibri" w:eastAsia="宋体" w:cs="Times New Roman"/>
          <w:sz w:val="24"/>
        </w:rPr>
        <w:t>整合</w:t>
      </w:r>
      <w:r>
        <w:rPr>
          <w:rFonts w:hint="eastAsia" w:ascii="Calibri" w:hAnsi="Calibri" w:eastAsia="宋体" w:cs="Times New Roman"/>
          <w:sz w:val="24"/>
        </w:rPr>
        <w:t>、</w:t>
      </w:r>
      <w:r>
        <w:rPr>
          <w:rFonts w:ascii="Calibri" w:hAnsi="Calibri" w:eastAsia="宋体" w:cs="Times New Roman"/>
          <w:sz w:val="24"/>
        </w:rPr>
        <w:t>序化后的教学内容，根据每种单元操作过程所遵循的规律划分为三个模块，</w:t>
      </w:r>
      <w:r>
        <w:rPr>
          <w:rFonts w:hint="eastAsia" w:ascii="Calibri" w:hAnsi="Calibri" w:eastAsia="宋体" w:cs="Times New Roman"/>
          <w:sz w:val="24"/>
        </w:rPr>
        <w:t>重点讲解合成氨模块和化学肥料生产模块，</w:t>
      </w:r>
      <w:r>
        <w:rPr>
          <w:rFonts w:ascii="Calibri" w:hAnsi="Calibri" w:eastAsia="宋体" w:cs="Times New Roman"/>
          <w:sz w:val="24"/>
        </w:rPr>
        <w:t>每个模块又由以任务为载体的</w:t>
      </w:r>
      <w:r>
        <w:rPr>
          <w:rFonts w:hint="eastAsia" w:ascii="Calibri" w:hAnsi="Calibri" w:eastAsia="宋体" w:cs="Times New Roman"/>
          <w:sz w:val="24"/>
        </w:rPr>
        <w:t>分</w:t>
      </w:r>
      <w:r>
        <w:rPr>
          <w:rFonts w:ascii="Calibri" w:hAnsi="Calibri" w:eastAsia="宋体" w:cs="Times New Roman"/>
          <w:sz w:val="24"/>
        </w:rPr>
        <w:t>项目构成。</w:t>
      </w:r>
    </w:p>
    <w:p>
      <w:pPr>
        <w:spacing w:line="360" w:lineRule="auto"/>
        <w:jc w:val="center"/>
        <w:rPr>
          <w:rFonts w:ascii="Calibri" w:hAnsi="Calibri" w:eastAsia="宋体" w:cs="Times New Roman"/>
          <w:sz w:val="24"/>
        </w:rPr>
      </w:pPr>
      <w:r>
        <w:rPr>
          <w:rFonts w:hint="eastAsia" w:ascii="宋体" w:hAnsi="宋体" w:eastAsia="宋体" w:cs="宋体"/>
          <w:kern w:val="0"/>
          <w:sz w:val="24"/>
          <w:szCs w:val="22"/>
        </w:rPr>
        <w:t>表4.3《无机化工生产技术》课程教学内容及学时安排</w:t>
      </w:r>
    </w:p>
    <w:tbl>
      <w:tblPr>
        <w:tblStyle w:val="1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2520"/>
        <w:gridCol w:w="3960"/>
        <w:gridCol w:w="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Align w:val="center"/>
          </w:tcPr>
          <w:p>
            <w:pPr>
              <w:jc w:val="center"/>
              <w:rPr>
                <w:rFonts w:cs="宋体" w:asciiTheme="minorEastAsia" w:hAnsiTheme="minorEastAsia"/>
                <w:b/>
                <w:bCs/>
                <w:kern w:val="0"/>
                <w:szCs w:val="21"/>
              </w:rPr>
            </w:pPr>
            <w:r>
              <w:rPr>
                <w:rFonts w:hint="eastAsia" w:cs="宋体" w:asciiTheme="minorEastAsia" w:hAnsiTheme="minorEastAsia"/>
                <w:b/>
                <w:bCs/>
                <w:kern w:val="0"/>
                <w:szCs w:val="21"/>
              </w:rPr>
              <w:t>项目任务</w:t>
            </w:r>
          </w:p>
        </w:tc>
        <w:tc>
          <w:tcPr>
            <w:tcW w:w="2520" w:type="dxa"/>
            <w:vAlign w:val="center"/>
          </w:tcPr>
          <w:p>
            <w:pPr>
              <w:jc w:val="center"/>
              <w:rPr>
                <w:rFonts w:cs="宋体" w:asciiTheme="minorEastAsia" w:hAnsiTheme="minorEastAsia"/>
                <w:b/>
                <w:bCs/>
                <w:kern w:val="0"/>
                <w:szCs w:val="21"/>
              </w:rPr>
            </w:pPr>
            <w:r>
              <w:rPr>
                <w:rFonts w:hint="eastAsia" w:cs="宋体" w:asciiTheme="minorEastAsia" w:hAnsiTheme="minorEastAsia"/>
                <w:b/>
                <w:bCs/>
                <w:kern w:val="0"/>
                <w:szCs w:val="21"/>
              </w:rPr>
              <w:t>学习情境描述及目标</w:t>
            </w:r>
          </w:p>
        </w:tc>
        <w:tc>
          <w:tcPr>
            <w:tcW w:w="3960" w:type="dxa"/>
            <w:vAlign w:val="center"/>
          </w:tcPr>
          <w:p>
            <w:pPr>
              <w:jc w:val="center"/>
              <w:rPr>
                <w:rFonts w:cs="宋体" w:asciiTheme="minorEastAsia" w:hAnsiTheme="minorEastAsia"/>
                <w:b/>
                <w:bCs/>
                <w:kern w:val="0"/>
                <w:szCs w:val="21"/>
              </w:rPr>
            </w:pPr>
            <w:r>
              <w:rPr>
                <w:rFonts w:hint="eastAsia" w:cs="宋体" w:asciiTheme="minorEastAsia" w:hAnsiTheme="minorEastAsia"/>
                <w:b/>
                <w:bCs/>
                <w:kern w:val="0"/>
                <w:szCs w:val="21"/>
              </w:rPr>
              <w:t>学习内容</w:t>
            </w:r>
          </w:p>
        </w:tc>
        <w:tc>
          <w:tcPr>
            <w:tcW w:w="854" w:type="dxa"/>
            <w:vAlign w:val="center"/>
          </w:tcPr>
          <w:p>
            <w:pPr>
              <w:jc w:val="center"/>
              <w:rPr>
                <w:rFonts w:cs="宋体" w:asciiTheme="minorEastAsia" w:hAnsiTheme="minorEastAsia"/>
                <w:b/>
                <w:bCs/>
                <w:kern w:val="0"/>
                <w:szCs w:val="21"/>
              </w:rPr>
            </w:pPr>
            <w:r>
              <w:rPr>
                <w:rFonts w:hint="eastAsia" w:cs="宋体" w:asciiTheme="minorEastAsia" w:hAnsiTheme="minorEastAsia"/>
                <w:b/>
                <w:bCs/>
                <w:kern w:val="0"/>
                <w:szCs w:val="21"/>
              </w:rPr>
              <w:t>课时</w:t>
            </w:r>
          </w:p>
          <w:p>
            <w:pPr>
              <w:jc w:val="center"/>
              <w:rPr>
                <w:rFonts w:cs="宋体" w:asciiTheme="minorEastAsia" w:hAnsiTheme="minorEastAsia"/>
                <w:b/>
                <w:bCs/>
                <w:kern w:val="0"/>
                <w:szCs w:val="21"/>
              </w:rPr>
            </w:pPr>
            <w:r>
              <w:rPr>
                <w:rFonts w:hint="eastAsia" w:cs="宋体" w:asciiTheme="minorEastAsia" w:hAnsiTheme="minorEastAsia"/>
                <w:b/>
                <w:bCs/>
                <w:kern w:val="0"/>
                <w:szCs w:val="21"/>
              </w:rPr>
              <w:t>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restart"/>
            <w:vAlign w:val="center"/>
          </w:tcPr>
          <w:p>
            <w:pPr>
              <w:ind w:firstLine="105" w:firstLineChars="50"/>
              <w:rPr>
                <w:rFonts w:cs="Times New Roman" w:asciiTheme="minorEastAsia" w:hAnsiTheme="minorEastAsia"/>
                <w:szCs w:val="21"/>
              </w:rPr>
            </w:pPr>
            <w:r>
              <w:rPr>
                <w:rFonts w:cs="Times New Roman" w:asciiTheme="minorEastAsia" w:hAnsiTheme="minorEastAsia"/>
                <w:szCs w:val="21"/>
              </w:rPr>
              <w:t>合成氨</w:t>
            </w:r>
          </w:p>
        </w:tc>
        <w:tc>
          <w:tcPr>
            <w:tcW w:w="2520" w:type="dxa"/>
            <w:vMerge w:val="restart"/>
            <w:vAlign w:val="center"/>
          </w:tcPr>
          <w:p>
            <w:pPr>
              <w:jc w:val="center"/>
              <w:rPr>
                <w:rFonts w:cs="Times New Roman" w:asciiTheme="minorEastAsia" w:hAnsiTheme="minorEastAsia"/>
                <w:szCs w:val="21"/>
              </w:rPr>
            </w:pPr>
            <w:r>
              <w:rPr>
                <w:rFonts w:cs="Times New Roman" w:asciiTheme="minorEastAsia" w:hAnsiTheme="minorEastAsia"/>
                <w:szCs w:val="21"/>
              </w:rPr>
              <w:t>1、合成氨原料气的生产</w:t>
            </w:r>
          </w:p>
        </w:tc>
        <w:tc>
          <w:tcPr>
            <w:tcW w:w="3960" w:type="dxa"/>
          </w:tcPr>
          <w:p>
            <w:pPr>
              <w:adjustRightInd w:val="0"/>
              <w:snapToGrid w:val="0"/>
              <w:rPr>
                <w:rFonts w:cs="Times New Roman" w:asciiTheme="minorEastAsia" w:hAnsiTheme="minorEastAsia"/>
                <w:szCs w:val="21"/>
              </w:rPr>
            </w:pPr>
            <w:r>
              <w:rPr>
                <w:rFonts w:cs="Times New Roman" w:asciiTheme="minorEastAsia" w:hAnsiTheme="minorEastAsia"/>
                <w:szCs w:val="21"/>
              </w:rPr>
              <w:t>1、间歇法制备半水煤气</w:t>
            </w:r>
          </w:p>
        </w:tc>
        <w:tc>
          <w:tcPr>
            <w:tcW w:w="854" w:type="dxa"/>
            <w:vMerge w:val="restart"/>
            <w:vAlign w:val="center"/>
          </w:tcPr>
          <w:p>
            <w:pPr>
              <w:jc w:val="center"/>
              <w:rPr>
                <w:rFonts w:cs="Times New Roman" w:asciiTheme="minorEastAsia" w:hAnsiTheme="minorEastAsia"/>
                <w:szCs w:val="21"/>
              </w:rPr>
            </w:pPr>
            <w:r>
              <w:rPr>
                <w:rFonts w:cs="Times New Roman" w:asciiTheme="minorEastAsia" w:hAnsiTheme="minorEastAsia"/>
                <w:szCs w:val="21"/>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vAlign w:val="center"/>
          </w:tcPr>
          <w:p>
            <w:pPr>
              <w:jc w:val="center"/>
              <w:rPr>
                <w:rFonts w:cs="Times New Roman" w:asciiTheme="minorEastAsia" w:hAnsiTheme="minorEastAsia"/>
                <w:szCs w:val="21"/>
              </w:rPr>
            </w:pPr>
          </w:p>
        </w:tc>
        <w:tc>
          <w:tcPr>
            <w:tcW w:w="2520" w:type="dxa"/>
            <w:vMerge w:val="continue"/>
            <w:vAlign w:val="center"/>
          </w:tcPr>
          <w:p>
            <w:pPr>
              <w:jc w:val="center"/>
              <w:rPr>
                <w:rFonts w:cs="Times New Roman" w:asciiTheme="minorEastAsia" w:hAnsiTheme="minorEastAsia"/>
                <w:szCs w:val="21"/>
              </w:rPr>
            </w:pPr>
          </w:p>
        </w:tc>
        <w:tc>
          <w:tcPr>
            <w:tcW w:w="3960" w:type="dxa"/>
          </w:tcPr>
          <w:p>
            <w:pPr>
              <w:adjustRightInd w:val="0"/>
              <w:snapToGrid w:val="0"/>
              <w:rPr>
                <w:rFonts w:cs="Times New Roman" w:asciiTheme="minorEastAsia" w:hAnsiTheme="minorEastAsia"/>
                <w:szCs w:val="21"/>
              </w:rPr>
            </w:pPr>
            <w:r>
              <w:rPr>
                <w:rFonts w:cs="Times New Roman" w:asciiTheme="minorEastAsia" w:hAnsiTheme="minorEastAsia"/>
                <w:szCs w:val="21"/>
              </w:rPr>
              <w:t>2、富氧（纯氧）-蒸汽连续制半水煤气</w:t>
            </w:r>
          </w:p>
        </w:tc>
        <w:tc>
          <w:tcPr>
            <w:tcW w:w="854" w:type="dxa"/>
            <w:vMerge w:val="continue"/>
            <w:vAlign w:val="center"/>
          </w:tcPr>
          <w:p>
            <w:pPr>
              <w:jc w:val="center"/>
              <w:rPr>
                <w:rFonts w:cs="Times New Roman"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vAlign w:val="center"/>
          </w:tcPr>
          <w:p>
            <w:pPr>
              <w:jc w:val="center"/>
              <w:rPr>
                <w:rFonts w:cs="Times New Roman" w:asciiTheme="minorEastAsia" w:hAnsiTheme="minorEastAsia"/>
                <w:szCs w:val="21"/>
              </w:rPr>
            </w:pPr>
          </w:p>
        </w:tc>
        <w:tc>
          <w:tcPr>
            <w:tcW w:w="2520" w:type="dxa"/>
            <w:vMerge w:val="restart"/>
            <w:vAlign w:val="center"/>
          </w:tcPr>
          <w:p>
            <w:pPr>
              <w:jc w:val="center"/>
              <w:rPr>
                <w:rFonts w:cs="Times New Roman" w:asciiTheme="minorEastAsia" w:hAnsiTheme="minorEastAsia"/>
                <w:szCs w:val="21"/>
              </w:rPr>
            </w:pPr>
            <w:r>
              <w:rPr>
                <w:rFonts w:cs="Times New Roman" w:asciiTheme="minorEastAsia" w:hAnsiTheme="minorEastAsia"/>
                <w:szCs w:val="21"/>
              </w:rPr>
              <w:t>2、合成氨原料气的脱硫和脱氯</w:t>
            </w:r>
          </w:p>
        </w:tc>
        <w:tc>
          <w:tcPr>
            <w:tcW w:w="3960" w:type="dxa"/>
          </w:tcPr>
          <w:p>
            <w:pPr>
              <w:rPr>
                <w:rFonts w:cs="Times New Roman" w:asciiTheme="minorEastAsia" w:hAnsiTheme="minorEastAsia"/>
                <w:szCs w:val="21"/>
              </w:rPr>
            </w:pPr>
            <w:r>
              <w:rPr>
                <w:rFonts w:cs="Times New Roman" w:asciiTheme="minorEastAsia" w:hAnsiTheme="minorEastAsia"/>
                <w:szCs w:val="21"/>
              </w:rPr>
              <w:t>1、湿法脱硫技术</w:t>
            </w:r>
          </w:p>
        </w:tc>
        <w:tc>
          <w:tcPr>
            <w:tcW w:w="854" w:type="dxa"/>
            <w:vMerge w:val="continue"/>
            <w:vAlign w:val="center"/>
          </w:tcPr>
          <w:p>
            <w:pPr>
              <w:jc w:val="center"/>
              <w:rPr>
                <w:rFonts w:cs="Times New Roman"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vAlign w:val="center"/>
          </w:tcPr>
          <w:p>
            <w:pPr>
              <w:jc w:val="center"/>
              <w:rPr>
                <w:rFonts w:cs="Times New Roman" w:asciiTheme="minorEastAsia" w:hAnsiTheme="minorEastAsia"/>
                <w:szCs w:val="21"/>
              </w:rPr>
            </w:pPr>
          </w:p>
        </w:tc>
        <w:tc>
          <w:tcPr>
            <w:tcW w:w="2520" w:type="dxa"/>
            <w:vMerge w:val="continue"/>
            <w:vAlign w:val="center"/>
          </w:tcPr>
          <w:p>
            <w:pPr>
              <w:jc w:val="center"/>
              <w:rPr>
                <w:rFonts w:cs="Times New Roman" w:asciiTheme="minorEastAsia" w:hAnsiTheme="minorEastAsia"/>
                <w:szCs w:val="21"/>
              </w:rPr>
            </w:pPr>
          </w:p>
        </w:tc>
        <w:tc>
          <w:tcPr>
            <w:tcW w:w="3960" w:type="dxa"/>
          </w:tcPr>
          <w:p>
            <w:pPr>
              <w:rPr>
                <w:rFonts w:cs="Times New Roman" w:asciiTheme="minorEastAsia" w:hAnsiTheme="minorEastAsia"/>
                <w:szCs w:val="21"/>
              </w:rPr>
            </w:pPr>
            <w:r>
              <w:rPr>
                <w:rFonts w:cs="Times New Roman" w:asciiTheme="minorEastAsia" w:hAnsiTheme="minorEastAsia"/>
                <w:szCs w:val="21"/>
              </w:rPr>
              <w:t>2、干法脱硫技术</w:t>
            </w:r>
          </w:p>
        </w:tc>
        <w:tc>
          <w:tcPr>
            <w:tcW w:w="854" w:type="dxa"/>
            <w:vMerge w:val="continue"/>
            <w:vAlign w:val="center"/>
          </w:tcPr>
          <w:p>
            <w:pPr>
              <w:jc w:val="center"/>
              <w:rPr>
                <w:rFonts w:cs="Times New Roman"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vAlign w:val="center"/>
          </w:tcPr>
          <w:p>
            <w:pPr>
              <w:jc w:val="center"/>
              <w:rPr>
                <w:rFonts w:cs="Times New Roman" w:asciiTheme="minorEastAsia" w:hAnsiTheme="minorEastAsia"/>
                <w:szCs w:val="21"/>
              </w:rPr>
            </w:pPr>
          </w:p>
        </w:tc>
        <w:tc>
          <w:tcPr>
            <w:tcW w:w="2520" w:type="dxa"/>
            <w:vMerge w:val="continue"/>
            <w:vAlign w:val="center"/>
          </w:tcPr>
          <w:p>
            <w:pPr>
              <w:jc w:val="center"/>
              <w:rPr>
                <w:rFonts w:cs="Times New Roman" w:asciiTheme="minorEastAsia" w:hAnsiTheme="minorEastAsia"/>
                <w:szCs w:val="21"/>
              </w:rPr>
            </w:pPr>
          </w:p>
        </w:tc>
        <w:tc>
          <w:tcPr>
            <w:tcW w:w="3960" w:type="dxa"/>
          </w:tcPr>
          <w:p>
            <w:pPr>
              <w:rPr>
                <w:rFonts w:cs="Times New Roman" w:asciiTheme="minorEastAsia" w:hAnsiTheme="minorEastAsia"/>
                <w:szCs w:val="21"/>
              </w:rPr>
            </w:pPr>
            <w:r>
              <w:rPr>
                <w:rFonts w:cs="Times New Roman" w:asciiTheme="minorEastAsia" w:hAnsiTheme="minorEastAsia"/>
                <w:szCs w:val="21"/>
              </w:rPr>
              <w:t>3、有机硫水解新工艺与精脱氯技术</w:t>
            </w:r>
          </w:p>
        </w:tc>
        <w:tc>
          <w:tcPr>
            <w:tcW w:w="854" w:type="dxa"/>
            <w:vMerge w:val="continue"/>
            <w:vAlign w:val="center"/>
          </w:tcPr>
          <w:p>
            <w:pPr>
              <w:jc w:val="center"/>
              <w:rPr>
                <w:rFonts w:cs="Times New Roman"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vAlign w:val="center"/>
          </w:tcPr>
          <w:p>
            <w:pPr>
              <w:jc w:val="center"/>
              <w:rPr>
                <w:rFonts w:cs="Times New Roman" w:asciiTheme="minorEastAsia" w:hAnsiTheme="minorEastAsia"/>
                <w:szCs w:val="21"/>
              </w:rPr>
            </w:pPr>
          </w:p>
        </w:tc>
        <w:tc>
          <w:tcPr>
            <w:tcW w:w="2520" w:type="dxa"/>
            <w:vMerge w:val="restart"/>
            <w:vAlign w:val="center"/>
          </w:tcPr>
          <w:p>
            <w:pPr>
              <w:jc w:val="center"/>
              <w:rPr>
                <w:rFonts w:cs="Times New Roman" w:asciiTheme="minorEastAsia" w:hAnsiTheme="minorEastAsia"/>
                <w:szCs w:val="21"/>
              </w:rPr>
            </w:pPr>
            <w:r>
              <w:rPr>
                <w:rFonts w:cs="Times New Roman" w:asciiTheme="minorEastAsia" w:hAnsiTheme="minorEastAsia"/>
                <w:szCs w:val="21"/>
              </w:rPr>
              <w:t>3、原料气的变换</w:t>
            </w:r>
          </w:p>
        </w:tc>
        <w:tc>
          <w:tcPr>
            <w:tcW w:w="3960" w:type="dxa"/>
          </w:tcPr>
          <w:p>
            <w:pPr>
              <w:rPr>
                <w:rFonts w:cs="Times New Roman" w:asciiTheme="minorEastAsia" w:hAnsiTheme="minorEastAsia"/>
                <w:szCs w:val="21"/>
              </w:rPr>
            </w:pPr>
            <w:r>
              <w:rPr>
                <w:rFonts w:cs="Times New Roman" w:asciiTheme="minorEastAsia" w:hAnsiTheme="minorEastAsia"/>
                <w:szCs w:val="21"/>
              </w:rPr>
              <w:t>1、变换反应与变换催化剂的选择</w:t>
            </w:r>
          </w:p>
        </w:tc>
        <w:tc>
          <w:tcPr>
            <w:tcW w:w="854" w:type="dxa"/>
            <w:vMerge w:val="continue"/>
            <w:vAlign w:val="center"/>
          </w:tcPr>
          <w:p>
            <w:pPr>
              <w:jc w:val="center"/>
              <w:rPr>
                <w:rFonts w:cs="Times New Roman"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vAlign w:val="center"/>
          </w:tcPr>
          <w:p>
            <w:pPr>
              <w:jc w:val="center"/>
              <w:rPr>
                <w:rFonts w:cs="Times New Roman" w:asciiTheme="minorEastAsia" w:hAnsiTheme="minorEastAsia"/>
                <w:szCs w:val="21"/>
              </w:rPr>
            </w:pPr>
          </w:p>
        </w:tc>
        <w:tc>
          <w:tcPr>
            <w:tcW w:w="2520" w:type="dxa"/>
            <w:vMerge w:val="continue"/>
            <w:vAlign w:val="center"/>
          </w:tcPr>
          <w:p>
            <w:pPr>
              <w:jc w:val="center"/>
              <w:rPr>
                <w:rFonts w:cs="Times New Roman" w:asciiTheme="minorEastAsia" w:hAnsiTheme="minorEastAsia"/>
                <w:szCs w:val="21"/>
              </w:rPr>
            </w:pPr>
          </w:p>
        </w:tc>
        <w:tc>
          <w:tcPr>
            <w:tcW w:w="3960" w:type="dxa"/>
          </w:tcPr>
          <w:p>
            <w:pPr>
              <w:rPr>
                <w:rFonts w:cs="Times New Roman" w:asciiTheme="minorEastAsia" w:hAnsiTheme="minorEastAsia"/>
                <w:szCs w:val="21"/>
              </w:rPr>
            </w:pPr>
            <w:r>
              <w:rPr>
                <w:rFonts w:cs="Times New Roman" w:asciiTheme="minorEastAsia" w:hAnsiTheme="minorEastAsia"/>
                <w:szCs w:val="21"/>
              </w:rPr>
              <w:t>2、变换工艺条件的优化和工艺流程组织</w:t>
            </w:r>
          </w:p>
        </w:tc>
        <w:tc>
          <w:tcPr>
            <w:tcW w:w="854" w:type="dxa"/>
            <w:vMerge w:val="continue"/>
            <w:vAlign w:val="center"/>
          </w:tcPr>
          <w:p>
            <w:pPr>
              <w:jc w:val="center"/>
              <w:rPr>
                <w:rFonts w:cs="Times New Roman"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vAlign w:val="center"/>
          </w:tcPr>
          <w:p>
            <w:pPr>
              <w:jc w:val="center"/>
              <w:rPr>
                <w:rFonts w:cs="Times New Roman" w:asciiTheme="minorEastAsia" w:hAnsiTheme="minorEastAsia"/>
                <w:szCs w:val="21"/>
              </w:rPr>
            </w:pPr>
          </w:p>
        </w:tc>
        <w:tc>
          <w:tcPr>
            <w:tcW w:w="2520" w:type="dxa"/>
            <w:vMerge w:val="restart"/>
            <w:vAlign w:val="center"/>
          </w:tcPr>
          <w:p>
            <w:pPr>
              <w:jc w:val="center"/>
              <w:rPr>
                <w:rFonts w:cs="Times New Roman" w:asciiTheme="minorEastAsia" w:hAnsiTheme="minorEastAsia"/>
                <w:szCs w:val="21"/>
              </w:rPr>
            </w:pPr>
            <w:r>
              <w:rPr>
                <w:rFonts w:cs="Times New Roman" w:asciiTheme="minorEastAsia" w:hAnsiTheme="minorEastAsia"/>
                <w:szCs w:val="21"/>
              </w:rPr>
              <w:t>4、原料气的脱碳</w:t>
            </w:r>
          </w:p>
        </w:tc>
        <w:tc>
          <w:tcPr>
            <w:tcW w:w="3960" w:type="dxa"/>
          </w:tcPr>
          <w:p>
            <w:pPr>
              <w:adjustRightInd w:val="0"/>
              <w:snapToGrid w:val="0"/>
              <w:rPr>
                <w:rFonts w:cs="Times New Roman" w:asciiTheme="minorEastAsia" w:hAnsiTheme="minorEastAsia"/>
                <w:szCs w:val="21"/>
              </w:rPr>
            </w:pPr>
            <w:r>
              <w:rPr>
                <w:rFonts w:cs="Times New Roman" w:asciiTheme="minorEastAsia" w:hAnsiTheme="minorEastAsia"/>
                <w:szCs w:val="21"/>
              </w:rPr>
              <w:t>1、湿法脱碳技术</w:t>
            </w:r>
          </w:p>
        </w:tc>
        <w:tc>
          <w:tcPr>
            <w:tcW w:w="854" w:type="dxa"/>
            <w:vMerge w:val="continue"/>
            <w:vAlign w:val="center"/>
          </w:tcPr>
          <w:p>
            <w:pPr>
              <w:jc w:val="center"/>
              <w:rPr>
                <w:rFonts w:cs="Times New Roman"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vAlign w:val="center"/>
          </w:tcPr>
          <w:p>
            <w:pPr>
              <w:jc w:val="center"/>
              <w:rPr>
                <w:rFonts w:cs="Times New Roman" w:asciiTheme="minorEastAsia" w:hAnsiTheme="minorEastAsia"/>
                <w:szCs w:val="21"/>
              </w:rPr>
            </w:pPr>
          </w:p>
        </w:tc>
        <w:tc>
          <w:tcPr>
            <w:tcW w:w="2520" w:type="dxa"/>
            <w:vMerge w:val="continue"/>
            <w:vAlign w:val="center"/>
          </w:tcPr>
          <w:p>
            <w:pPr>
              <w:jc w:val="center"/>
              <w:rPr>
                <w:rFonts w:cs="Times New Roman" w:asciiTheme="minorEastAsia" w:hAnsiTheme="minorEastAsia"/>
                <w:szCs w:val="21"/>
              </w:rPr>
            </w:pPr>
          </w:p>
        </w:tc>
        <w:tc>
          <w:tcPr>
            <w:tcW w:w="3960" w:type="dxa"/>
          </w:tcPr>
          <w:p>
            <w:pPr>
              <w:adjustRightInd w:val="0"/>
              <w:snapToGrid w:val="0"/>
              <w:rPr>
                <w:rFonts w:cs="Times New Roman" w:asciiTheme="minorEastAsia" w:hAnsiTheme="minorEastAsia"/>
                <w:szCs w:val="21"/>
              </w:rPr>
            </w:pPr>
            <w:r>
              <w:rPr>
                <w:rFonts w:cs="Times New Roman" w:asciiTheme="minorEastAsia" w:hAnsiTheme="minorEastAsia"/>
                <w:szCs w:val="21"/>
              </w:rPr>
              <w:t>2、干法脱碳技术</w:t>
            </w:r>
          </w:p>
        </w:tc>
        <w:tc>
          <w:tcPr>
            <w:tcW w:w="854" w:type="dxa"/>
            <w:vMerge w:val="continue"/>
            <w:vAlign w:val="center"/>
          </w:tcPr>
          <w:p>
            <w:pPr>
              <w:jc w:val="center"/>
              <w:rPr>
                <w:rFonts w:cs="Times New Roman"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vAlign w:val="center"/>
          </w:tcPr>
          <w:p>
            <w:pPr>
              <w:jc w:val="center"/>
              <w:rPr>
                <w:rFonts w:cs="Times New Roman" w:asciiTheme="minorEastAsia" w:hAnsiTheme="minorEastAsia"/>
                <w:szCs w:val="21"/>
              </w:rPr>
            </w:pPr>
          </w:p>
        </w:tc>
        <w:tc>
          <w:tcPr>
            <w:tcW w:w="2520" w:type="dxa"/>
            <w:vMerge w:val="restart"/>
            <w:vAlign w:val="center"/>
          </w:tcPr>
          <w:p>
            <w:pPr>
              <w:jc w:val="center"/>
              <w:rPr>
                <w:rFonts w:cs="Times New Roman" w:asciiTheme="minorEastAsia" w:hAnsiTheme="minorEastAsia"/>
                <w:szCs w:val="21"/>
              </w:rPr>
            </w:pPr>
            <w:r>
              <w:rPr>
                <w:rFonts w:cs="Times New Roman" w:asciiTheme="minorEastAsia" w:hAnsiTheme="minorEastAsia"/>
                <w:szCs w:val="21"/>
              </w:rPr>
              <w:t>5、原料气的精致</w:t>
            </w:r>
          </w:p>
        </w:tc>
        <w:tc>
          <w:tcPr>
            <w:tcW w:w="3960" w:type="dxa"/>
          </w:tcPr>
          <w:p>
            <w:pPr>
              <w:rPr>
                <w:rFonts w:cs="Times New Roman" w:asciiTheme="minorEastAsia" w:hAnsiTheme="minorEastAsia"/>
                <w:szCs w:val="21"/>
              </w:rPr>
            </w:pPr>
            <w:r>
              <w:rPr>
                <w:rFonts w:cs="Times New Roman" w:asciiTheme="minorEastAsia" w:hAnsiTheme="minorEastAsia"/>
                <w:szCs w:val="21"/>
              </w:rPr>
              <w:t>1、醋酸铜氨溶液洗涤法</w:t>
            </w:r>
          </w:p>
        </w:tc>
        <w:tc>
          <w:tcPr>
            <w:tcW w:w="854" w:type="dxa"/>
            <w:vMerge w:val="continue"/>
            <w:vAlign w:val="center"/>
          </w:tcPr>
          <w:p>
            <w:pPr>
              <w:jc w:val="center"/>
              <w:rPr>
                <w:rFonts w:cs="Times New Roman"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vAlign w:val="center"/>
          </w:tcPr>
          <w:p>
            <w:pPr>
              <w:jc w:val="center"/>
              <w:rPr>
                <w:rFonts w:cs="Times New Roman" w:asciiTheme="minorEastAsia" w:hAnsiTheme="minorEastAsia"/>
                <w:szCs w:val="21"/>
              </w:rPr>
            </w:pPr>
          </w:p>
        </w:tc>
        <w:tc>
          <w:tcPr>
            <w:tcW w:w="2520" w:type="dxa"/>
            <w:vMerge w:val="continue"/>
            <w:vAlign w:val="center"/>
          </w:tcPr>
          <w:p>
            <w:pPr>
              <w:jc w:val="center"/>
              <w:rPr>
                <w:rFonts w:cs="Times New Roman" w:asciiTheme="minorEastAsia" w:hAnsiTheme="minorEastAsia"/>
                <w:szCs w:val="21"/>
              </w:rPr>
            </w:pPr>
          </w:p>
        </w:tc>
        <w:tc>
          <w:tcPr>
            <w:tcW w:w="3960" w:type="dxa"/>
          </w:tcPr>
          <w:p>
            <w:pPr>
              <w:rPr>
                <w:rFonts w:cs="Times New Roman" w:asciiTheme="minorEastAsia" w:hAnsiTheme="minorEastAsia"/>
                <w:szCs w:val="21"/>
              </w:rPr>
            </w:pPr>
            <w:r>
              <w:rPr>
                <w:rFonts w:cs="Times New Roman" w:asciiTheme="minorEastAsia" w:hAnsiTheme="minorEastAsia"/>
                <w:szCs w:val="21"/>
              </w:rPr>
              <w:t>2、低变甲烷化工艺</w:t>
            </w:r>
          </w:p>
        </w:tc>
        <w:tc>
          <w:tcPr>
            <w:tcW w:w="854" w:type="dxa"/>
            <w:vMerge w:val="continue"/>
            <w:vAlign w:val="center"/>
          </w:tcPr>
          <w:p>
            <w:pPr>
              <w:jc w:val="center"/>
              <w:rPr>
                <w:rFonts w:cs="Times New Roman"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vAlign w:val="center"/>
          </w:tcPr>
          <w:p>
            <w:pPr>
              <w:jc w:val="center"/>
              <w:rPr>
                <w:rFonts w:cs="Times New Roman" w:asciiTheme="minorEastAsia" w:hAnsiTheme="minorEastAsia"/>
                <w:szCs w:val="21"/>
              </w:rPr>
            </w:pPr>
          </w:p>
        </w:tc>
        <w:tc>
          <w:tcPr>
            <w:tcW w:w="2520" w:type="dxa"/>
            <w:vMerge w:val="continue"/>
            <w:vAlign w:val="center"/>
          </w:tcPr>
          <w:p>
            <w:pPr>
              <w:jc w:val="center"/>
              <w:rPr>
                <w:rFonts w:cs="Times New Roman" w:asciiTheme="minorEastAsia" w:hAnsiTheme="minorEastAsia"/>
                <w:szCs w:val="21"/>
              </w:rPr>
            </w:pPr>
          </w:p>
        </w:tc>
        <w:tc>
          <w:tcPr>
            <w:tcW w:w="3960" w:type="dxa"/>
          </w:tcPr>
          <w:p>
            <w:pPr>
              <w:rPr>
                <w:rFonts w:cs="Times New Roman" w:asciiTheme="minorEastAsia" w:hAnsiTheme="minorEastAsia"/>
                <w:szCs w:val="21"/>
              </w:rPr>
            </w:pPr>
            <w:r>
              <w:rPr>
                <w:rFonts w:cs="Times New Roman" w:asciiTheme="minorEastAsia" w:hAnsiTheme="minorEastAsia"/>
                <w:szCs w:val="21"/>
              </w:rPr>
              <w:t>3、双甲工艺</w:t>
            </w:r>
          </w:p>
        </w:tc>
        <w:tc>
          <w:tcPr>
            <w:tcW w:w="854" w:type="dxa"/>
            <w:vMerge w:val="continue"/>
            <w:vAlign w:val="center"/>
          </w:tcPr>
          <w:p>
            <w:pPr>
              <w:jc w:val="center"/>
              <w:rPr>
                <w:rFonts w:cs="Times New Roman"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vAlign w:val="center"/>
          </w:tcPr>
          <w:p>
            <w:pPr>
              <w:jc w:val="center"/>
              <w:rPr>
                <w:rFonts w:cs="Times New Roman" w:asciiTheme="minorEastAsia" w:hAnsiTheme="minorEastAsia"/>
                <w:szCs w:val="21"/>
              </w:rPr>
            </w:pPr>
          </w:p>
        </w:tc>
        <w:tc>
          <w:tcPr>
            <w:tcW w:w="2520" w:type="dxa"/>
            <w:vMerge w:val="continue"/>
            <w:vAlign w:val="center"/>
          </w:tcPr>
          <w:p>
            <w:pPr>
              <w:jc w:val="center"/>
              <w:rPr>
                <w:rFonts w:cs="Times New Roman" w:asciiTheme="minorEastAsia" w:hAnsiTheme="minorEastAsia"/>
                <w:szCs w:val="21"/>
              </w:rPr>
            </w:pPr>
          </w:p>
        </w:tc>
        <w:tc>
          <w:tcPr>
            <w:tcW w:w="3960" w:type="dxa"/>
          </w:tcPr>
          <w:p>
            <w:pPr>
              <w:rPr>
                <w:rFonts w:cs="Times New Roman" w:asciiTheme="minorEastAsia" w:hAnsiTheme="minorEastAsia"/>
                <w:szCs w:val="21"/>
              </w:rPr>
            </w:pPr>
            <w:r>
              <w:rPr>
                <w:rFonts w:cs="Times New Roman" w:asciiTheme="minorEastAsia" w:hAnsiTheme="minorEastAsia"/>
                <w:szCs w:val="21"/>
              </w:rPr>
              <w:t>4、醇烃化与醇醚化工艺</w:t>
            </w:r>
          </w:p>
        </w:tc>
        <w:tc>
          <w:tcPr>
            <w:tcW w:w="854" w:type="dxa"/>
            <w:vMerge w:val="continue"/>
            <w:vAlign w:val="center"/>
          </w:tcPr>
          <w:p>
            <w:pPr>
              <w:jc w:val="center"/>
              <w:rPr>
                <w:rFonts w:cs="Times New Roman"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vAlign w:val="center"/>
          </w:tcPr>
          <w:p>
            <w:pPr>
              <w:jc w:val="center"/>
              <w:rPr>
                <w:rFonts w:cs="Times New Roman" w:asciiTheme="minorEastAsia" w:hAnsiTheme="minorEastAsia"/>
                <w:szCs w:val="21"/>
              </w:rPr>
            </w:pPr>
          </w:p>
        </w:tc>
        <w:tc>
          <w:tcPr>
            <w:tcW w:w="2520" w:type="dxa"/>
            <w:vMerge w:val="restart"/>
            <w:vAlign w:val="center"/>
          </w:tcPr>
          <w:p>
            <w:pPr>
              <w:jc w:val="center"/>
              <w:rPr>
                <w:rFonts w:cs="Times New Roman" w:asciiTheme="minorEastAsia" w:hAnsiTheme="minorEastAsia"/>
                <w:szCs w:val="21"/>
              </w:rPr>
            </w:pPr>
            <w:r>
              <w:rPr>
                <w:rFonts w:cs="Times New Roman" w:asciiTheme="minorEastAsia" w:hAnsiTheme="minorEastAsia"/>
                <w:szCs w:val="21"/>
              </w:rPr>
              <w:t>6、氨的合成</w:t>
            </w:r>
          </w:p>
        </w:tc>
        <w:tc>
          <w:tcPr>
            <w:tcW w:w="3960" w:type="dxa"/>
          </w:tcPr>
          <w:p>
            <w:pPr>
              <w:rPr>
                <w:rFonts w:cs="Times New Roman" w:asciiTheme="minorEastAsia" w:hAnsiTheme="minorEastAsia"/>
                <w:szCs w:val="21"/>
              </w:rPr>
            </w:pPr>
            <w:r>
              <w:rPr>
                <w:rFonts w:cs="Times New Roman" w:asciiTheme="minorEastAsia" w:hAnsiTheme="minorEastAsia"/>
                <w:szCs w:val="21"/>
              </w:rPr>
              <w:t>1、氨合成工艺的基本原理</w:t>
            </w:r>
          </w:p>
        </w:tc>
        <w:tc>
          <w:tcPr>
            <w:tcW w:w="854" w:type="dxa"/>
            <w:vMerge w:val="restart"/>
            <w:vAlign w:val="center"/>
          </w:tcPr>
          <w:p>
            <w:pPr>
              <w:jc w:val="center"/>
              <w:rPr>
                <w:rFonts w:cs="Times New Roman"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vAlign w:val="center"/>
          </w:tcPr>
          <w:p>
            <w:pPr>
              <w:jc w:val="center"/>
              <w:rPr>
                <w:rFonts w:cs="Times New Roman" w:asciiTheme="minorEastAsia" w:hAnsiTheme="minorEastAsia"/>
                <w:szCs w:val="21"/>
              </w:rPr>
            </w:pPr>
          </w:p>
        </w:tc>
        <w:tc>
          <w:tcPr>
            <w:tcW w:w="2520" w:type="dxa"/>
            <w:vMerge w:val="continue"/>
            <w:vAlign w:val="center"/>
          </w:tcPr>
          <w:p>
            <w:pPr>
              <w:jc w:val="center"/>
              <w:rPr>
                <w:rFonts w:cs="Times New Roman" w:asciiTheme="minorEastAsia" w:hAnsiTheme="minorEastAsia"/>
                <w:szCs w:val="21"/>
              </w:rPr>
            </w:pPr>
          </w:p>
        </w:tc>
        <w:tc>
          <w:tcPr>
            <w:tcW w:w="3960" w:type="dxa"/>
          </w:tcPr>
          <w:p>
            <w:pPr>
              <w:rPr>
                <w:rFonts w:cs="Times New Roman" w:asciiTheme="minorEastAsia" w:hAnsiTheme="minorEastAsia"/>
                <w:szCs w:val="21"/>
              </w:rPr>
            </w:pPr>
            <w:r>
              <w:rPr>
                <w:rFonts w:cs="Times New Roman" w:asciiTheme="minorEastAsia" w:hAnsiTheme="minorEastAsia"/>
                <w:szCs w:val="21"/>
              </w:rPr>
              <w:t>2、氨合成催化剂</w:t>
            </w:r>
          </w:p>
        </w:tc>
        <w:tc>
          <w:tcPr>
            <w:tcW w:w="854" w:type="dxa"/>
            <w:vMerge w:val="continue"/>
            <w:vAlign w:val="center"/>
          </w:tcPr>
          <w:p>
            <w:pPr>
              <w:jc w:val="center"/>
              <w:rPr>
                <w:rFonts w:cs="Times New Roman"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vAlign w:val="center"/>
          </w:tcPr>
          <w:p>
            <w:pPr>
              <w:jc w:val="center"/>
              <w:rPr>
                <w:rFonts w:cs="Times New Roman" w:asciiTheme="minorEastAsia" w:hAnsiTheme="minorEastAsia"/>
                <w:szCs w:val="21"/>
              </w:rPr>
            </w:pPr>
          </w:p>
        </w:tc>
        <w:tc>
          <w:tcPr>
            <w:tcW w:w="2520" w:type="dxa"/>
            <w:vMerge w:val="continue"/>
            <w:vAlign w:val="center"/>
          </w:tcPr>
          <w:p>
            <w:pPr>
              <w:jc w:val="center"/>
              <w:rPr>
                <w:rFonts w:cs="Times New Roman" w:asciiTheme="minorEastAsia" w:hAnsiTheme="minorEastAsia"/>
                <w:szCs w:val="21"/>
              </w:rPr>
            </w:pPr>
          </w:p>
        </w:tc>
        <w:tc>
          <w:tcPr>
            <w:tcW w:w="3960" w:type="dxa"/>
          </w:tcPr>
          <w:p>
            <w:pPr>
              <w:rPr>
                <w:rFonts w:cs="Times New Roman" w:asciiTheme="minorEastAsia" w:hAnsiTheme="minorEastAsia"/>
                <w:szCs w:val="21"/>
              </w:rPr>
            </w:pPr>
            <w:r>
              <w:rPr>
                <w:rFonts w:cs="Times New Roman" w:asciiTheme="minorEastAsia" w:hAnsiTheme="minorEastAsia"/>
                <w:szCs w:val="21"/>
              </w:rPr>
              <w:t>3、氨合成工艺条件的优化</w:t>
            </w:r>
          </w:p>
        </w:tc>
        <w:tc>
          <w:tcPr>
            <w:tcW w:w="854" w:type="dxa"/>
            <w:vMerge w:val="continue"/>
            <w:vAlign w:val="center"/>
          </w:tcPr>
          <w:p>
            <w:pPr>
              <w:jc w:val="center"/>
              <w:rPr>
                <w:rFonts w:cs="Times New Roman"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vAlign w:val="center"/>
          </w:tcPr>
          <w:p>
            <w:pPr>
              <w:jc w:val="center"/>
              <w:rPr>
                <w:rFonts w:cs="Times New Roman" w:asciiTheme="minorEastAsia" w:hAnsiTheme="minorEastAsia"/>
                <w:szCs w:val="21"/>
              </w:rPr>
            </w:pPr>
          </w:p>
        </w:tc>
        <w:tc>
          <w:tcPr>
            <w:tcW w:w="2520" w:type="dxa"/>
            <w:vMerge w:val="continue"/>
            <w:vAlign w:val="center"/>
          </w:tcPr>
          <w:p>
            <w:pPr>
              <w:jc w:val="center"/>
              <w:rPr>
                <w:rFonts w:cs="Times New Roman" w:asciiTheme="minorEastAsia" w:hAnsiTheme="minorEastAsia"/>
                <w:szCs w:val="21"/>
              </w:rPr>
            </w:pPr>
          </w:p>
        </w:tc>
        <w:tc>
          <w:tcPr>
            <w:tcW w:w="3960" w:type="dxa"/>
          </w:tcPr>
          <w:p>
            <w:pPr>
              <w:rPr>
                <w:rFonts w:cs="Times New Roman" w:asciiTheme="minorEastAsia" w:hAnsiTheme="minorEastAsia"/>
                <w:szCs w:val="21"/>
              </w:rPr>
            </w:pPr>
            <w:r>
              <w:rPr>
                <w:rFonts w:cs="Times New Roman" w:asciiTheme="minorEastAsia" w:hAnsiTheme="minorEastAsia"/>
                <w:szCs w:val="21"/>
              </w:rPr>
              <w:t>4、氨的合成与分离工艺流程的组织</w:t>
            </w:r>
          </w:p>
        </w:tc>
        <w:tc>
          <w:tcPr>
            <w:tcW w:w="854" w:type="dxa"/>
            <w:vMerge w:val="continue"/>
            <w:vAlign w:val="center"/>
          </w:tcPr>
          <w:p>
            <w:pPr>
              <w:jc w:val="center"/>
              <w:rPr>
                <w:rFonts w:cs="Times New Roman"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vAlign w:val="center"/>
          </w:tcPr>
          <w:p>
            <w:pPr>
              <w:jc w:val="center"/>
              <w:rPr>
                <w:rFonts w:cs="Times New Roman" w:asciiTheme="minorEastAsia" w:hAnsiTheme="minorEastAsia"/>
                <w:szCs w:val="21"/>
              </w:rPr>
            </w:pPr>
          </w:p>
        </w:tc>
        <w:tc>
          <w:tcPr>
            <w:tcW w:w="2520" w:type="dxa"/>
            <w:vMerge w:val="continue"/>
            <w:vAlign w:val="center"/>
          </w:tcPr>
          <w:p>
            <w:pPr>
              <w:jc w:val="center"/>
              <w:rPr>
                <w:rFonts w:cs="Times New Roman" w:asciiTheme="minorEastAsia" w:hAnsiTheme="minorEastAsia"/>
                <w:szCs w:val="21"/>
              </w:rPr>
            </w:pPr>
          </w:p>
        </w:tc>
        <w:tc>
          <w:tcPr>
            <w:tcW w:w="3960" w:type="dxa"/>
          </w:tcPr>
          <w:p>
            <w:pPr>
              <w:rPr>
                <w:rFonts w:cs="Times New Roman" w:asciiTheme="minorEastAsia" w:hAnsiTheme="minorEastAsia"/>
                <w:szCs w:val="21"/>
              </w:rPr>
            </w:pPr>
            <w:r>
              <w:rPr>
                <w:rFonts w:cs="Times New Roman" w:asciiTheme="minorEastAsia" w:hAnsiTheme="minorEastAsia"/>
                <w:szCs w:val="21"/>
              </w:rPr>
              <w:t>5、氨合成塔机器操作控制</w:t>
            </w:r>
          </w:p>
        </w:tc>
        <w:tc>
          <w:tcPr>
            <w:tcW w:w="854" w:type="dxa"/>
            <w:vMerge w:val="continue"/>
            <w:vAlign w:val="center"/>
          </w:tcPr>
          <w:p>
            <w:pPr>
              <w:jc w:val="center"/>
              <w:rPr>
                <w:rFonts w:cs="Times New Roman"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restart"/>
            <w:vAlign w:val="center"/>
          </w:tcPr>
          <w:p>
            <w:pPr>
              <w:jc w:val="center"/>
              <w:rPr>
                <w:rFonts w:cs="Times New Roman" w:asciiTheme="minorEastAsia" w:hAnsiTheme="minorEastAsia"/>
                <w:szCs w:val="21"/>
              </w:rPr>
            </w:pPr>
            <w:r>
              <w:rPr>
                <w:rFonts w:cs="Times New Roman" w:asciiTheme="minorEastAsia" w:hAnsiTheme="minorEastAsia"/>
                <w:szCs w:val="21"/>
              </w:rPr>
              <w:t>化学肥          料生产</w:t>
            </w:r>
          </w:p>
        </w:tc>
        <w:tc>
          <w:tcPr>
            <w:tcW w:w="2520" w:type="dxa"/>
            <w:vMerge w:val="restart"/>
            <w:vAlign w:val="center"/>
          </w:tcPr>
          <w:p>
            <w:pPr>
              <w:jc w:val="center"/>
              <w:rPr>
                <w:rFonts w:cs="Times New Roman" w:asciiTheme="minorEastAsia" w:hAnsiTheme="minorEastAsia"/>
                <w:szCs w:val="21"/>
              </w:rPr>
            </w:pPr>
            <w:r>
              <w:rPr>
                <w:rFonts w:cs="Times New Roman" w:asciiTheme="minorEastAsia" w:hAnsiTheme="minorEastAsia"/>
                <w:szCs w:val="21"/>
              </w:rPr>
              <w:t>1、尿素生产</w:t>
            </w:r>
          </w:p>
        </w:tc>
        <w:tc>
          <w:tcPr>
            <w:tcW w:w="3960" w:type="dxa"/>
          </w:tcPr>
          <w:p>
            <w:pPr>
              <w:rPr>
                <w:rFonts w:cs="Times New Roman" w:asciiTheme="minorEastAsia" w:hAnsiTheme="minorEastAsia"/>
                <w:szCs w:val="21"/>
              </w:rPr>
            </w:pPr>
            <w:r>
              <w:rPr>
                <w:rFonts w:cs="Times New Roman" w:asciiTheme="minorEastAsia" w:hAnsiTheme="minorEastAsia"/>
                <w:szCs w:val="21"/>
              </w:rPr>
              <w:t>1、尿素合成；</w:t>
            </w:r>
          </w:p>
        </w:tc>
        <w:tc>
          <w:tcPr>
            <w:tcW w:w="854" w:type="dxa"/>
            <w:vMerge w:val="restart"/>
            <w:vAlign w:val="center"/>
          </w:tcPr>
          <w:p>
            <w:pPr>
              <w:jc w:val="center"/>
              <w:rPr>
                <w:rFonts w:cs="Times New Roman" w:asciiTheme="minorEastAsia" w:hAnsiTheme="minorEastAsia"/>
                <w:szCs w:val="21"/>
              </w:rPr>
            </w:pPr>
            <w:r>
              <w:rPr>
                <w:rFonts w:cs="Times New Roman" w:asciiTheme="minorEastAsia" w:hAnsiTheme="minorEastAsia"/>
                <w:szCs w:val="21"/>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vAlign w:val="center"/>
          </w:tcPr>
          <w:p>
            <w:pPr>
              <w:jc w:val="center"/>
              <w:rPr>
                <w:rFonts w:cs="Times New Roman" w:asciiTheme="minorEastAsia" w:hAnsiTheme="minorEastAsia"/>
                <w:szCs w:val="21"/>
              </w:rPr>
            </w:pPr>
          </w:p>
        </w:tc>
        <w:tc>
          <w:tcPr>
            <w:tcW w:w="2520" w:type="dxa"/>
            <w:vMerge w:val="continue"/>
            <w:vAlign w:val="center"/>
          </w:tcPr>
          <w:p>
            <w:pPr>
              <w:jc w:val="center"/>
              <w:rPr>
                <w:rFonts w:cs="Times New Roman" w:asciiTheme="minorEastAsia" w:hAnsiTheme="minorEastAsia"/>
                <w:szCs w:val="21"/>
              </w:rPr>
            </w:pPr>
          </w:p>
        </w:tc>
        <w:tc>
          <w:tcPr>
            <w:tcW w:w="3960" w:type="dxa"/>
          </w:tcPr>
          <w:p>
            <w:pPr>
              <w:rPr>
                <w:rFonts w:cs="Times New Roman" w:asciiTheme="minorEastAsia" w:hAnsiTheme="minorEastAsia"/>
                <w:szCs w:val="21"/>
              </w:rPr>
            </w:pPr>
            <w:r>
              <w:rPr>
                <w:rFonts w:cs="Times New Roman" w:asciiTheme="minorEastAsia" w:hAnsiTheme="minorEastAsia"/>
                <w:szCs w:val="21"/>
              </w:rPr>
              <w:t>2、未反应物的分离与回收</w:t>
            </w:r>
          </w:p>
        </w:tc>
        <w:tc>
          <w:tcPr>
            <w:tcW w:w="854" w:type="dxa"/>
            <w:vMerge w:val="continue"/>
            <w:vAlign w:val="center"/>
          </w:tcPr>
          <w:p>
            <w:pPr>
              <w:jc w:val="center"/>
              <w:rPr>
                <w:rFonts w:cs="Times New Roman"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vAlign w:val="center"/>
          </w:tcPr>
          <w:p>
            <w:pPr>
              <w:jc w:val="center"/>
              <w:rPr>
                <w:rFonts w:cs="Times New Roman" w:asciiTheme="minorEastAsia" w:hAnsiTheme="minorEastAsia"/>
                <w:szCs w:val="21"/>
              </w:rPr>
            </w:pPr>
          </w:p>
        </w:tc>
        <w:tc>
          <w:tcPr>
            <w:tcW w:w="2520" w:type="dxa"/>
            <w:vMerge w:val="continue"/>
            <w:vAlign w:val="center"/>
          </w:tcPr>
          <w:p>
            <w:pPr>
              <w:jc w:val="center"/>
              <w:rPr>
                <w:rFonts w:cs="Times New Roman" w:asciiTheme="minorEastAsia" w:hAnsiTheme="minorEastAsia"/>
                <w:szCs w:val="21"/>
              </w:rPr>
            </w:pPr>
          </w:p>
        </w:tc>
        <w:tc>
          <w:tcPr>
            <w:tcW w:w="3960" w:type="dxa"/>
          </w:tcPr>
          <w:p>
            <w:pPr>
              <w:rPr>
                <w:rFonts w:cs="Times New Roman" w:asciiTheme="minorEastAsia" w:hAnsiTheme="minorEastAsia"/>
                <w:szCs w:val="21"/>
              </w:rPr>
            </w:pPr>
            <w:r>
              <w:rPr>
                <w:rFonts w:cs="Times New Roman" w:asciiTheme="minorEastAsia" w:hAnsiTheme="minorEastAsia"/>
                <w:szCs w:val="21"/>
              </w:rPr>
              <w:t>3、尿素溶液的加工</w:t>
            </w:r>
          </w:p>
        </w:tc>
        <w:tc>
          <w:tcPr>
            <w:tcW w:w="854" w:type="dxa"/>
            <w:vMerge w:val="continue"/>
            <w:vAlign w:val="center"/>
          </w:tcPr>
          <w:p>
            <w:pPr>
              <w:jc w:val="center"/>
              <w:rPr>
                <w:rFonts w:cs="Times New Roman"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vAlign w:val="center"/>
          </w:tcPr>
          <w:p>
            <w:pPr>
              <w:jc w:val="center"/>
              <w:rPr>
                <w:rFonts w:cs="Times New Roman" w:asciiTheme="minorEastAsia" w:hAnsiTheme="minorEastAsia"/>
                <w:szCs w:val="21"/>
              </w:rPr>
            </w:pPr>
          </w:p>
        </w:tc>
        <w:tc>
          <w:tcPr>
            <w:tcW w:w="2520" w:type="dxa"/>
            <w:vMerge w:val="restart"/>
            <w:vAlign w:val="center"/>
          </w:tcPr>
          <w:p>
            <w:pPr>
              <w:jc w:val="center"/>
              <w:rPr>
                <w:rFonts w:cs="Times New Roman" w:asciiTheme="minorEastAsia" w:hAnsiTheme="minorEastAsia"/>
                <w:szCs w:val="21"/>
              </w:rPr>
            </w:pPr>
            <w:r>
              <w:rPr>
                <w:rFonts w:cs="Times New Roman" w:asciiTheme="minorEastAsia" w:hAnsiTheme="minorEastAsia"/>
                <w:szCs w:val="21"/>
              </w:rPr>
              <w:t>2、钾肥生产</w:t>
            </w:r>
          </w:p>
        </w:tc>
        <w:tc>
          <w:tcPr>
            <w:tcW w:w="3960" w:type="dxa"/>
          </w:tcPr>
          <w:p>
            <w:pPr>
              <w:rPr>
                <w:rFonts w:cs="Times New Roman" w:asciiTheme="minorEastAsia" w:hAnsiTheme="minorEastAsia"/>
                <w:szCs w:val="21"/>
              </w:rPr>
            </w:pPr>
            <w:r>
              <w:rPr>
                <w:rFonts w:cs="Times New Roman" w:asciiTheme="minorEastAsia" w:hAnsiTheme="minorEastAsia"/>
                <w:szCs w:val="21"/>
              </w:rPr>
              <w:t>1、氯化钾生产</w:t>
            </w:r>
          </w:p>
        </w:tc>
        <w:tc>
          <w:tcPr>
            <w:tcW w:w="854" w:type="dxa"/>
            <w:vMerge w:val="continue"/>
            <w:vAlign w:val="center"/>
          </w:tcPr>
          <w:p>
            <w:pPr>
              <w:jc w:val="center"/>
              <w:rPr>
                <w:rFonts w:cs="Times New Roman"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vAlign w:val="center"/>
          </w:tcPr>
          <w:p>
            <w:pPr>
              <w:jc w:val="center"/>
              <w:rPr>
                <w:rFonts w:cs="Times New Roman" w:asciiTheme="minorEastAsia" w:hAnsiTheme="minorEastAsia"/>
                <w:szCs w:val="21"/>
              </w:rPr>
            </w:pPr>
          </w:p>
        </w:tc>
        <w:tc>
          <w:tcPr>
            <w:tcW w:w="2520" w:type="dxa"/>
            <w:vMerge w:val="continue"/>
            <w:vAlign w:val="center"/>
          </w:tcPr>
          <w:p>
            <w:pPr>
              <w:jc w:val="center"/>
              <w:rPr>
                <w:rFonts w:cs="Times New Roman" w:asciiTheme="minorEastAsia" w:hAnsiTheme="minorEastAsia"/>
                <w:szCs w:val="21"/>
              </w:rPr>
            </w:pPr>
          </w:p>
        </w:tc>
        <w:tc>
          <w:tcPr>
            <w:tcW w:w="3960" w:type="dxa"/>
          </w:tcPr>
          <w:p>
            <w:pPr>
              <w:rPr>
                <w:rFonts w:cs="Times New Roman" w:asciiTheme="minorEastAsia" w:hAnsiTheme="minorEastAsia"/>
                <w:szCs w:val="21"/>
              </w:rPr>
            </w:pPr>
            <w:r>
              <w:rPr>
                <w:rFonts w:cs="Times New Roman" w:asciiTheme="minorEastAsia" w:hAnsiTheme="minorEastAsia"/>
                <w:szCs w:val="21"/>
              </w:rPr>
              <w:t>2、硫酸钾生产</w:t>
            </w:r>
          </w:p>
        </w:tc>
        <w:tc>
          <w:tcPr>
            <w:tcW w:w="854" w:type="dxa"/>
            <w:vMerge w:val="continue"/>
            <w:vAlign w:val="center"/>
          </w:tcPr>
          <w:p>
            <w:pPr>
              <w:jc w:val="center"/>
              <w:rPr>
                <w:rFonts w:cs="Times New Roman"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vAlign w:val="center"/>
          </w:tcPr>
          <w:p>
            <w:pPr>
              <w:jc w:val="center"/>
              <w:rPr>
                <w:rFonts w:cs="Times New Roman" w:asciiTheme="minorEastAsia" w:hAnsiTheme="minorEastAsia"/>
                <w:szCs w:val="21"/>
              </w:rPr>
            </w:pPr>
          </w:p>
        </w:tc>
        <w:tc>
          <w:tcPr>
            <w:tcW w:w="2520" w:type="dxa"/>
            <w:vMerge w:val="restart"/>
            <w:vAlign w:val="center"/>
          </w:tcPr>
          <w:p>
            <w:pPr>
              <w:jc w:val="center"/>
              <w:rPr>
                <w:rFonts w:cs="Times New Roman" w:asciiTheme="minorEastAsia" w:hAnsiTheme="minorEastAsia"/>
                <w:szCs w:val="21"/>
              </w:rPr>
            </w:pPr>
            <w:r>
              <w:rPr>
                <w:rFonts w:cs="Times New Roman" w:asciiTheme="minorEastAsia" w:hAnsiTheme="minorEastAsia"/>
                <w:szCs w:val="21"/>
              </w:rPr>
              <w:t>3、磷肥生产</w:t>
            </w:r>
          </w:p>
        </w:tc>
        <w:tc>
          <w:tcPr>
            <w:tcW w:w="3960" w:type="dxa"/>
          </w:tcPr>
          <w:p>
            <w:pPr>
              <w:rPr>
                <w:rFonts w:cs="Times New Roman" w:asciiTheme="minorEastAsia" w:hAnsiTheme="minorEastAsia"/>
                <w:szCs w:val="21"/>
              </w:rPr>
            </w:pPr>
            <w:r>
              <w:rPr>
                <w:rFonts w:cs="Times New Roman" w:asciiTheme="minorEastAsia" w:hAnsiTheme="minorEastAsia"/>
                <w:szCs w:val="21"/>
              </w:rPr>
              <w:t>1、酸法磷肥生产过程的组织</w:t>
            </w:r>
          </w:p>
        </w:tc>
        <w:tc>
          <w:tcPr>
            <w:tcW w:w="854" w:type="dxa"/>
            <w:vMerge w:val="continue"/>
            <w:vAlign w:val="center"/>
          </w:tcPr>
          <w:p>
            <w:pPr>
              <w:jc w:val="center"/>
              <w:rPr>
                <w:rFonts w:cs="Times New Roman"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vAlign w:val="center"/>
          </w:tcPr>
          <w:p>
            <w:pPr>
              <w:jc w:val="center"/>
              <w:rPr>
                <w:rFonts w:cs="Times New Roman" w:asciiTheme="minorEastAsia" w:hAnsiTheme="minorEastAsia"/>
                <w:szCs w:val="21"/>
              </w:rPr>
            </w:pPr>
          </w:p>
        </w:tc>
        <w:tc>
          <w:tcPr>
            <w:tcW w:w="2520" w:type="dxa"/>
            <w:vMerge w:val="continue"/>
            <w:vAlign w:val="center"/>
          </w:tcPr>
          <w:p>
            <w:pPr>
              <w:jc w:val="center"/>
              <w:rPr>
                <w:rFonts w:cs="Times New Roman" w:asciiTheme="minorEastAsia" w:hAnsiTheme="minorEastAsia"/>
                <w:szCs w:val="21"/>
              </w:rPr>
            </w:pPr>
          </w:p>
        </w:tc>
        <w:tc>
          <w:tcPr>
            <w:tcW w:w="3960" w:type="dxa"/>
          </w:tcPr>
          <w:p>
            <w:pPr>
              <w:rPr>
                <w:rFonts w:cs="Times New Roman" w:asciiTheme="minorEastAsia" w:hAnsiTheme="minorEastAsia"/>
                <w:szCs w:val="21"/>
              </w:rPr>
            </w:pPr>
            <w:r>
              <w:rPr>
                <w:rFonts w:cs="Times New Roman" w:asciiTheme="minorEastAsia" w:hAnsiTheme="minorEastAsia"/>
                <w:szCs w:val="21"/>
              </w:rPr>
              <w:t>2、热法磷肥生产过程的组织</w:t>
            </w:r>
          </w:p>
        </w:tc>
        <w:tc>
          <w:tcPr>
            <w:tcW w:w="854" w:type="dxa"/>
            <w:vMerge w:val="continue"/>
            <w:vAlign w:val="center"/>
          </w:tcPr>
          <w:p>
            <w:pPr>
              <w:jc w:val="center"/>
              <w:rPr>
                <w:rFonts w:cs="Times New Roman"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vAlign w:val="center"/>
          </w:tcPr>
          <w:p>
            <w:pPr>
              <w:jc w:val="center"/>
              <w:rPr>
                <w:rFonts w:cs="Times New Roman" w:asciiTheme="minorEastAsia" w:hAnsiTheme="minorEastAsia"/>
                <w:szCs w:val="21"/>
              </w:rPr>
            </w:pPr>
          </w:p>
        </w:tc>
        <w:tc>
          <w:tcPr>
            <w:tcW w:w="2520" w:type="dxa"/>
            <w:vMerge w:val="restart"/>
            <w:vAlign w:val="center"/>
          </w:tcPr>
          <w:p>
            <w:pPr>
              <w:jc w:val="center"/>
              <w:rPr>
                <w:rFonts w:cs="Times New Roman" w:asciiTheme="minorEastAsia" w:hAnsiTheme="minorEastAsia"/>
                <w:szCs w:val="21"/>
              </w:rPr>
            </w:pPr>
            <w:r>
              <w:rPr>
                <w:rFonts w:cs="Times New Roman" w:asciiTheme="minorEastAsia" w:hAnsiTheme="minorEastAsia"/>
                <w:szCs w:val="21"/>
              </w:rPr>
              <w:t>4、复合肥料和复混肥料的生产</w:t>
            </w:r>
          </w:p>
        </w:tc>
        <w:tc>
          <w:tcPr>
            <w:tcW w:w="3960" w:type="dxa"/>
          </w:tcPr>
          <w:p>
            <w:pPr>
              <w:rPr>
                <w:rFonts w:cs="Times New Roman" w:asciiTheme="minorEastAsia" w:hAnsiTheme="minorEastAsia"/>
                <w:szCs w:val="21"/>
              </w:rPr>
            </w:pPr>
            <w:r>
              <w:rPr>
                <w:rFonts w:cs="Times New Roman" w:asciiTheme="minorEastAsia" w:hAnsiTheme="minorEastAsia"/>
                <w:szCs w:val="21"/>
              </w:rPr>
              <w:t>1、磷酸铵生产</w:t>
            </w:r>
          </w:p>
        </w:tc>
        <w:tc>
          <w:tcPr>
            <w:tcW w:w="854" w:type="dxa"/>
            <w:vMerge w:val="continue"/>
            <w:vAlign w:val="center"/>
          </w:tcPr>
          <w:p>
            <w:pPr>
              <w:jc w:val="center"/>
              <w:rPr>
                <w:rFonts w:cs="Times New Roman"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vAlign w:val="center"/>
          </w:tcPr>
          <w:p>
            <w:pPr>
              <w:jc w:val="center"/>
              <w:rPr>
                <w:rFonts w:cs="Times New Roman" w:asciiTheme="minorEastAsia" w:hAnsiTheme="minorEastAsia"/>
                <w:szCs w:val="21"/>
              </w:rPr>
            </w:pPr>
          </w:p>
        </w:tc>
        <w:tc>
          <w:tcPr>
            <w:tcW w:w="2520" w:type="dxa"/>
            <w:vMerge w:val="continue"/>
            <w:vAlign w:val="center"/>
          </w:tcPr>
          <w:p>
            <w:pPr>
              <w:jc w:val="center"/>
              <w:rPr>
                <w:rFonts w:cs="Times New Roman" w:asciiTheme="minorEastAsia" w:hAnsiTheme="minorEastAsia"/>
                <w:szCs w:val="21"/>
              </w:rPr>
            </w:pPr>
          </w:p>
        </w:tc>
        <w:tc>
          <w:tcPr>
            <w:tcW w:w="3960" w:type="dxa"/>
          </w:tcPr>
          <w:p>
            <w:pPr>
              <w:rPr>
                <w:rFonts w:cs="Times New Roman" w:asciiTheme="minorEastAsia" w:hAnsiTheme="minorEastAsia"/>
                <w:szCs w:val="21"/>
              </w:rPr>
            </w:pPr>
            <w:r>
              <w:rPr>
                <w:rFonts w:cs="Times New Roman" w:asciiTheme="minorEastAsia" w:hAnsiTheme="minorEastAsia"/>
                <w:szCs w:val="21"/>
              </w:rPr>
              <w:t>2、复混肥料的生产</w:t>
            </w:r>
          </w:p>
        </w:tc>
        <w:tc>
          <w:tcPr>
            <w:tcW w:w="854" w:type="dxa"/>
            <w:vMerge w:val="continue"/>
            <w:vAlign w:val="center"/>
          </w:tcPr>
          <w:p>
            <w:pPr>
              <w:jc w:val="center"/>
              <w:rPr>
                <w:rFonts w:cs="Times New Roman"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restart"/>
            <w:vAlign w:val="center"/>
          </w:tcPr>
          <w:p>
            <w:pPr>
              <w:jc w:val="center"/>
              <w:rPr>
                <w:rFonts w:cs="Times New Roman" w:asciiTheme="minorEastAsia" w:hAnsiTheme="minorEastAsia"/>
                <w:szCs w:val="21"/>
              </w:rPr>
            </w:pPr>
            <w:r>
              <w:rPr>
                <w:rFonts w:cs="Times New Roman" w:asciiTheme="minorEastAsia" w:hAnsiTheme="minorEastAsia"/>
                <w:szCs w:val="21"/>
              </w:rPr>
              <w:t>拓展</w:t>
            </w:r>
          </w:p>
          <w:p>
            <w:pPr>
              <w:jc w:val="center"/>
              <w:rPr>
                <w:rFonts w:cs="Times New Roman" w:asciiTheme="minorEastAsia" w:hAnsiTheme="minorEastAsia"/>
                <w:szCs w:val="21"/>
              </w:rPr>
            </w:pPr>
            <w:r>
              <w:rPr>
                <w:rFonts w:cs="Times New Roman" w:asciiTheme="minorEastAsia" w:hAnsiTheme="minorEastAsia"/>
                <w:szCs w:val="21"/>
              </w:rPr>
              <w:t>模块</w:t>
            </w:r>
          </w:p>
        </w:tc>
        <w:tc>
          <w:tcPr>
            <w:tcW w:w="2520" w:type="dxa"/>
            <w:vMerge w:val="restart"/>
            <w:vAlign w:val="center"/>
          </w:tcPr>
          <w:p>
            <w:pPr>
              <w:jc w:val="center"/>
              <w:rPr>
                <w:rFonts w:cs="Times New Roman" w:asciiTheme="minorEastAsia" w:hAnsiTheme="minorEastAsia"/>
                <w:szCs w:val="21"/>
              </w:rPr>
            </w:pPr>
            <w:r>
              <w:rPr>
                <w:rFonts w:cs="Times New Roman" w:asciiTheme="minorEastAsia" w:hAnsiTheme="minorEastAsia"/>
                <w:szCs w:val="21"/>
              </w:rPr>
              <w:t>1、硫酸和硝酸的生产</w:t>
            </w:r>
          </w:p>
        </w:tc>
        <w:tc>
          <w:tcPr>
            <w:tcW w:w="3960" w:type="dxa"/>
          </w:tcPr>
          <w:p>
            <w:pPr>
              <w:rPr>
                <w:rFonts w:cs="Times New Roman" w:asciiTheme="minorEastAsia" w:hAnsiTheme="minorEastAsia"/>
                <w:szCs w:val="21"/>
              </w:rPr>
            </w:pPr>
            <w:r>
              <w:rPr>
                <w:rFonts w:cs="Times New Roman" w:asciiTheme="minorEastAsia" w:hAnsiTheme="minorEastAsia"/>
                <w:szCs w:val="21"/>
              </w:rPr>
              <w:t>1、硫酸生产</w:t>
            </w:r>
          </w:p>
        </w:tc>
        <w:tc>
          <w:tcPr>
            <w:tcW w:w="854" w:type="dxa"/>
            <w:vMerge w:val="restart"/>
            <w:vAlign w:val="center"/>
          </w:tcPr>
          <w:p>
            <w:pPr>
              <w:jc w:val="center"/>
              <w:rPr>
                <w:rFonts w:cs="Times New Roman" w:asciiTheme="minorEastAsia" w:hAnsiTheme="minorEastAsia"/>
                <w:szCs w:val="21"/>
              </w:rPr>
            </w:pPr>
            <w:r>
              <w:rPr>
                <w:rFonts w:cs="Times New Roman" w:asciiTheme="minorEastAsia" w:hAnsiTheme="minorEastAsia"/>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tcPr>
          <w:p>
            <w:pPr>
              <w:rPr>
                <w:rFonts w:cs="Times New Roman" w:asciiTheme="minorEastAsia" w:hAnsiTheme="minorEastAsia"/>
                <w:szCs w:val="21"/>
              </w:rPr>
            </w:pPr>
          </w:p>
        </w:tc>
        <w:tc>
          <w:tcPr>
            <w:tcW w:w="2520" w:type="dxa"/>
            <w:vMerge w:val="continue"/>
            <w:vAlign w:val="center"/>
          </w:tcPr>
          <w:p>
            <w:pPr>
              <w:jc w:val="center"/>
              <w:rPr>
                <w:rFonts w:cs="Times New Roman" w:asciiTheme="minorEastAsia" w:hAnsiTheme="minorEastAsia"/>
                <w:szCs w:val="21"/>
              </w:rPr>
            </w:pPr>
          </w:p>
        </w:tc>
        <w:tc>
          <w:tcPr>
            <w:tcW w:w="3960" w:type="dxa"/>
          </w:tcPr>
          <w:p>
            <w:pPr>
              <w:rPr>
                <w:rFonts w:cs="Times New Roman" w:asciiTheme="minorEastAsia" w:hAnsiTheme="minorEastAsia"/>
                <w:szCs w:val="21"/>
              </w:rPr>
            </w:pPr>
            <w:r>
              <w:rPr>
                <w:rFonts w:cs="Times New Roman" w:asciiTheme="minorEastAsia" w:hAnsiTheme="minorEastAsia"/>
                <w:szCs w:val="21"/>
              </w:rPr>
              <w:t>2、硝酸生产</w:t>
            </w:r>
          </w:p>
        </w:tc>
        <w:tc>
          <w:tcPr>
            <w:tcW w:w="854" w:type="dxa"/>
            <w:vMerge w:val="continue"/>
          </w:tcPr>
          <w:p>
            <w:pPr>
              <w:rPr>
                <w:rFonts w:cs="Times New Roman"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tcPr>
          <w:p>
            <w:pPr>
              <w:rPr>
                <w:rFonts w:cs="Times New Roman" w:asciiTheme="minorEastAsia" w:hAnsiTheme="minorEastAsia"/>
                <w:szCs w:val="21"/>
              </w:rPr>
            </w:pPr>
          </w:p>
        </w:tc>
        <w:tc>
          <w:tcPr>
            <w:tcW w:w="2520" w:type="dxa"/>
            <w:vMerge w:val="restart"/>
            <w:vAlign w:val="center"/>
          </w:tcPr>
          <w:p>
            <w:pPr>
              <w:jc w:val="center"/>
              <w:rPr>
                <w:rFonts w:cs="Times New Roman" w:asciiTheme="minorEastAsia" w:hAnsiTheme="minorEastAsia"/>
                <w:szCs w:val="21"/>
              </w:rPr>
            </w:pPr>
            <w:r>
              <w:rPr>
                <w:rFonts w:cs="Times New Roman" w:asciiTheme="minorEastAsia" w:hAnsiTheme="minorEastAsia"/>
                <w:szCs w:val="21"/>
              </w:rPr>
              <w:t>2、‘纯碱和烧碱的生产</w:t>
            </w:r>
          </w:p>
        </w:tc>
        <w:tc>
          <w:tcPr>
            <w:tcW w:w="3960" w:type="dxa"/>
          </w:tcPr>
          <w:p>
            <w:pPr>
              <w:rPr>
                <w:rFonts w:cs="Times New Roman" w:asciiTheme="minorEastAsia" w:hAnsiTheme="minorEastAsia"/>
                <w:szCs w:val="21"/>
              </w:rPr>
            </w:pPr>
            <w:r>
              <w:rPr>
                <w:rFonts w:cs="Times New Roman" w:asciiTheme="minorEastAsia" w:hAnsiTheme="minorEastAsia"/>
                <w:szCs w:val="21"/>
              </w:rPr>
              <w:t>1、氨碱法制纯碱</w:t>
            </w:r>
          </w:p>
        </w:tc>
        <w:tc>
          <w:tcPr>
            <w:tcW w:w="854" w:type="dxa"/>
            <w:vMerge w:val="continue"/>
          </w:tcPr>
          <w:p>
            <w:pPr>
              <w:rPr>
                <w:rFonts w:cs="Times New Roman"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tcPr>
          <w:p>
            <w:pPr>
              <w:rPr>
                <w:rFonts w:cs="Times New Roman" w:asciiTheme="minorEastAsia" w:hAnsiTheme="minorEastAsia"/>
                <w:szCs w:val="21"/>
              </w:rPr>
            </w:pPr>
          </w:p>
        </w:tc>
        <w:tc>
          <w:tcPr>
            <w:tcW w:w="2520" w:type="dxa"/>
            <w:vMerge w:val="continue"/>
            <w:vAlign w:val="center"/>
          </w:tcPr>
          <w:p>
            <w:pPr>
              <w:jc w:val="center"/>
              <w:rPr>
                <w:rFonts w:cs="Times New Roman" w:asciiTheme="minorEastAsia" w:hAnsiTheme="minorEastAsia"/>
                <w:szCs w:val="21"/>
              </w:rPr>
            </w:pPr>
          </w:p>
        </w:tc>
        <w:tc>
          <w:tcPr>
            <w:tcW w:w="3960" w:type="dxa"/>
          </w:tcPr>
          <w:p>
            <w:pPr>
              <w:rPr>
                <w:rFonts w:cs="Times New Roman" w:asciiTheme="minorEastAsia" w:hAnsiTheme="minorEastAsia"/>
                <w:szCs w:val="21"/>
              </w:rPr>
            </w:pPr>
            <w:r>
              <w:rPr>
                <w:rFonts w:cs="Times New Roman" w:asciiTheme="minorEastAsia" w:hAnsiTheme="minorEastAsia"/>
                <w:szCs w:val="21"/>
              </w:rPr>
              <w:t>2、联合法生产纯碱和氯化铵</w:t>
            </w:r>
          </w:p>
        </w:tc>
        <w:tc>
          <w:tcPr>
            <w:tcW w:w="854" w:type="dxa"/>
            <w:vMerge w:val="continue"/>
          </w:tcPr>
          <w:p>
            <w:pPr>
              <w:rPr>
                <w:rFonts w:cs="Times New Roman"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tcPr>
          <w:p>
            <w:pPr>
              <w:rPr>
                <w:rFonts w:cs="Times New Roman" w:asciiTheme="minorEastAsia" w:hAnsiTheme="minorEastAsia"/>
                <w:szCs w:val="21"/>
              </w:rPr>
            </w:pPr>
          </w:p>
        </w:tc>
        <w:tc>
          <w:tcPr>
            <w:tcW w:w="2520" w:type="dxa"/>
            <w:vMerge w:val="continue"/>
            <w:vAlign w:val="center"/>
          </w:tcPr>
          <w:p>
            <w:pPr>
              <w:jc w:val="center"/>
              <w:rPr>
                <w:rFonts w:cs="Times New Roman" w:asciiTheme="minorEastAsia" w:hAnsiTheme="minorEastAsia"/>
                <w:szCs w:val="21"/>
              </w:rPr>
            </w:pPr>
          </w:p>
        </w:tc>
        <w:tc>
          <w:tcPr>
            <w:tcW w:w="3960" w:type="dxa"/>
          </w:tcPr>
          <w:p>
            <w:pPr>
              <w:rPr>
                <w:rFonts w:cs="Times New Roman" w:asciiTheme="minorEastAsia" w:hAnsiTheme="minorEastAsia"/>
                <w:szCs w:val="21"/>
              </w:rPr>
            </w:pPr>
            <w:r>
              <w:rPr>
                <w:rFonts w:cs="Times New Roman" w:asciiTheme="minorEastAsia" w:hAnsiTheme="minorEastAsia"/>
                <w:szCs w:val="21"/>
              </w:rPr>
              <w:t>3、电解法生产烧碱</w:t>
            </w:r>
          </w:p>
        </w:tc>
        <w:tc>
          <w:tcPr>
            <w:tcW w:w="854" w:type="dxa"/>
            <w:vMerge w:val="continue"/>
          </w:tcPr>
          <w:p>
            <w:pPr>
              <w:rPr>
                <w:rFonts w:cs="Times New Roman"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tcPr>
          <w:p>
            <w:pPr>
              <w:rPr>
                <w:rFonts w:cs="Times New Roman" w:asciiTheme="minorEastAsia" w:hAnsiTheme="minorEastAsia"/>
                <w:szCs w:val="21"/>
              </w:rPr>
            </w:pPr>
          </w:p>
        </w:tc>
        <w:tc>
          <w:tcPr>
            <w:tcW w:w="2520" w:type="dxa"/>
            <w:vMerge w:val="restart"/>
            <w:vAlign w:val="center"/>
          </w:tcPr>
          <w:p>
            <w:pPr>
              <w:jc w:val="center"/>
              <w:rPr>
                <w:rFonts w:cs="Times New Roman" w:asciiTheme="minorEastAsia" w:hAnsiTheme="minorEastAsia"/>
                <w:szCs w:val="21"/>
              </w:rPr>
            </w:pPr>
            <w:r>
              <w:rPr>
                <w:rFonts w:cs="Times New Roman" w:asciiTheme="minorEastAsia" w:hAnsiTheme="minorEastAsia"/>
                <w:szCs w:val="21"/>
              </w:rPr>
              <w:t>3、无机盐的生产</w:t>
            </w:r>
          </w:p>
        </w:tc>
        <w:tc>
          <w:tcPr>
            <w:tcW w:w="3960" w:type="dxa"/>
          </w:tcPr>
          <w:p>
            <w:pPr>
              <w:rPr>
                <w:rFonts w:cs="Times New Roman" w:asciiTheme="minorEastAsia" w:hAnsiTheme="minorEastAsia"/>
                <w:szCs w:val="21"/>
              </w:rPr>
            </w:pPr>
            <w:r>
              <w:rPr>
                <w:rFonts w:cs="Times New Roman" w:asciiTheme="minorEastAsia" w:hAnsiTheme="minorEastAsia"/>
                <w:szCs w:val="21"/>
              </w:rPr>
              <w:t>1、轻质碳酸钙的生产</w:t>
            </w:r>
          </w:p>
        </w:tc>
        <w:tc>
          <w:tcPr>
            <w:tcW w:w="854" w:type="dxa"/>
            <w:vMerge w:val="continue"/>
          </w:tcPr>
          <w:p>
            <w:pPr>
              <w:rPr>
                <w:rFonts w:cs="Times New Roman"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tcPr>
          <w:p>
            <w:pPr>
              <w:rPr>
                <w:rFonts w:cs="Times New Roman" w:asciiTheme="minorEastAsia" w:hAnsiTheme="minorEastAsia"/>
                <w:szCs w:val="21"/>
              </w:rPr>
            </w:pPr>
          </w:p>
        </w:tc>
        <w:tc>
          <w:tcPr>
            <w:tcW w:w="2520" w:type="dxa"/>
            <w:vMerge w:val="continue"/>
          </w:tcPr>
          <w:p>
            <w:pPr>
              <w:rPr>
                <w:rFonts w:cs="Times New Roman" w:asciiTheme="minorEastAsia" w:hAnsiTheme="minorEastAsia"/>
                <w:szCs w:val="21"/>
              </w:rPr>
            </w:pPr>
          </w:p>
        </w:tc>
        <w:tc>
          <w:tcPr>
            <w:tcW w:w="3960" w:type="dxa"/>
          </w:tcPr>
          <w:p>
            <w:pPr>
              <w:rPr>
                <w:rFonts w:cs="Times New Roman" w:asciiTheme="minorEastAsia" w:hAnsiTheme="minorEastAsia"/>
                <w:szCs w:val="21"/>
              </w:rPr>
            </w:pPr>
            <w:r>
              <w:rPr>
                <w:rFonts w:cs="Times New Roman" w:asciiTheme="minorEastAsia" w:hAnsiTheme="minorEastAsia"/>
                <w:szCs w:val="21"/>
              </w:rPr>
              <w:t>2、硅酸盐工业</w:t>
            </w:r>
          </w:p>
        </w:tc>
        <w:tc>
          <w:tcPr>
            <w:tcW w:w="854" w:type="dxa"/>
            <w:vMerge w:val="continue"/>
          </w:tcPr>
          <w:p>
            <w:pPr>
              <w:rPr>
                <w:rFonts w:cs="Times New Roman" w:asciiTheme="minorEastAsia" w:hAnsiTheme="minorEastAsia"/>
                <w:szCs w:val="21"/>
              </w:rPr>
            </w:pPr>
          </w:p>
        </w:tc>
      </w:tr>
    </w:tbl>
    <w:p>
      <w:pPr>
        <w:spacing w:line="360" w:lineRule="auto"/>
        <w:rPr>
          <w:rFonts w:ascii="Times New Roman" w:hAnsi="Times New Roman" w:eastAsia="宋体" w:cs="Times New Roman"/>
          <w:bCs/>
          <w:sz w:val="24"/>
        </w:rPr>
      </w:pPr>
    </w:p>
    <w:p>
      <w:pPr>
        <w:adjustRightInd w:val="0"/>
        <w:snapToGrid w:val="0"/>
        <w:spacing w:beforeLines="50" w:line="360" w:lineRule="auto"/>
        <w:ind w:firstLine="480" w:firstLineChars="150"/>
        <w:rPr>
          <w:rFonts w:ascii="黑体" w:hAnsi="黑体" w:eastAsia="黑体" w:cs="Times New Roman"/>
          <w:sz w:val="32"/>
          <w:szCs w:val="32"/>
        </w:rPr>
      </w:pPr>
      <w:r>
        <w:rPr>
          <w:rFonts w:hint="eastAsia" w:ascii="黑体" w:hAnsi="黑体" w:eastAsia="黑体" w:cs="Times New Roman"/>
          <w:sz w:val="32"/>
          <w:szCs w:val="32"/>
        </w:rPr>
        <w:t>五、教学组织与教学方法</w:t>
      </w:r>
    </w:p>
    <w:p>
      <w:pPr>
        <w:adjustRightInd w:val="0"/>
        <w:spacing w:line="360" w:lineRule="auto"/>
        <w:ind w:firstLine="480" w:firstLineChars="200"/>
        <w:jc w:val="left"/>
        <w:rPr>
          <w:rFonts w:ascii="Times New Roman" w:hAnsi="Times New Roman" w:eastAsia="宋体" w:cs="Times New Roman"/>
          <w:bCs/>
          <w:color w:val="000000"/>
          <w:sz w:val="24"/>
        </w:rPr>
      </w:pPr>
      <w:r>
        <w:rPr>
          <w:rFonts w:hint="eastAsia" w:ascii="Times New Roman" w:hAnsi="Times New Roman" w:eastAsia="宋体" w:cs="Times New Roman"/>
          <w:bCs/>
          <w:color w:val="000000"/>
          <w:sz w:val="24"/>
        </w:rPr>
        <w:t>1.</w:t>
      </w:r>
      <w:r>
        <w:rPr>
          <w:rFonts w:hint="eastAsia" w:ascii="Times New Roman" w:hAnsi="宋体" w:eastAsia="宋体" w:cs="Times New Roman"/>
          <w:bCs/>
          <w:color w:val="000000"/>
          <w:sz w:val="24"/>
        </w:rPr>
        <w:t>教学模式的设计与创新</w:t>
      </w:r>
    </w:p>
    <w:p>
      <w:pPr>
        <w:adjustRightInd w:val="0"/>
        <w:spacing w:line="360" w:lineRule="auto"/>
        <w:ind w:firstLine="480" w:firstLineChars="200"/>
        <w:rPr>
          <w:rFonts w:ascii="Times New Roman" w:hAnsi="Times New Roman" w:eastAsia="宋体" w:cs="Times New Roman"/>
          <w:color w:val="000000"/>
          <w:sz w:val="24"/>
        </w:rPr>
      </w:pPr>
      <w:r>
        <w:rPr>
          <w:rFonts w:hint="eastAsia" w:ascii="Times New Roman" w:hAnsi="Times New Roman" w:eastAsia="宋体" w:cs="Times New Roman"/>
          <w:sz w:val="24"/>
        </w:rPr>
        <w:t>为使本课程达到最佳教学效果，本课程在教学模式上打破了传统的教学模式，按照企业的生产岗位要求，以任务驱动、项目导向的教学方法实施教学。在教学环境和氛围上营造工学结合场景，让学生感受到工作情境。在教学上突出“项目任务驱动”教学法，将“教、学、做”有机结合，采用“教师布置任务</w:t>
      </w:r>
      <w:r>
        <w:rPr>
          <w:rFonts w:hint="eastAsia" w:ascii="Times New Roman" w:hAnsi="Times New Roman" w:eastAsia="宋体" w:cs="宋体"/>
          <w:sz w:val="24"/>
        </w:rPr>
        <w:t>→</w:t>
      </w:r>
      <w:r>
        <w:rPr>
          <w:rFonts w:hint="eastAsia" w:ascii="Times New Roman" w:hAnsi="Times New Roman" w:eastAsia="宋体" w:cs="Times New Roman"/>
          <w:sz w:val="24"/>
        </w:rPr>
        <w:t>学生了解任务</w:t>
      </w:r>
      <w:r>
        <w:rPr>
          <w:rFonts w:hint="eastAsia" w:ascii="Times New Roman" w:hAnsi="Times New Roman" w:eastAsia="宋体" w:cs="宋体"/>
          <w:sz w:val="24"/>
        </w:rPr>
        <w:t>→</w:t>
      </w:r>
      <w:r>
        <w:rPr>
          <w:rFonts w:hint="eastAsia" w:ascii="Times New Roman" w:hAnsi="Times New Roman" w:eastAsia="宋体" w:cs="Times New Roman"/>
          <w:sz w:val="24"/>
        </w:rPr>
        <w:t>学生自主策划项目计划</w:t>
      </w:r>
      <w:r>
        <w:rPr>
          <w:rFonts w:hint="eastAsia" w:ascii="Times New Roman" w:hAnsi="Times New Roman" w:eastAsia="宋体" w:cs="宋体"/>
          <w:sz w:val="24"/>
        </w:rPr>
        <w:t>→</w:t>
      </w:r>
      <w:r>
        <w:rPr>
          <w:rFonts w:hint="eastAsia" w:ascii="Times New Roman" w:hAnsi="Times New Roman" w:eastAsia="宋体" w:cs="Times New Roman"/>
          <w:sz w:val="24"/>
        </w:rPr>
        <w:t>师生共同分析计划</w:t>
      </w:r>
      <w:r>
        <w:rPr>
          <w:rFonts w:hint="eastAsia" w:ascii="Times New Roman" w:hAnsi="Times New Roman" w:eastAsia="宋体" w:cs="宋体"/>
          <w:sz w:val="24"/>
        </w:rPr>
        <w:t>→</w:t>
      </w:r>
      <w:r>
        <w:rPr>
          <w:rFonts w:hint="eastAsia" w:ascii="Times New Roman" w:hAnsi="Times New Roman" w:eastAsia="宋体" w:cs="Times New Roman"/>
          <w:sz w:val="24"/>
        </w:rPr>
        <w:t>学生修订策划</w:t>
      </w:r>
      <w:r>
        <w:rPr>
          <w:rFonts w:hint="eastAsia" w:ascii="Times New Roman" w:hAnsi="Times New Roman" w:eastAsia="宋体" w:cs="宋体"/>
          <w:sz w:val="24"/>
        </w:rPr>
        <w:t>→</w:t>
      </w:r>
      <w:r>
        <w:rPr>
          <w:rFonts w:hint="eastAsia" w:ascii="Times New Roman" w:hAnsi="Times New Roman" w:eastAsia="宋体" w:cs="Times New Roman"/>
          <w:sz w:val="24"/>
        </w:rPr>
        <w:t>投入实施训练</w:t>
      </w:r>
      <w:r>
        <w:rPr>
          <w:rFonts w:hint="eastAsia" w:ascii="Times New Roman" w:hAnsi="Times New Roman" w:eastAsia="宋体" w:cs="宋体"/>
          <w:sz w:val="24"/>
        </w:rPr>
        <w:t>→</w:t>
      </w:r>
      <w:r>
        <w:rPr>
          <w:rFonts w:hint="eastAsia" w:ascii="Times New Roman" w:hAnsi="Times New Roman" w:eastAsia="宋体" w:cs="Times New Roman"/>
          <w:sz w:val="24"/>
        </w:rPr>
        <w:t>项目完成情况检查</w:t>
      </w:r>
      <w:r>
        <w:rPr>
          <w:rFonts w:hint="eastAsia" w:ascii="Times New Roman" w:hAnsi="Times New Roman" w:eastAsia="宋体" w:cs="宋体"/>
          <w:sz w:val="24"/>
        </w:rPr>
        <w:t>→</w:t>
      </w:r>
      <w:r>
        <w:rPr>
          <w:rFonts w:hint="eastAsia" w:ascii="Times New Roman" w:hAnsi="Times New Roman" w:eastAsia="宋体" w:cs="Times New Roman"/>
          <w:sz w:val="24"/>
        </w:rPr>
        <w:t>教师评价、学生自评”的教学流程。这样不仅培养学生的专业能力，更重要的是培养了学生的动手能力、自学能力、创新能力、团队协作能力和可持续发展能力。</w:t>
      </w:r>
    </w:p>
    <w:p>
      <w:pPr>
        <w:spacing w:line="360" w:lineRule="auto"/>
        <w:ind w:firstLine="480" w:firstLineChars="200"/>
        <w:rPr>
          <w:rFonts w:ascii="Calibri" w:hAnsi="Calibri" w:eastAsia="宋体" w:cs="Times New Roman"/>
          <w:sz w:val="24"/>
        </w:rPr>
      </w:pPr>
      <w:r>
        <w:rPr>
          <w:rFonts w:hint="eastAsia" w:ascii="Calibri" w:hAnsi="Calibri" w:eastAsia="宋体" w:cs="Times New Roman"/>
          <w:bCs/>
          <w:color w:val="000000"/>
          <w:sz w:val="24"/>
        </w:rPr>
        <w:t>2.</w:t>
      </w:r>
      <w:r>
        <w:rPr>
          <w:rFonts w:hint="eastAsia" w:ascii="Calibri" w:hAnsi="Calibri" w:eastAsia="宋体" w:cs="Times New Roman"/>
          <w:sz w:val="24"/>
        </w:rPr>
        <w:t>教学方法</w:t>
      </w:r>
    </w:p>
    <w:p>
      <w:pPr>
        <w:spacing w:line="360" w:lineRule="auto"/>
        <w:ind w:firstLine="480" w:firstLineChars="200"/>
        <w:rPr>
          <w:rFonts w:ascii="Times New Roman" w:hAnsi="Times New Roman" w:eastAsia="宋体" w:cs="Times New Roman"/>
          <w:sz w:val="24"/>
        </w:rPr>
      </w:pPr>
      <w:r>
        <w:rPr>
          <w:rFonts w:hint="eastAsia" w:ascii="Calibri" w:hAnsi="Calibri" w:eastAsia="宋体" w:cs="Times New Roman"/>
          <w:sz w:val="24"/>
        </w:rPr>
        <w:t>在本课程教学中，充分利用现场教学，合理运用现代教育技术，利用动画、PPT 课件等进行教学。积极改革教学方法，采用任务驱动教学法，现场教学法，案例教学法，角色扮演法，多媒体教学法，分组讨论法，启发式教学法等教学方法。</w:t>
      </w:r>
      <w:r>
        <w:rPr>
          <w:rFonts w:ascii="Times New Roman" w:hAnsi="Calibri" w:eastAsia="宋体" w:cs="Times New Roman"/>
          <w:sz w:val="24"/>
        </w:rPr>
        <w:t>让学生在</w:t>
      </w:r>
      <w:r>
        <w:rPr>
          <w:rFonts w:hint="eastAsia" w:ascii="Times New Roman" w:hAnsi="Times New Roman" w:eastAsia="宋体" w:cs="Times New Roman"/>
          <w:sz w:val="24"/>
        </w:rPr>
        <w:t>“</w:t>
      </w:r>
      <w:r>
        <w:rPr>
          <w:rFonts w:ascii="Times New Roman" w:hAnsi="Calibri" w:eastAsia="宋体" w:cs="Times New Roman"/>
          <w:sz w:val="24"/>
        </w:rPr>
        <w:t>学中做、做中学、学会做</w:t>
      </w:r>
      <w:r>
        <w:rPr>
          <w:rFonts w:hint="eastAsia" w:ascii="Times New Roman" w:hAnsi="Times New Roman" w:eastAsia="宋体" w:cs="Times New Roman"/>
          <w:sz w:val="24"/>
        </w:rPr>
        <w:t>”</w:t>
      </w:r>
      <w:r>
        <w:rPr>
          <w:rFonts w:ascii="Times New Roman" w:hAnsi="Calibri" w:eastAsia="宋体" w:cs="Times New Roman"/>
          <w:sz w:val="24"/>
        </w:rPr>
        <w:t>，真正做到</w:t>
      </w:r>
      <w:r>
        <w:rPr>
          <w:rFonts w:hint="eastAsia" w:ascii="Times New Roman" w:hAnsi="Times New Roman" w:eastAsia="宋体" w:cs="Times New Roman"/>
          <w:sz w:val="24"/>
        </w:rPr>
        <w:t>“</w:t>
      </w:r>
      <w:r>
        <w:rPr>
          <w:rFonts w:ascii="Times New Roman" w:hAnsi="Calibri" w:eastAsia="宋体" w:cs="Times New Roman"/>
          <w:sz w:val="24"/>
        </w:rPr>
        <w:t>做学合一</w:t>
      </w:r>
      <w:r>
        <w:rPr>
          <w:rFonts w:hint="eastAsia" w:ascii="Times New Roman" w:hAnsi="Times New Roman" w:eastAsia="宋体" w:cs="Times New Roman"/>
          <w:sz w:val="24"/>
        </w:rPr>
        <w:t>”</w:t>
      </w:r>
      <w:r>
        <w:rPr>
          <w:rFonts w:ascii="Times New Roman" w:hAnsi="Calibri" w:eastAsia="宋体" w:cs="Times New Roman"/>
          <w:sz w:val="24"/>
        </w:rPr>
        <w:t>。</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 xml:space="preserve">(1)“项目驱动”教学法 </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在教学一体化过程中，以</w:t>
      </w:r>
      <w:r>
        <w:rPr>
          <w:rFonts w:hint="eastAsia" w:ascii="Times New Roman" w:hAnsi="Times New Roman" w:eastAsia="宋体" w:cs="Times New Roman"/>
          <w:sz w:val="24"/>
        </w:rPr>
        <w:t>“</w:t>
      </w:r>
      <w:r>
        <w:rPr>
          <w:rFonts w:ascii="Times New Roman" w:hAnsi="Times New Roman" w:eastAsia="宋体" w:cs="Times New Roman"/>
          <w:sz w:val="24"/>
        </w:rPr>
        <w:t>任务驱动</w:t>
      </w:r>
      <w:r>
        <w:rPr>
          <w:rFonts w:hint="eastAsia" w:ascii="Times New Roman" w:hAnsi="Times New Roman" w:eastAsia="宋体" w:cs="Times New Roman"/>
          <w:sz w:val="24"/>
        </w:rPr>
        <w:t>”</w:t>
      </w:r>
      <w:r>
        <w:rPr>
          <w:rFonts w:ascii="Times New Roman" w:hAnsi="Times New Roman" w:eastAsia="宋体" w:cs="Times New Roman"/>
          <w:sz w:val="24"/>
        </w:rPr>
        <w:t>为主线，将任务分解、</w:t>
      </w:r>
      <w:r>
        <w:rPr>
          <w:rFonts w:hint="eastAsia" w:ascii="Times New Roman" w:hAnsi="Times New Roman" w:eastAsia="宋体" w:cs="Times New Roman"/>
          <w:sz w:val="24"/>
        </w:rPr>
        <w:t>“</w:t>
      </w:r>
      <w:r>
        <w:rPr>
          <w:rFonts w:ascii="Times New Roman" w:hAnsi="Times New Roman" w:eastAsia="宋体" w:cs="Times New Roman"/>
          <w:sz w:val="24"/>
        </w:rPr>
        <w:t>教、学、做</w:t>
      </w:r>
      <w:r>
        <w:rPr>
          <w:rFonts w:hint="eastAsia" w:ascii="Times New Roman" w:hAnsi="Times New Roman" w:eastAsia="宋体" w:cs="Times New Roman"/>
          <w:sz w:val="24"/>
        </w:rPr>
        <w:t>”</w:t>
      </w:r>
      <w:r>
        <w:rPr>
          <w:rFonts w:ascii="Times New Roman" w:hAnsi="Times New Roman" w:eastAsia="宋体" w:cs="Times New Roman"/>
          <w:sz w:val="24"/>
        </w:rPr>
        <w:t>有机结合起来。通过</w:t>
      </w:r>
      <w:r>
        <w:rPr>
          <w:rFonts w:hint="eastAsia" w:ascii="Times New Roman" w:hAnsi="Times New Roman" w:eastAsia="宋体" w:cs="Times New Roman"/>
          <w:sz w:val="24"/>
        </w:rPr>
        <w:t>“</w:t>
      </w:r>
      <w:r>
        <w:rPr>
          <w:rFonts w:ascii="Times New Roman" w:hAnsi="Times New Roman" w:eastAsia="宋体" w:cs="Times New Roman"/>
          <w:sz w:val="24"/>
        </w:rPr>
        <w:t>项目驱动</w:t>
      </w:r>
      <w:r>
        <w:rPr>
          <w:rFonts w:hint="eastAsia" w:ascii="Times New Roman" w:hAnsi="Times New Roman" w:eastAsia="宋体" w:cs="Times New Roman"/>
          <w:sz w:val="24"/>
        </w:rPr>
        <w:t>”</w:t>
      </w:r>
      <w:r>
        <w:rPr>
          <w:rFonts w:ascii="Times New Roman" w:hAnsi="Times New Roman" w:eastAsia="宋体" w:cs="Times New Roman"/>
          <w:sz w:val="24"/>
        </w:rPr>
        <w:t>，可以加强学生训练目的性，在教学过程进行前学生已经接到项目的内容、要求，学生通过项目调研、项目实施、项目验收等环节的训练，培养了学生发现问题、分析问题和解决问题的能力和技术。本课程所设计的案例项目层次分明，由简单到复杂，逐步培养学生的专业能力、知识能力和社会能力。</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(2)现场教学法</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在实训场所、生产一线进行现场教学，理论与实践有机结合，进行一体化教学，增强学生的感性认识，建立控制系统的现场感，提高学生的理解能力，便于学生掌握较抽象的知识点。</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 xml:space="preserve">(3)案例教学法 </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针对工作典型案例进行教学，达到学习的内容更加贴近生产实际的目的。例如：在学习硫酸生产的相关内容时，根据实际要求，以学习小组为单位进行方案设计，教师对学生的设计方案进行分析、评价。通过案例分析法，可以激发学生自主学习的热情，使学习任务和目标更加明确，提高了学生分析问题和解决问题的能力。</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(4)多媒体教学法</w:t>
      </w:r>
    </w:p>
    <w:p>
      <w:pPr>
        <w:spacing w:line="360" w:lineRule="auto"/>
        <w:ind w:firstLine="480" w:firstLineChars="200"/>
        <w:rPr>
          <w:rFonts w:ascii="Times New Roman" w:hAnsi="Times New Roman" w:eastAsia="宋体" w:cs="Times New Roman"/>
          <w:sz w:val="24"/>
        </w:rPr>
      </w:pPr>
      <w:r>
        <w:rPr>
          <w:rFonts w:ascii="Times New Roman" w:hAnsi="Calibri" w:eastAsia="宋体" w:cs="Times New Roman"/>
          <w:sz w:val="24"/>
        </w:rPr>
        <w:t>采用电子教案、多媒体课件、仿真软件等手段充实教学，特别是多媒体课件和仿真软件的应用，解决了在传统教学手段下很难表达的教学内容或无法观察到的现象，使其象能形象、生动、直观地显示出来，从而加深学生对问题的理解，提高学生学习的积极性。</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(5)</w:t>
      </w:r>
      <w:r>
        <w:rPr>
          <w:rFonts w:ascii="Times New Roman" w:hAnsi="Calibri" w:eastAsia="宋体" w:cs="Times New Roman"/>
          <w:sz w:val="24"/>
        </w:rPr>
        <w:t>分组讨论法</w:t>
      </w:r>
    </w:p>
    <w:p>
      <w:pPr>
        <w:spacing w:line="360" w:lineRule="auto"/>
        <w:ind w:firstLine="480" w:firstLineChars="200"/>
        <w:rPr>
          <w:rFonts w:ascii="Times New Roman" w:hAnsi="Times New Roman" w:eastAsia="宋体" w:cs="Times New Roman"/>
          <w:sz w:val="24"/>
        </w:rPr>
      </w:pPr>
      <w:r>
        <w:rPr>
          <w:rFonts w:ascii="Times New Roman" w:hAnsi="Calibri" w:eastAsia="宋体" w:cs="Times New Roman"/>
          <w:sz w:val="24"/>
        </w:rPr>
        <w:t>课前为学生划分学习小组，进行提问时以小组为单位，由小组进行讨论后，派出代表给出最后答案。这样可以充分调动学生的学习热情和参与热情。</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(6)</w:t>
      </w:r>
      <w:r>
        <w:rPr>
          <w:rFonts w:ascii="Times New Roman" w:hAnsi="Calibri" w:eastAsia="宋体" w:cs="Times New Roman"/>
          <w:sz w:val="24"/>
        </w:rPr>
        <w:t>启发式教学法</w:t>
      </w:r>
    </w:p>
    <w:p>
      <w:pPr>
        <w:spacing w:line="360" w:lineRule="auto"/>
        <w:ind w:firstLine="480" w:firstLineChars="200"/>
        <w:rPr>
          <w:rFonts w:ascii="宋体" w:hAnsi="宋体" w:eastAsia="宋体" w:cs="Times New Roman"/>
          <w:bCs/>
          <w:sz w:val="24"/>
        </w:rPr>
      </w:pPr>
      <w:r>
        <w:rPr>
          <w:rFonts w:ascii="Times New Roman" w:hAnsi="Times New Roman" w:eastAsia="宋体" w:cs="Times New Roman"/>
          <w:sz w:val="24"/>
        </w:rPr>
        <w:t>在教学中鼓励学生质疑，开动脑筋，积极思维，对提出疑问者要给予表扬，并精心设计一些与实践有关的思考题，要求学生分小组抢答，答对者给予平时成绩加分，这样既调动学生的学习</w:t>
      </w:r>
      <w:r>
        <w:rPr>
          <w:rFonts w:hint="eastAsia" w:ascii="Times New Roman" w:hAnsi="Times New Roman" w:eastAsia="宋体" w:cs="Times New Roman"/>
          <w:sz w:val="24"/>
        </w:rPr>
        <w:t>主动性又有利于教师进行因材施教。</w:t>
      </w:r>
    </w:p>
    <w:p>
      <w:pPr>
        <w:adjustRightInd w:val="0"/>
        <w:snapToGrid w:val="0"/>
        <w:spacing w:beforeLines="50" w:line="360" w:lineRule="auto"/>
        <w:ind w:firstLine="640" w:firstLineChars="200"/>
        <w:rPr>
          <w:rFonts w:ascii="黑体" w:hAnsi="黑体" w:eastAsia="黑体" w:cs="Times New Roman"/>
          <w:sz w:val="32"/>
          <w:szCs w:val="32"/>
        </w:rPr>
      </w:pPr>
      <w:r>
        <w:rPr>
          <w:rFonts w:hint="eastAsia" w:ascii="黑体" w:hAnsi="黑体" w:eastAsia="黑体" w:cs="Times New Roman"/>
          <w:sz w:val="32"/>
          <w:szCs w:val="32"/>
        </w:rPr>
        <w:t>六、考核标准与成绩评定方法</w:t>
      </w:r>
    </w:p>
    <w:p>
      <w:pPr>
        <w:widowControl/>
        <w:spacing w:line="360" w:lineRule="auto"/>
        <w:ind w:firstLine="600" w:firstLineChars="250"/>
        <w:jc w:val="left"/>
        <w:rPr>
          <w:rFonts w:ascii="宋体" w:hAnsi="宋体" w:eastAsia="宋体" w:cs="宋体"/>
          <w:color w:val="000000"/>
          <w:kern w:val="0"/>
          <w:sz w:val="24"/>
        </w:rPr>
      </w:pPr>
      <w:r>
        <w:rPr>
          <w:rFonts w:hint="eastAsia" w:ascii="宋体" w:hAnsi="宋体" w:eastAsia="宋体" w:cs="宋体"/>
          <w:bCs/>
          <w:color w:val="000000"/>
          <w:kern w:val="0"/>
          <w:sz w:val="24"/>
        </w:rPr>
        <w:t>教学模式发生了变化，</w:t>
      </w:r>
      <w:r>
        <w:rPr>
          <w:rFonts w:hint="eastAsia" w:ascii="宋体" w:hAnsi="宋体" w:eastAsia="宋体" w:cs="宋体"/>
          <w:color w:val="000000"/>
          <w:kern w:val="0"/>
          <w:sz w:val="24"/>
        </w:rPr>
        <w:t>课程的考核方式也应该发生重大变化，应该注重综合评价。《无机化工生产技术》改革传统的由一次期末考试进行评价的考核方式，在“教学做”学习任务实施过程中，注重学生学习任务实施过程的评价，采用过程考评与</w:t>
      </w:r>
      <w:r>
        <w:rPr>
          <w:rFonts w:hint="eastAsia" w:ascii="宋体" w:hAnsi="宋体" w:eastAsia="宋体" w:cs="宋体"/>
          <w:snapToGrid w:val="0"/>
          <w:color w:val="000000"/>
          <w:spacing w:val="4"/>
          <w:kern w:val="0"/>
          <w:sz w:val="24"/>
        </w:rPr>
        <w:t>终结考</w:t>
      </w:r>
      <w:r>
        <w:rPr>
          <w:rFonts w:hint="eastAsia" w:ascii="宋体" w:hAnsi="宋体" w:eastAsia="宋体" w:cs="宋体"/>
          <w:color w:val="000000"/>
          <w:kern w:val="0"/>
          <w:sz w:val="24"/>
        </w:rPr>
        <w:t>评相结合的方法，强调过程考评的重要性。过程考核为开放性评价，由教师和学生共同参与考评，注重考核学生专业能力、方法能力和社会能力，鼓励同学间、小组间的相对评价和适度竞争：既着眼于对整个小组的评价，又要注意到个人在项目中所承担的角色、发挥的具体的作用及进步情况；</w:t>
      </w:r>
      <w:r>
        <w:rPr>
          <w:rFonts w:hint="eastAsia" w:ascii="宋体" w:hAnsi="宋体" w:eastAsia="宋体" w:cs="宋体"/>
          <w:snapToGrid w:val="0"/>
          <w:color w:val="000000"/>
          <w:spacing w:val="4"/>
          <w:kern w:val="0"/>
          <w:sz w:val="24"/>
        </w:rPr>
        <w:t>终结考</w:t>
      </w:r>
      <w:r>
        <w:rPr>
          <w:rFonts w:hint="eastAsia" w:ascii="宋体" w:hAnsi="宋体" w:eastAsia="宋体" w:cs="宋体"/>
          <w:color w:val="000000"/>
          <w:kern w:val="0"/>
          <w:sz w:val="24"/>
        </w:rPr>
        <w:t>评由教师进行考评，注重考核学生专业知识掌握情况、综合技能水平和职业行动完整性。</w:t>
      </w:r>
    </w:p>
    <w:p>
      <w:pPr>
        <w:widowControl/>
        <w:spacing w:beforeLines="50" w:afterLines="50" w:line="360" w:lineRule="auto"/>
        <w:jc w:val="center"/>
        <w:rPr>
          <w:rFonts w:ascii="宋体" w:hAnsi="宋体" w:eastAsia="宋体" w:cs="宋体"/>
          <w:color w:val="000000"/>
          <w:kern w:val="0"/>
          <w:sz w:val="24"/>
        </w:rPr>
      </w:pPr>
      <w:r>
        <w:rPr>
          <w:rFonts w:ascii="宋体" w:hAnsi="宋体" w:eastAsia="宋体" w:cs="宋体"/>
          <w:bCs/>
          <w:kern w:val="0"/>
          <w:sz w:val="24"/>
        </w:rPr>
        <w:t>表4.</w:t>
      </w:r>
      <w:r>
        <w:rPr>
          <w:rFonts w:hint="eastAsia" w:ascii="宋体" w:hAnsi="宋体" w:eastAsia="宋体" w:cs="宋体"/>
          <w:bCs/>
          <w:kern w:val="0"/>
          <w:sz w:val="24"/>
        </w:rPr>
        <w:t>4《无机化工生产技术》课程</w:t>
      </w:r>
      <w:r>
        <w:rPr>
          <w:rFonts w:ascii="宋体" w:hAnsi="宋体" w:eastAsia="宋体" w:cs="宋体"/>
          <w:bCs/>
          <w:kern w:val="0"/>
          <w:sz w:val="24"/>
        </w:rPr>
        <w:t>学生成绩评价表</w:t>
      </w:r>
    </w:p>
    <w:tbl>
      <w:tblPr>
        <w:tblStyle w:val="1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4"/>
        <w:gridCol w:w="1443"/>
        <w:gridCol w:w="1443"/>
        <w:gridCol w:w="1445"/>
        <w:gridCol w:w="1445"/>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tcPr>
          <w:p>
            <w:pPr>
              <w:widowControl/>
              <w:spacing w:line="360" w:lineRule="auto"/>
              <w:jc w:val="left"/>
              <w:rPr>
                <w:rFonts w:ascii="Times New Roman" w:hAnsi="Times New Roman" w:eastAsia="宋体" w:cs="Times New Roman"/>
                <w:color w:val="000000"/>
                <w:kern w:val="0"/>
                <w:szCs w:val="21"/>
              </w:rPr>
            </w:pPr>
            <w:r>
              <w:rPr>
                <w:rFonts w:ascii="Times New Roman" w:hAnsi="宋体" w:eastAsia="宋体" w:cs="Times New Roman"/>
                <w:b/>
                <w:bCs/>
                <w:color w:val="000000"/>
                <w:kern w:val="0"/>
                <w:szCs w:val="21"/>
              </w:rPr>
              <w:t>（</w:t>
            </w:r>
            <w:r>
              <w:rPr>
                <w:rFonts w:ascii="Times New Roman" w:hAnsi="Times New Roman" w:eastAsia="宋体" w:cs="Times New Roman"/>
                <w:b/>
                <w:bCs/>
                <w:color w:val="000000"/>
                <w:kern w:val="0"/>
                <w:szCs w:val="21"/>
              </w:rPr>
              <w:t>1</w:t>
            </w:r>
            <w:r>
              <w:rPr>
                <w:rFonts w:ascii="Times New Roman" w:hAnsi="宋体" w:eastAsia="宋体" w:cs="Times New Roman"/>
                <w:b/>
                <w:bCs/>
                <w:color w:val="000000"/>
                <w:kern w:val="0"/>
                <w:szCs w:val="21"/>
              </w:rPr>
              <w:t>）</w:t>
            </w:r>
            <w:r>
              <w:rPr>
                <w:rFonts w:ascii="Times New Roman" w:hAnsi="宋体" w:eastAsia="宋体" w:cs="Times New Roman"/>
                <w:b/>
                <w:bCs/>
                <w:kern w:val="0"/>
                <w:szCs w:val="21"/>
              </w:rPr>
              <w:t>学习任务过程评价（占</w:t>
            </w:r>
            <w:r>
              <w:rPr>
                <w:rFonts w:hint="eastAsia" w:ascii="Times New Roman" w:hAnsi="宋体" w:eastAsia="宋体" w:cs="Times New Roman"/>
                <w:b/>
                <w:bCs/>
                <w:kern w:val="0"/>
                <w:szCs w:val="21"/>
              </w:rPr>
              <w:t>8</w:t>
            </w:r>
            <w:r>
              <w:rPr>
                <w:rFonts w:ascii="Times New Roman" w:hAnsi="Times New Roman" w:eastAsia="宋体" w:cs="Times New Roman"/>
                <w:b/>
                <w:bCs/>
                <w:kern w:val="0"/>
                <w:szCs w:val="21"/>
              </w:rPr>
              <w:t>0%</w:t>
            </w:r>
            <w:r>
              <w:rPr>
                <w:rFonts w:ascii="Times New Roman" w:hAnsi="宋体" w:eastAsia="宋体" w:cs="Times New Roman"/>
                <w:b/>
                <w:bCs/>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7" w:type="dxa"/>
            <w:gridSpan w:val="2"/>
          </w:tcPr>
          <w:p>
            <w:pPr>
              <w:widowControl/>
              <w:spacing w:line="360" w:lineRule="auto"/>
              <w:jc w:val="center"/>
              <w:rPr>
                <w:rFonts w:ascii="Times New Roman" w:hAnsi="Times New Roman" w:eastAsia="宋体" w:cs="Times New Roman"/>
                <w:color w:val="000000"/>
                <w:kern w:val="0"/>
                <w:szCs w:val="21"/>
              </w:rPr>
            </w:pPr>
            <w:r>
              <w:rPr>
                <w:rFonts w:ascii="Times New Roman" w:hAnsi="宋体" w:eastAsia="宋体" w:cs="Times New Roman"/>
                <w:color w:val="000000"/>
                <w:kern w:val="0"/>
                <w:szCs w:val="21"/>
              </w:rPr>
              <w:t>知识考核（</w:t>
            </w:r>
            <w:r>
              <w:rPr>
                <w:rFonts w:ascii="Times New Roman" w:hAnsi="Times New Roman" w:eastAsia="宋体" w:cs="Times New Roman"/>
                <w:color w:val="000000"/>
                <w:kern w:val="0"/>
                <w:szCs w:val="21"/>
              </w:rPr>
              <w:t>20%</w:t>
            </w:r>
            <w:r>
              <w:rPr>
                <w:rFonts w:ascii="Times New Roman" w:hAnsi="宋体" w:eastAsia="宋体" w:cs="Times New Roman"/>
                <w:color w:val="000000"/>
                <w:kern w:val="0"/>
                <w:szCs w:val="21"/>
              </w:rPr>
              <w:t>）</w:t>
            </w:r>
          </w:p>
        </w:tc>
        <w:tc>
          <w:tcPr>
            <w:tcW w:w="2888" w:type="dxa"/>
            <w:gridSpan w:val="2"/>
          </w:tcPr>
          <w:p>
            <w:pPr>
              <w:widowControl/>
              <w:spacing w:line="360" w:lineRule="auto"/>
              <w:jc w:val="center"/>
              <w:rPr>
                <w:rFonts w:ascii="Times New Roman" w:hAnsi="Times New Roman" w:eastAsia="宋体" w:cs="Times New Roman"/>
                <w:color w:val="000000"/>
                <w:kern w:val="0"/>
                <w:szCs w:val="21"/>
              </w:rPr>
            </w:pPr>
            <w:r>
              <w:rPr>
                <w:rFonts w:ascii="Times New Roman" w:hAnsi="宋体" w:eastAsia="宋体" w:cs="Times New Roman"/>
                <w:color w:val="000000"/>
                <w:kern w:val="0"/>
                <w:szCs w:val="21"/>
              </w:rPr>
              <w:t>技能考核（</w:t>
            </w:r>
            <w:r>
              <w:rPr>
                <w:rFonts w:ascii="Times New Roman" w:hAnsi="Times New Roman" w:eastAsia="宋体" w:cs="Times New Roman"/>
                <w:color w:val="000000"/>
                <w:kern w:val="0"/>
                <w:szCs w:val="21"/>
              </w:rPr>
              <w:t>30%</w:t>
            </w:r>
            <w:r>
              <w:rPr>
                <w:rFonts w:ascii="Times New Roman" w:hAnsi="宋体" w:eastAsia="宋体" w:cs="Times New Roman"/>
                <w:color w:val="000000"/>
                <w:kern w:val="0"/>
                <w:szCs w:val="21"/>
              </w:rPr>
              <w:t>）</w:t>
            </w:r>
          </w:p>
        </w:tc>
        <w:tc>
          <w:tcPr>
            <w:tcW w:w="2747" w:type="dxa"/>
            <w:gridSpan w:val="2"/>
          </w:tcPr>
          <w:p>
            <w:pPr>
              <w:widowControl/>
              <w:spacing w:line="360" w:lineRule="auto"/>
              <w:jc w:val="center"/>
              <w:rPr>
                <w:rFonts w:ascii="Times New Roman" w:hAnsi="Times New Roman" w:eastAsia="宋体" w:cs="Times New Roman"/>
                <w:color w:val="000000"/>
                <w:kern w:val="0"/>
                <w:szCs w:val="21"/>
              </w:rPr>
            </w:pPr>
            <w:r>
              <w:rPr>
                <w:rFonts w:ascii="Times New Roman" w:hAnsi="宋体" w:eastAsia="宋体" w:cs="Times New Roman"/>
                <w:color w:val="000000"/>
                <w:kern w:val="0"/>
                <w:szCs w:val="21"/>
              </w:rPr>
              <w:t>态度考核（</w:t>
            </w:r>
            <w:r>
              <w:rPr>
                <w:rFonts w:ascii="Times New Roman" w:hAnsi="Times New Roman" w:eastAsia="宋体" w:cs="Times New Roman"/>
                <w:color w:val="000000"/>
                <w:kern w:val="0"/>
                <w:szCs w:val="21"/>
              </w:rPr>
              <w:t>20%</w:t>
            </w:r>
            <w:r>
              <w:rPr>
                <w:rFonts w:ascii="Times New Roman" w:hAnsi="宋体" w:eastAsia="宋体" w:cs="Times New Roman"/>
                <w:color w:val="00000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widowControl/>
              <w:spacing w:line="360" w:lineRule="auto"/>
              <w:jc w:val="center"/>
              <w:rPr>
                <w:rFonts w:ascii="Times New Roman" w:hAnsi="Times New Roman" w:eastAsia="宋体" w:cs="Times New Roman"/>
                <w:color w:val="000000"/>
                <w:kern w:val="0"/>
                <w:szCs w:val="21"/>
              </w:rPr>
            </w:pPr>
            <w:r>
              <w:rPr>
                <w:rFonts w:ascii="Times New Roman" w:hAnsi="宋体" w:eastAsia="宋体" w:cs="Times New Roman"/>
                <w:color w:val="000000"/>
                <w:kern w:val="0"/>
                <w:szCs w:val="21"/>
              </w:rPr>
              <w:t>提问与讨论（</w:t>
            </w:r>
            <w:r>
              <w:rPr>
                <w:rFonts w:ascii="Times New Roman" w:hAnsi="Times New Roman" w:eastAsia="宋体" w:cs="Times New Roman"/>
                <w:color w:val="000000"/>
                <w:kern w:val="0"/>
                <w:szCs w:val="21"/>
              </w:rPr>
              <w:t>10%</w:t>
            </w:r>
            <w:r>
              <w:rPr>
                <w:rFonts w:ascii="Times New Roman" w:hAnsi="宋体" w:eastAsia="宋体" w:cs="Times New Roman"/>
                <w:color w:val="000000"/>
                <w:kern w:val="0"/>
                <w:szCs w:val="21"/>
              </w:rPr>
              <w:t>）</w:t>
            </w:r>
          </w:p>
        </w:tc>
        <w:tc>
          <w:tcPr>
            <w:tcW w:w="1443" w:type="dxa"/>
          </w:tcPr>
          <w:p>
            <w:pPr>
              <w:widowControl/>
              <w:spacing w:line="360" w:lineRule="auto"/>
              <w:jc w:val="center"/>
              <w:rPr>
                <w:rFonts w:ascii="Times New Roman" w:hAnsi="Times New Roman" w:eastAsia="宋体" w:cs="Times New Roman"/>
                <w:color w:val="000000"/>
                <w:kern w:val="0"/>
                <w:szCs w:val="21"/>
              </w:rPr>
            </w:pPr>
            <w:r>
              <w:rPr>
                <w:rFonts w:ascii="Times New Roman" w:hAnsi="宋体" w:eastAsia="宋体" w:cs="Times New Roman"/>
                <w:color w:val="000000"/>
                <w:kern w:val="0"/>
                <w:szCs w:val="21"/>
              </w:rPr>
              <w:t>作业</w:t>
            </w:r>
          </w:p>
          <w:p>
            <w:pPr>
              <w:widowControl/>
              <w:spacing w:line="360" w:lineRule="auto"/>
              <w:jc w:val="center"/>
              <w:rPr>
                <w:rFonts w:ascii="Times New Roman" w:hAnsi="Times New Roman" w:eastAsia="宋体" w:cs="Times New Roman"/>
                <w:color w:val="000000"/>
                <w:kern w:val="0"/>
                <w:szCs w:val="21"/>
              </w:rPr>
            </w:pPr>
            <w:r>
              <w:rPr>
                <w:rFonts w:ascii="Times New Roman" w:hAnsi="宋体" w:eastAsia="宋体" w:cs="Times New Roman"/>
                <w:color w:val="000000"/>
                <w:kern w:val="0"/>
                <w:szCs w:val="21"/>
              </w:rPr>
              <w:t>（</w:t>
            </w:r>
            <w:r>
              <w:rPr>
                <w:rFonts w:ascii="Times New Roman" w:hAnsi="Times New Roman" w:eastAsia="宋体" w:cs="Times New Roman"/>
                <w:color w:val="000000"/>
                <w:kern w:val="0"/>
                <w:szCs w:val="21"/>
              </w:rPr>
              <w:t>10%</w:t>
            </w:r>
            <w:r>
              <w:rPr>
                <w:rFonts w:ascii="Times New Roman" w:hAnsi="宋体" w:eastAsia="宋体" w:cs="Times New Roman"/>
                <w:color w:val="000000"/>
                <w:kern w:val="0"/>
                <w:szCs w:val="21"/>
              </w:rPr>
              <w:t>）</w:t>
            </w:r>
          </w:p>
        </w:tc>
        <w:tc>
          <w:tcPr>
            <w:tcW w:w="1443" w:type="dxa"/>
          </w:tcPr>
          <w:p>
            <w:pPr>
              <w:widowControl/>
              <w:spacing w:line="360" w:lineRule="auto"/>
              <w:jc w:val="center"/>
              <w:rPr>
                <w:rFonts w:ascii="Times New Roman" w:hAnsi="Times New Roman" w:eastAsia="宋体" w:cs="Times New Roman"/>
                <w:color w:val="000000"/>
                <w:kern w:val="0"/>
                <w:szCs w:val="21"/>
              </w:rPr>
            </w:pPr>
            <w:r>
              <w:rPr>
                <w:rFonts w:ascii="Times New Roman" w:hAnsi="宋体" w:eastAsia="宋体" w:cs="Times New Roman"/>
                <w:kern w:val="0"/>
                <w:szCs w:val="21"/>
              </w:rPr>
              <w:t>操作技能（</w:t>
            </w:r>
            <w:r>
              <w:rPr>
                <w:rFonts w:ascii="Times New Roman" w:hAnsi="Times New Roman" w:eastAsia="宋体" w:cs="Times New Roman"/>
                <w:kern w:val="0"/>
                <w:szCs w:val="21"/>
              </w:rPr>
              <w:t>15%</w:t>
            </w:r>
            <w:r>
              <w:rPr>
                <w:rFonts w:ascii="Times New Roman" w:hAnsi="宋体" w:eastAsia="宋体" w:cs="Times New Roman"/>
                <w:kern w:val="0"/>
                <w:szCs w:val="21"/>
              </w:rPr>
              <w:t>）</w:t>
            </w:r>
          </w:p>
        </w:tc>
        <w:tc>
          <w:tcPr>
            <w:tcW w:w="1445" w:type="dxa"/>
          </w:tcPr>
          <w:p>
            <w:pPr>
              <w:widowControl/>
              <w:spacing w:line="360" w:lineRule="auto"/>
              <w:jc w:val="center"/>
              <w:rPr>
                <w:rFonts w:ascii="Times New Roman" w:hAnsi="Times New Roman" w:eastAsia="宋体" w:cs="Times New Roman"/>
                <w:color w:val="000000"/>
                <w:kern w:val="0"/>
                <w:szCs w:val="21"/>
              </w:rPr>
            </w:pPr>
            <w:r>
              <w:rPr>
                <w:rFonts w:ascii="Times New Roman" w:hAnsi="宋体" w:eastAsia="宋体" w:cs="Times New Roman"/>
                <w:kern w:val="0"/>
                <w:szCs w:val="21"/>
              </w:rPr>
              <w:t>作品质量（</w:t>
            </w:r>
            <w:r>
              <w:rPr>
                <w:rFonts w:ascii="Times New Roman" w:hAnsi="Times New Roman" w:eastAsia="宋体" w:cs="Times New Roman"/>
                <w:kern w:val="0"/>
                <w:szCs w:val="21"/>
              </w:rPr>
              <w:t>15%</w:t>
            </w:r>
            <w:r>
              <w:rPr>
                <w:rFonts w:ascii="Times New Roman" w:hAnsi="宋体" w:eastAsia="宋体" w:cs="Times New Roman"/>
                <w:kern w:val="0"/>
                <w:szCs w:val="21"/>
              </w:rPr>
              <w:t>）</w:t>
            </w:r>
          </w:p>
        </w:tc>
        <w:tc>
          <w:tcPr>
            <w:tcW w:w="1445" w:type="dxa"/>
          </w:tcPr>
          <w:p>
            <w:pPr>
              <w:widowControl/>
              <w:spacing w:line="360" w:lineRule="auto"/>
              <w:jc w:val="center"/>
              <w:rPr>
                <w:rFonts w:ascii="Times New Roman" w:hAnsi="Times New Roman" w:eastAsia="宋体" w:cs="Times New Roman"/>
                <w:color w:val="000000"/>
                <w:kern w:val="0"/>
                <w:szCs w:val="21"/>
              </w:rPr>
            </w:pPr>
            <w:r>
              <w:rPr>
                <w:rFonts w:ascii="Times New Roman" w:hAnsi="宋体" w:eastAsia="宋体" w:cs="Times New Roman"/>
                <w:kern w:val="0"/>
                <w:szCs w:val="21"/>
              </w:rPr>
              <w:t>出勤纪律（</w:t>
            </w:r>
            <w:r>
              <w:rPr>
                <w:rFonts w:ascii="Times New Roman" w:hAnsi="Times New Roman" w:eastAsia="宋体" w:cs="Times New Roman"/>
                <w:kern w:val="0"/>
                <w:szCs w:val="21"/>
              </w:rPr>
              <w:t>10%</w:t>
            </w:r>
            <w:r>
              <w:rPr>
                <w:rFonts w:ascii="Times New Roman" w:hAnsi="宋体" w:eastAsia="宋体" w:cs="Times New Roman"/>
                <w:kern w:val="0"/>
                <w:szCs w:val="21"/>
              </w:rPr>
              <w:t>）</w:t>
            </w:r>
          </w:p>
        </w:tc>
        <w:tc>
          <w:tcPr>
            <w:tcW w:w="1302" w:type="dxa"/>
          </w:tcPr>
          <w:p>
            <w:pPr>
              <w:widowControl/>
              <w:spacing w:line="360" w:lineRule="auto"/>
              <w:jc w:val="center"/>
              <w:rPr>
                <w:rFonts w:ascii="Times New Roman" w:hAnsi="Times New Roman" w:eastAsia="宋体" w:cs="Times New Roman"/>
                <w:color w:val="000000"/>
                <w:kern w:val="0"/>
                <w:szCs w:val="21"/>
              </w:rPr>
            </w:pPr>
            <w:r>
              <w:rPr>
                <w:rFonts w:ascii="Times New Roman" w:hAnsi="宋体" w:eastAsia="宋体" w:cs="Times New Roman"/>
                <w:kern w:val="0"/>
                <w:szCs w:val="21"/>
              </w:rPr>
              <w:t>工作态度（</w:t>
            </w:r>
            <w:r>
              <w:rPr>
                <w:rFonts w:ascii="Times New Roman" w:hAnsi="Times New Roman" w:eastAsia="宋体" w:cs="Times New Roman"/>
                <w:kern w:val="0"/>
                <w:szCs w:val="21"/>
              </w:rPr>
              <w:t>10%</w:t>
            </w:r>
            <w:r>
              <w:rPr>
                <w:rFonts w:ascii="Times New Roman" w:hAnsi="宋体" w:eastAsia="宋体" w:cs="Times New Roman"/>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tcPr>
          <w:p>
            <w:pPr>
              <w:widowControl/>
              <w:spacing w:line="360" w:lineRule="auto"/>
              <w:jc w:val="left"/>
              <w:rPr>
                <w:rFonts w:ascii="Times New Roman" w:hAnsi="Times New Roman" w:eastAsia="宋体" w:cs="Times New Roman"/>
                <w:color w:val="000000"/>
                <w:kern w:val="0"/>
                <w:szCs w:val="21"/>
              </w:rPr>
            </w:pPr>
            <w:r>
              <w:rPr>
                <w:rFonts w:ascii="Times New Roman" w:hAnsi="宋体" w:eastAsia="宋体" w:cs="Times New Roman"/>
                <w:b/>
                <w:bCs/>
                <w:color w:val="000000"/>
                <w:kern w:val="0"/>
                <w:szCs w:val="21"/>
              </w:rPr>
              <w:t>（</w:t>
            </w:r>
            <w:r>
              <w:rPr>
                <w:rFonts w:ascii="Times New Roman" w:hAnsi="Times New Roman" w:eastAsia="宋体" w:cs="Times New Roman"/>
                <w:b/>
                <w:bCs/>
                <w:color w:val="000000"/>
                <w:kern w:val="0"/>
                <w:szCs w:val="21"/>
              </w:rPr>
              <w:t>2</w:t>
            </w:r>
            <w:r>
              <w:rPr>
                <w:rFonts w:ascii="Times New Roman" w:hAnsi="宋体" w:eastAsia="宋体" w:cs="Times New Roman"/>
                <w:b/>
                <w:bCs/>
                <w:color w:val="000000"/>
                <w:kern w:val="0"/>
                <w:szCs w:val="21"/>
              </w:rPr>
              <w:t>）</w:t>
            </w:r>
            <w:r>
              <w:rPr>
                <w:rFonts w:ascii="Times New Roman" w:hAnsi="宋体" w:eastAsia="宋体" w:cs="Times New Roman"/>
                <w:b/>
                <w:bCs/>
                <w:kern w:val="0"/>
                <w:szCs w:val="21"/>
              </w:rPr>
              <w:t>期末考试综合评价（占</w:t>
            </w:r>
            <w:r>
              <w:rPr>
                <w:rFonts w:hint="eastAsia" w:ascii="Times New Roman" w:hAnsi="Times New Roman" w:eastAsia="宋体" w:cs="Times New Roman"/>
                <w:b/>
                <w:bCs/>
                <w:kern w:val="0"/>
                <w:szCs w:val="21"/>
              </w:rPr>
              <w:t>2</w:t>
            </w:r>
            <w:r>
              <w:rPr>
                <w:rFonts w:ascii="Times New Roman" w:hAnsi="Times New Roman" w:eastAsia="宋体" w:cs="Times New Roman"/>
                <w:b/>
                <w:bCs/>
                <w:kern w:val="0"/>
                <w:szCs w:val="21"/>
              </w:rPr>
              <w:t>0%</w:t>
            </w:r>
            <w:r>
              <w:rPr>
                <w:rFonts w:ascii="Times New Roman" w:hAnsi="宋体" w:eastAsia="宋体" w:cs="Times New Roman"/>
                <w:b/>
                <w:bCs/>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tcPr>
          <w:p>
            <w:pPr>
              <w:widowControl/>
              <w:adjustRightInd w:val="0"/>
              <w:spacing w:line="360" w:lineRule="auto"/>
              <w:jc w:val="left"/>
              <w:rPr>
                <w:rFonts w:ascii="Times New Roman" w:hAnsi="Times New Roman" w:eastAsia="宋体" w:cs="Times New Roman"/>
                <w:color w:val="000000"/>
                <w:kern w:val="0"/>
                <w:szCs w:val="21"/>
              </w:rPr>
            </w:pPr>
            <w:r>
              <w:rPr>
                <w:rFonts w:ascii="Times New Roman" w:hAnsi="宋体" w:eastAsia="宋体" w:cs="Times New Roman"/>
                <w:kern w:val="0"/>
                <w:szCs w:val="21"/>
              </w:rPr>
              <w:t>学习任务过程评价中，确定知识目标考核、技能目标考核和态度目标考核三项合一的综合能力考核评价体系。依据工作任务的《评分标准》及学生在工作过程中的工具使用、操作技能、存在问题、阶段性作业、结果展示、讲解交流、组织纪律等进行专业能力综合考核。</w:t>
            </w:r>
          </w:p>
        </w:tc>
      </w:tr>
    </w:tbl>
    <w:p>
      <w:pPr>
        <w:adjustRightInd w:val="0"/>
        <w:snapToGrid w:val="0"/>
        <w:spacing w:beforeLines="50" w:line="360" w:lineRule="auto"/>
        <w:ind w:firstLine="480" w:firstLineChars="150"/>
        <w:rPr>
          <w:rFonts w:ascii="黑体" w:hAnsi="黑体" w:eastAsia="黑体" w:cs="Times New Roman"/>
          <w:sz w:val="32"/>
          <w:szCs w:val="32"/>
        </w:rPr>
      </w:pPr>
      <w:r>
        <w:rPr>
          <w:rFonts w:hint="eastAsia" w:ascii="黑体" w:hAnsi="黑体" w:eastAsia="黑体" w:cs="Times New Roman"/>
          <w:sz w:val="32"/>
          <w:szCs w:val="32"/>
        </w:rPr>
        <w:t>七、教学建议</w:t>
      </w:r>
    </w:p>
    <w:p>
      <w:pPr>
        <w:spacing w:line="360" w:lineRule="auto"/>
        <w:rPr>
          <w:rFonts w:ascii="宋体" w:hAnsi="宋体" w:eastAsia="宋体" w:cs="Times New Roman"/>
          <w:sz w:val="24"/>
        </w:rPr>
      </w:pPr>
      <w:r>
        <w:rPr>
          <w:rFonts w:hint="eastAsia" w:ascii="宋体" w:hAnsi="宋体" w:eastAsia="宋体" w:cs="Times New Roman"/>
          <w:sz w:val="24"/>
        </w:rPr>
        <w:t xml:space="preserve">    重视基础知识，加强学生的动手能力，借助现代化的教学手段，激发学生的学习兴趣，重视在教学过程中，激发和训练学生的创新思维，尽量与社会、生产生活相联系，培养学生的综合能力。</w:t>
      </w:r>
    </w:p>
    <w:p>
      <w:pPr>
        <w:adjustRightInd w:val="0"/>
        <w:snapToGrid w:val="0"/>
        <w:spacing w:beforeLines="50" w:line="360" w:lineRule="auto"/>
        <w:ind w:firstLine="480" w:firstLineChars="150"/>
        <w:rPr>
          <w:rFonts w:ascii="黑体" w:hAnsi="黑体" w:eastAsia="黑体" w:cs="Times New Roman"/>
          <w:sz w:val="32"/>
          <w:szCs w:val="32"/>
        </w:rPr>
      </w:pPr>
      <w:r>
        <w:rPr>
          <w:rFonts w:hint="eastAsia" w:ascii="黑体" w:hAnsi="黑体" w:eastAsia="黑体" w:cs="Times New Roman"/>
          <w:sz w:val="32"/>
          <w:szCs w:val="32"/>
        </w:rPr>
        <w:t>八、选用教材标及推荐教材和参考用书（或课程网站）</w:t>
      </w:r>
    </w:p>
    <w:bookmarkEnd w:id="82"/>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1.教材的选用</w:t>
      </w:r>
    </w:p>
    <w:p>
      <w:pPr>
        <w:widowControl/>
        <w:spacing w:line="360" w:lineRule="auto"/>
        <w:ind w:firstLine="120" w:firstLineChars="50"/>
        <w:rPr>
          <w:rFonts w:ascii="Times New Roman" w:hAnsi="Times New Roman" w:eastAsia="宋体" w:cs="宋体"/>
          <w:kern w:val="0"/>
          <w:sz w:val="24"/>
        </w:rPr>
      </w:pPr>
      <w:r>
        <w:rPr>
          <w:rFonts w:hint="eastAsia" w:ascii="Times New Roman" w:hAnsi="宋体" w:eastAsia="宋体" w:cs="宋体"/>
          <w:kern w:val="0"/>
          <w:sz w:val="24"/>
        </w:rPr>
        <w:t>在教材选用时要尽量选用理论实践一体化教材，教材内容涉及的概念讲解要深入浅出，并要配有大量实例分析，以使学生容易理解和掌握。在满足以上条件情况下，尽量选用设计新材料、新技术的新教材。</w:t>
      </w:r>
    </w:p>
    <w:p>
      <w:pPr>
        <w:spacing w:line="360" w:lineRule="auto"/>
        <w:ind w:firstLine="480" w:firstLineChars="200"/>
        <w:rPr>
          <w:rFonts w:ascii="Calibri" w:hAnsi="Calibri" w:eastAsia="宋体" w:cs="Times New Roman"/>
          <w:sz w:val="24"/>
        </w:rPr>
      </w:pPr>
      <w:r>
        <w:rPr>
          <w:rFonts w:ascii="Calibri" w:hAnsi="Calibri" w:eastAsia="宋体" w:cs="Times New Roman"/>
          <w:sz w:val="24"/>
        </w:rPr>
        <w:t>我们现在使用的主要教材是化学工业出版社出版的</w:t>
      </w:r>
      <w:r>
        <w:rPr>
          <w:rFonts w:hint="eastAsia" w:ascii="Calibri" w:hAnsi="Calibri" w:eastAsia="宋体" w:cs="Times New Roman"/>
          <w:sz w:val="24"/>
        </w:rPr>
        <w:t>由颜鑫</w:t>
      </w:r>
      <w:r>
        <w:rPr>
          <w:rFonts w:ascii="Calibri" w:hAnsi="Calibri" w:eastAsia="宋体" w:cs="Times New Roman"/>
          <w:sz w:val="24"/>
        </w:rPr>
        <w:t>等编写的《</w:t>
      </w:r>
      <w:r>
        <w:rPr>
          <w:rFonts w:hint="eastAsia" w:ascii="Calibri" w:hAnsi="Calibri" w:eastAsia="宋体" w:cs="Times New Roman"/>
          <w:sz w:val="24"/>
        </w:rPr>
        <w:t>无机化工生产技术与操作</w:t>
      </w:r>
      <w:r>
        <w:rPr>
          <w:rFonts w:ascii="Calibri" w:hAnsi="Calibri" w:eastAsia="宋体" w:cs="Times New Roman"/>
          <w:sz w:val="24"/>
        </w:rPr>
        <w:t>》，该书是</w:t>
      </w:r>
      <w:r>
        <w:rPr>
          <w:rFonts w:hint="eastAsia" w:ascii="Calibri" w:hAnsi="Calibri" w:eastAsia="宋体" w:cs="Times New Roman"/>
          <w:sz w:val="24"/>
        </w:rPr>
        <w:t>中国石油和化学工业行业</w:t>
      </w:r>
      <w:r>
        <w:rPr>
          <w:rFonts w:ascii="Calibri" w:hAnsi="宋体" w:eastAsia="宋体" w:cs="Times New Roman"/>
          <w:sz w:val="24"/>
        </w:rPr>
        <w:t>规划教材，是一本以素质为基础，以能力为主线，以培养创新意识和实践能力为重点的教材。</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2.参考教材及网络资源</w:t>
      </w:r>
    </w:p>
    <w:p>
      <w:pPr>
        <w:spacing w:line="360" w:lineRule="auto"/>
        <w:ind w:firstLine="420" w:firstLineChars="175"/>
        <w:rPr>
          <w:rFonts w:ascii="Calibri" w:hAnsi="宋体" w:eastAsia="宋体" w:cs="Times New Roman"/>
          <w:sz w:val="24"/>
        </w:rPr>
      </w:pPr>
      <w:r>
        <w:rPr>
          <w:rFonts w:hint="eastAsia" w:ascii="Calibri" w:hAnsi="宋体" w:eastAsia="宋体" w:cs="Times New Roman"/>
          <w:sz w:val="24"/>
        </w:rPr>
        <w:t>《无机化工生产技术》</w:t>
      </w:r>
      <w:r>
        <w:rPr>
          <w:rFonts w:hint="eastAsia" w:ascii="Calibri" w:hAnsi="Calibri" w:eastAsia="宋体" w:cs="Times New Roman"/>
          <w:sz w:val="24"/>
        </w:rPr>
        <w:t>,</w:t>
      </w:r>
      <w:r>
        <w:rPr>
          <w:rFonts w:hint="eastAsia" w:ascii="Calibri" w:hAnsi="宋体" w:eastAsia="宋体" w:cs="Times New Roman"/>
          <w:sz w:val="24"/>
        </w:rPr>
        <w:t>郑广俭编著</w:t>
      </w:r>
      <w:r>
        <w:rPr>
          <w:rFonts w:hint="eastAsia" w:ascii="Calibri" w:hAnsi="Calibri" w:eastAsia="宋体" w:cs="Times New Roman"/>
          <w:sz w:val="24"/>
        </w:rPr>
        <w:t>,</w:t>
      </w:r>
      <w:r>
        <w:rPr>
          <w:rFonts w:hint="eastAsia" w:ascii="Calibri" w:hAnsi="宋体" w:eastAsia="宋体" w:cs="Times New Roman"/>
          <w:sz w:val="24"/>
        </w:rPr>
        <w:t>化学工业出版社</w:t>
      </w:r>
      <w:r>
        <w:rPr>
          <w:rFonts w:hint="eastAsia" w:ascii="Calibri" w:hAnsi="Calibri" w:eastAsia="宋体" w:cs="Times New Roman"/>
          <w:sz w:val="24"/>
        </w:rPr>
        <w:t xml:space="preserve">,2010 </w:t>
      </w:r>
      <w:r>
        <w:rPr>
          <w:rFonts w:hint="eastAsia" w:ascii="Calibri" w:hAnsi="宋体" w:eastAsia="宋体" w:cs="Times New Roman"/>
          <w:sz w:val="24"/>
        </w:rPr>
        <w:t>年</w:t>
      </w:r>
      <w:r>
        <w:rPr>
          <w:rFonts w:hint="eastAsia" w:ascii="Calibri" w:hAnsi="Calibri" w:eastAsia="宋体" w:cs="Times New Roman"/>
          <w:sz w:val="24"/>
        </w:rPr>
        <w:t>,</w:t>
      </w:r>
      <w:r>
        <w:rPr>
          <w:rFonts w:hint="eastAsia" w:ascii="Calibri" w:hAnsi="宋体" w:eastAsia="宋体" w:cs="Times New Roman"/>
          <w:sz w:val="24"/>
        </w:rPr>
        <w:t>第</w:t>
      </w:r>
      <w:r>
        <w:rPr>
          <w:rFonts w:hint="eastAsia" w:ascii="Calibri" w:hAnsi="Calibri" w:eastAsia="宋体" w:cs="Times New Roman"/>
          <w:sz w:val="24"/>
        </w:rPr>
        <w:t xml:space="preserve">2 </w:t>
      </w:r>
      <w:r>
        <w:rPr>
          <w:rFonts w:hint="eastAsia" w:ascii="Calibri" w:hAnsi="宋体" w:eastAsia="宋体" w:cs="Times New Roman"/>
          <w:sz w:val="24"/>
        </w:rPr>
        <w:t>版</w:t>
      </w:r>
    </w:p>
    <w:p>
      <w:pPr>
        <w:spacing w:line="360" w:lineRule="auto"/>
        <w:ind w:firstLine="367" w:firstLineChars="175"/>
        <w:rPr>
          <w:rFonts w:ascii="Calibri" w:hAnsi="Calibri" w:eastAsia="宋体" w:cs="Times New Roman"/>
          <w:szCs w:val="22"/>
        </w:rPr>
      </w:pPr>
      <w:r>
        <w:fldChar w:fldCharType="begin"/>
      </w:r>
      <w:r>
        <w:instrText xml:space="preserve"> HYPERLINK "http://jpkc.hgzyxy.com/wjhgscjs/default.asp" </w:instrText>
      </w:r>
      <w:r>
        <w:fldChar w:fldCharType="separate"/>
      </w:r>
      <w:r>
        <w:rPr>
          <w:rFonts w:ascii="Calibri" w:hAnsi="Calibri" w:eastAsia="宋体" w:cs="Times New Roman"/>
          <w:color w:val="333333"/>
          <w:szCs w:val="22"/>
        </w:rPr>
        <w:t>http://jpkc.hgzyxy.com/wjhgscjs/default.asp</w:t>
      </w:r>
      <w:r>
        <w:rPr>
          <w:rFonts w:ascii="Calibri" w:hAnsi="Calibri" w:eastAsia="宋体" w:cs="Times New Roman"/>
          <w:color w:val="333333"/>
          <w:szCs w:val="22"/>
        </w:rPr>
        <w:fldChar w:fldCharType="end"/>
      </w:r>
    </w:p>
    <w:p>
      <w:pPr>
        <w:spacing w:line="360" w:lineRule="auto"/>
        <w:ind w:firstLine="367" w:firstLineChars="175"/>
        <w:rPr>
          <w:rFonts w:ascii="Calibri" w:hAnsi="Calibri" w:eastAsia="宋体" w:cs="Times New Roman"/>
          <w:szCs w:val="22"/>
        </w:rPr>
      </w:pPr>
    </w:p>
    <w:p>
      <w:pPr>
        <w:keepNext/>
        <w:keepLines/>
        <w:adjustRightInd w:val="0"/>
        <w:spacing w:before="260" w:after="260" w:line="416" w:lineRule="atLeast"/>
        <w:ind w:firstLine="480" w:firstLineChars="150"/>
        <w:jc w:val="left"/>
        <w:outlineLvl w:val="1"/>
        <w:rPr>
          <w:rFonts w:ascii="Arial" w:hAnsi="Arial" w:eastAsia="黑体" w:cs="Times New Roman"/>
          <w:bCs/>
          <w:sz w:val="32"/>
        </w:rPr>
      </w:pPr>
      <w:bookmarkStart w:id="83" w:name="_Toc22039"/>
      <w:bookmarkStart w:id="84" w:name="_Toc17278761"/>
      <w:r>
        <w:rPr>
          <w:rFonts w:hint="eastAsia" w:ascii="Arial" w:hAnsi="Arial" w:eastAsia="黑体" w:cs="Times New Roman"/>
          <w:bCs/>
          <w:sz w:val="32"/>
        </w:rPr>
        <w:t>《</w:t>
      </w:r>
      <w:r>
        <w:rPr>
          <w:rFonts w:ascii="Arial" w:hAnsi="Arial" w:eastAsia="黑体" w:cs="Times New Roman"/>
          <w:bCs/>
          <w:sz w:val="32"/>
        </w:rPr>
        <w:t>环境监测与分析</w:t>
      </w:r>
      <w:r>
        <w:rPr>
          <w:rFonts w:hint="eastAsia" w:ascii="Arial" w:hAnsi="Arial" w:eastAsia="黑体" w:cs="Times New Roman"/>
          <w:bCs/>
          <w:sz w:val="32"/>
        </w:rPr>
        <w:t>》核心课程标准</w:t>
      </w:r>
      <w:bookmarkEnd w:id="83"/>
      <w:bookmarkEnd w:id="84"/>
    </w:p>
    <w:tbl>
      <w:tblPr>
        <w:tblStyle w:val="18"/>
        <w:tblW w:w="8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2777"/>
        <w:gridCol w:w="126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eastAsia="宋体" w:cs="Times New Roman"/>
                <w:szCs w:val="21"/>
              </w:rPr>
            </w:pPr>
            <w:r>
              <w:rPr>
                <w:rFonts w:hint="eastAsia" w:ascii="宋体" w:hAnsi="宋体" w:eastAsia="宋体" w:cs="Times New Roman"/>
                <w:szCs w:val="21"/>
              </w:rPr>
              <w:t>课程编码</w:t>
            </w:r>
          </w:p>
        </w:tc>
        <w:tc>
          <w:tcPr>
            <w:tcW w:w="2777"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eastAsia="宋体" w:cs="Times New Roman"/>
                <w:szCs w:val="21"/>
              </w:rPr>
            </w:pPr>
          </w:p>
        </w:tc>
        <w:tc>
          <w:tcPr>
            <w:tcW w:w="1267"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eastAsia="宋体" w:cs="Times New Roman"/>
                <w:szCs w:val="21"/>
              </w:rPr>
            </w:pPr>
            <w:r>
              <w:rPr>
                <w:rFonts w:hint="eastAsia" w:ascii="宋体" w:hAnsi="宋体" w:eastAsia="宋体" w:cs="Times New Roman"/>
                <w:szCs w:val="21"/>
              </w:rPr>
              <w:t>课程类别</w:t>
            </w:r>
          </w:p>
        </w:tc>
        <w:tc>
          <w:tcPr>
            <w:tcW w:w="2844"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eastAsia="宋体" w:cs="Times New Roman"/>
                <w:szCs w:val="21"/>
              </w:rPr>
            </w:pPr>
            <w:r>
              <w:rPr>
                <w:rFonts w:hint="eastAsia" w:ascii="宋体" w:hAnsi="宋体" w:eastAsia="宋体" w:cs="宋体"/>
                <w:kern w:val="0"/>
                <w:szCs w:val="18"/>
              </w:rPr>
              <w:t>专业（技能）课程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eastAsia="宋体" w:cs="Times New Roman"/>
                <w:szCs w:val="21"/>
              </w:rPr>
            </w:pPr>
            <w:r>
              <w:rPr>
                <w:rFonts w:hint="eastAsia" w:ascii="宋体" w:hAnsi="宋体" w:eastAsia="宋体" w:cs="Times New Roman"/>
                <w:szCs w:val="21"/>
              </w:rPr>
              <w:t>计划学时</w:t>
            </w:r>
          </w:p>
        </w:tc>
        <w:tc>
          <w:tcPr>
            <w:tcW w:w="2777"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eastAsia="宋体" w:cs="Times New Roman"/>
                <w:szCs w:val="21"/>
              </w:rPr>
            </w:pPr>
            <w:r>
              <w:rPr>
                <w:rFonts w:hint="eastAsia" w:ascii="宋体" w:hAnsi="宋体" w:eastAsia="宋体" w:cs="Times New Roman"/>
                <w:szCs w:val="21"/>
              </w:rPr>
              <w:t>64</w:t>
            </w:r>
          </w:p>
        </w:tc>
        <w:tc>
          <w:tcPr>
            <w:tcW w:w="1267"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eastAsia="宋体" w:cs="Times New Roman"/>
                <w:szCs w:val="21"/>
              </w:rPr>
            </w:pPr>
            <w:r>
              <w:rPr>
                <w:rFonts w:hint="eastAsia" w:ascii="宋体" w:hAnsi="宋体" w:eastAsia="宋体" w:cs="Times New Roman"/>
                <w:szCs w:val="21"/>
              </w:rPr>
              <w:t>课程类型</w:t>
            </w:r>
          </w:p>
        </w:tc>
        <w:tc>
          <w:tcPr>
            <w:tcW w:w="2844"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eastAsia="宋体" w:cs="Times New Roman"/>
                <w:szCs w:val="21"/>
              </w:rPr>
            </w:pPr>
            <w:r>
              <w:rPr>
                <w:rFonts w:hint="eastAsia" w:ascii="宋体" w:hAnsi="宋体" w:eastAsia="宋体" w:cs="Times New Roman"/>
                <w:szCs w:val="21"/>
              </w:rPr>
              <w:t>B类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eastAsia="宋体" w:cs="Times New Roman"/>
                <w:szCs w:val="21"/>
              </w:rPr>
            </w:pPr>
            <w:r>
              <w:rPr>
                <w:rFonts w:hint="eastAsia" w:ascii="宋体" w:hAnsi="宋体" w:eastAsia="宋体" w:cs="Times New Roman"/>
                <w:szCs w:val="21"/>
              </w:rPr>
              <w:t>适用专业</w:t>
            </w:r>
          </w:p>
        </w:tc>
        <w:tc>
          <w:tcPr>
            <w:tcW w:w="2777"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eastAsia="宋体" w:cs="Times New Roman"/>
                <w:szCs w:val="21"/>
              </w:rPr>
            </w:pPr>
            <w:r>
              <w:rPr>
                <w:rFonts w:ascii="宋体" w:hAnsi="宋体" w:eastAsia="宋体" w:cs="Times New Roman"/>
                <w:szCs w:val="21"/>
              </w:rPr>
              <w:t>应用化工技术</w:t>
            </w:r>
          </w:p>
        </w:tc>
        <w:tc>
          <w:tcPr>
            <w:tcW w:w="1267"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eastAsia="宋体" w:cs="Times New Roman"/>
                <w:szCs w:val="21"/>
              </w:rPr>
            </w:pPr>
            <w:r>
              <w:rPr>
                <w:rFonts w:hint="eastAsia" w:ascii="宋体" w:hAnsi="宋体" w:eastAsia="宋体" w:cs="Times New Roman"/>
                <w:szCs w:val="21"/>
              </w:rPr>
              <w:t>课程性质</w:t>
            </w:r>
          </w:p>
        </w:tc>
        <w:tc>
          <w:tcPr>
            <w:tcW w:w="2844"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eastAsia="宋体" w:cs="Times New Roman"/>
                <w:szCs w:val="21"/>
              </w:rPr>
            </w:pPr>
            <w:r>
              <w:rPr>
                <w:rFonts w:hint="eastAsia" w:ascii="宋体" w:hAnsi="宋体" w:eastAsia="宋体" w:cs="宋体"/>
                <w:kern w:val="0"/>
                <w:szCs w:val="18"/>
              </w:rPr>
              <w:t>专业必修课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334"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eastAsia="宋体" w:cs="Times New Roman"/>
                <w:szCs w:val="21"/>
              </w:rPr>
            </w:pPr>
            <w:r>
              <w:rPr>
                <w:rFonts w:hint="eastAsia" w:ascii="宋体" w:hAnsi="宋体" w:eastAsia="宋体" w:cs="Times New Roman"/>
                <w:szCs w:val="21"/>
              </w:rPr>
              <w:t>开课学期</w:t>
            </w:r>
          </w:p>
        </w:tc>
        <w:tc>
          <w:tcPr>
            <w:tcW w:w="2777"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eastAsia="宋体" w:cs="Times New Roman"/>
                <w:szCs w:val="21"/>
              </w:rPr>
            </w:pPr>
            <w:r>
              <w:rPr>
                <w:rFonts w:hint="eastAsia" w:ascii="宋体" w:hAnsi="宋体" w:eastAsia="宋体" w:cs="Times New Roman"/>
                <w:szCs w:val="21"/>
              </w:rPr>
              <w:t>第3学期</w:t>
            </w:r>
          </w:p>
        </w:tc>
        <w:tc>
          <w:tcPr>
            <w:tcW w:w="1267"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eastAsia="宋体" w:cs="Times New Roman"/>
                <w:szCs w:val="21"/>
              </w:rPr>
            </w:pPr>
            <w:r>
              <w:rPr>
                <w:rFonts w:hint="eastAsia" w:ascii="宋体" w:hAnsi="宋体" w:eastAsia="宋体" w:cs="Times New Roman"/>
                <w:szCs w:val="21"/>
              </w:rPr>
              <w:t>学分</w:t>
            </w:r>
          </w:p>
        </w:tc>
        <w:tc>
          <w:tcPr>
            <w:tcW w:w="2844"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eastAsia="宋体" w:cs="Times New Roman"/>
                <w:szCs w:val="21"/>
              </w:rPr>
            </w:pPr>
            <w:r>
              <w:rPr>
                <w:rFonts w:hint="eastAsia" w:ascii="宋体" w:hAnsi="宋体" w:eastAsia="宋体" w:cs="Times New Roman"/>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eastAsia="宋体" w:cs="Times New Roman"/>
                <w:szCs w:val="21"/>
              </w:rPr>
            </w:pPr>
            <w:r>
              <w:rPr>
                <w:rFonts w:hint="eastAsia" w:ascii="宋体" w:hAnsi="宋体" w:eastAsia="宋体" w:cs="Times New Roman"/>
                <w:szCs w:val="21"/>
              </w:rPr>
              <w:t>先行课程</w:t>
            </w:r>
          </w:p>
        </w:tc>
        <w:tc>
          <w:tcPr>
            <w:tcW w:w="2777"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eastAsia="宋体" w:cs="Times New Roman"/>
                <w:szCs w:val="21"/>
              </w:rPr>
            </w:pPr>
            <w:r>
              <w:rPr>
                <w:rFonts w:hint="eastAsia" w:ascii="宋体" w:hAnsi="宋体" w:eastAsia="宋体" w:cs="Times New Roman"/>
                <w:szCs w:val="21"/>
              </w:rPr>
              <w:t>基础化学、分析化学等</w:t>
            </w:r>
          </w:p>
        </w:tc>
        <w:tc>
          <w:tcPr>
            <w:tcW w:w="1267"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eastAsia="宋体" w:cs="Times New Roman"/>
                <w:szCs w:val="21"/>
              </w:rPr>
            </w:pPr>
            <w:r>
              <w:rPr>
                <w:rFonts w:hint="eastAsia" w:ascii="宋体" w:hAnsi="宋体" w:eastAsia="宋体" w:cs="Times New Roman"/>
                <w:szCs w:val="21"/>
              </w:rPr>
              <w:t>开课单位</w:t>
            </w:r>
          </w:p>
        </w:tc>
        <w:tc>
          <w:tcPr>
            <w:tcW w:w="2844"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eastAsia="宋体" w:cs="Times New Roman"/>
                <w:szCs w:val="21"/>
              </w:rPr>
            </w:pPr>
            <w:r>
              <w:rPr>
                <w:rFonts w:hint="eastAsia" w:ascii="宋体" w:hAnsi="宋体" w:eastAsia="宋体" w:cs="Times New Roman"/>
                <w:szCs w:val="21"/>
              </w:rPr>
              <w:t>化工系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eastAsia="宋体" w:cs="Times New Roman"/>
                <w:szCs w:val="21"/>
              </w:rPr>
            </w:pPr>
            <w:r>
              <w:rPr>
                <w:rFonts w:hint="eastAsia" w:ascii="宋体" w:hAnsi="宋体" w:eastAsia="宋体" w:cs="Times New Roman"/>
                <w:szCs w:val="21"/>
              </w:rPr>
              <w:t>平行课程</w:t>
            </w:r>
          </w:p>
        </w:tc>
        <w:tc>
          <w:tcPr>
            <w:tcW w:w="2777"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eastAsia="宋体" w:cs="Times New Roman"/>
                <w:szCs w:val="21"/>
              </w:rPr>
            </w:pPr>
            <w:r>
              <w:rPr>
                <w:rFonts w:hint="eastAsia" w:ascii="宋体" w:hAnsi="宋体" w:eastAsia="宋体" w:cs="Times New Roman"/>
                <w:szCs w:val="21"/>
              </w:rPr>
              <w:t>化工环境保护概论等</w:t>
            </w:r>
          </w:p>
        </w:tc>
        <w:tc>
          <w:tcPr>
            <w:tcW w:w="1267"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eastAsia="宋体" w:cs="Times New Roman"/>
                <w:szCs w:val="21"/>
              </w:rPr>
            </w:pPr>
            <w:r>
              <w:rPr>
                <w:rFonts w:hint="eastAsia" w:ascii="宋体" w:hAnsi="宋体" w:eastAsia="宋体" w:cs="Times New Roman"/>
                <w:szCs w:val="21"/>
              </w:rPr>
              <w:t>考核类型</w:t>
            </w:r>
          </w:p>
        </w:tc>
        <w:tc>
          <w:tcPr>
            <w:tcW w:w="2844"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eastAsia="宋体" w:cs="Times New Roman"/>
                <w:szCs w:val="21"/>
              </w:rPr>
            </w:pPr>
            <w:r>
              <w:rPr>
                <w:rFonts w:hint="eastAsia" w:ascii="宋体" w:hAnsi="宋体" w:eastAsia="宋体" w:cs="Times New Roman"/>
                <w:szCs w:val="21"/>
              </w:rPr>
              <w:t>考试+实践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eastAsia="宋体" w:cs="Times New Roman"/>
                <w:szCs w:val="21"/>
              </w:rPr>
            </w:pPr>
            <w:r>
              <w:rPr>
                <w:rFonts w:hint="eastAsia" w:ascii="宋体" w:hAnsi="宋体" w:eastAsia="宋体" w:cs="Times New Roman"/>
                <w:szCs w:val="21"/>
              </w:rPr>
              <w:t>后继课程</w:t>
            </w:r>
          </w:p>
        </w:tc>
        <w:tc>
          <w:tcPr>
            <w:tcW w:w="6888" w:type="dxa"/>
            <w:gridSpan w:val="3"/>
            <w:tcBorders>
              <w:top w:val="single" w:color="auto" w:sz="4" w:space="0"/>
              <w:left w:val="single" w:color="auto" w:sz="4" w:space="0"/>
              <w:bottom w:val="single" w:color="auto" w:sz="4" w:space="0"/>
              <w:right w:val="single" w:color="auto" w:sz="4" w:space="0"/>
            </w:tcBorders>
          </w:tcPr>
          <w:p>
            <w:pPr>
              <w:spacing w:line="360" w:lineRule="auto"/>
              <w:rPr>
                <w:rFonts w:ascii="宋体" w:hAnsi="宋体" w:eastAsia="宋体" w:cs="Times New Roman"/>
                <w:szCs w:val="21"/>
              </w:rPr>
            </w:pPr>
            <w:r>
              <w:rPr>
                <w:rFonts w:hint="eastAsia" w:ascii="宋体" w:hAnsi="宋体" w:eastAsia="宋体" w:cs="Times New Roman"/>
                <w:szCs w:val="21"/>
              </w:rPr>
              <w:t>煤质分析，无机化工生产技术等</w:t>
            </w:r>
          </w:p>
        </w:tc>
      </w:tr>
    </w:tbl>
    <w:p>
      <w:pPr>
        <w:adjustRightInd w:val="0"/>
        <w:snapToGrid w:val="0"/>
        <w:spacing w:beforeLines="50" w:line="360" w:lineRule="auto"/>
        <w:ind w:firstLine="640" w:firstLineChars="200"/>
        <w:rPr>
          <w:rFonts w:ascii="宋体" w:hAnsi="宋体" w:eastAsia="宋体" w:cs="Times New Roman"/>
          <w:sz w:val="24"/>
        </w:rPr>
      </w:pPr>
      <w:r>
        <w:rPr>
          <w:rFonts w:hint="eastAsia" w:ascii="黑体" w:hAnsi="黑体" w:eastAsia="黑体" w:cs="Times New Roman"/>
          <w:sz w:val="32"/>
          <w:szCs w:val="32"/>
        </w:rPr>
        <w:t>一、课程性质与定位</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环境监测与分析》课程是工业分析技术专业中的核心课程。课程符合高技能人才培养目标和专业职业岗位的任职要求，对学生职业能力培养和职业素质养成起重要支撑作用。通过本课程的学习，学生能够掌握各种介质污染物测定的基本方法和原理，具备环境污染监测工的基本技能，具有污染物监测方案制定、样品采集、分析测试和数据处理的专业实践能力，可以培养学生解决环境监测实际问题的职业能力，为学生毕业后从事环境监测、工业分析岗位奠定基础。</w:t>
      </w:r>
    </w:p>
    <w:p>
      <w:pPr>
        <w:spacing w:line="360" w:lineRule="auto"/>
        <w:ind w:firstLine="480" w:firstLineChars="200"/>
        <w:rPr>
          <w:rFonts w:ascii="&amp;quot" w:hAnsi="&amp;quot" w:eastAsia="&amp;quot" w:cs="&amp;quot"/>
          <w:color w:val="333333"/>
          <w:sz w:val="24"/>
        </w:rPr>
      </w:pPr>
      <w:r>
        <w:rPr>
          <w:rFonts w:ascii="宋体" w:hAnsi="宋体" w:eastAsia="宋体" w:cs="Times New Roman"/>
          <w:sz w:val="24"/>
        </w:rPr>
        <w:t>本课程在专业培养目标中的定位为：在大学生中普及环保知识和环保素质教育</w:t>
      </w:r>
      <w:r>
        <w:rPr>
          <w:rFonts w:hint="eastAsia" w:ascii="宋体" w:hAnsi="宋体" w:eastAsia="宋体" w:cs="Times New Roman"/>
          <w:sz w:val="24"/>
        </w:rPr>
        <w:t>；</w:t>
      </w:r>
      <w:r>
        <w:rPr>
          <w:rFonts w:ascii="宋体" w:hAnsi="宋体" w:eastAsia="宋体" w:cs="Times New Roman"/>
          <w:sz w:val="24"/>
        </w:rPr>
        <w:t>加强学生的环保意识和人文精神</w:t>
      </w:r>
      <w:r>
        <w:rPr>
          <w:rFonts w:hint="eastAsia" w:ascii="宋体" w:hAnsi="宋体" w:eastAsia="宋体" w:cs="Times New Roman"/>
          <w:sz w:val="24"/>
        </w:rPr>
        <w:t>；</w:t>
      </w:r>
      <w:r>
        <w:rPr>
          <w:rFonts w:ascii="宋体" w:hAnsi="宋体" w:eastAsia="宋体" w:cs="Times New Roman"/>
          <w:sz w:val="24"/>
        </w:rPr>
        <w:t>提高学生解决自己所学专业中环境污染问题的能力</w:t>
      </w:r>
      <w:r>
        <w:rPr>
          <w:rFonts w:hint="eastAsia" w:ascii="宋体" w:hAnsi="宋体" w:eastAsia="宋体" w:cs="宋体"/>
          <w:color w:val="333333"/>
          <w:sz w:val="24"/>
        </w:rPr>
        <w:t>。</w:t>
      </w:r>
    </w:p>
    <w:p>
      <w:pPr>
        <w:adjustRightInd w:val="0"/>
        <w:snapToGrid w:val="0"/>
        <w:spacing w:beforeLines="50" w:line="360" w:lineRule="auto"/>
        <w:ind w:firstLine="640" w:firstLineChars="200"/>
        <w:rPr>
          <w:rFonts w:ascii="黑体" w:hAnsi="黑体" w:eastAsia="黑体" w:cs="Times New Roman"/>
          <w:sz w:val="32"/>
          <w:szCs w:val="32"/>
        </w:rPr>
      </w:pPr>
      <w:r>
        <w:rPr>
          <w:rFonts w:hint="eastAsia" w:ascii="黑体" w:hAnsi="黑体" w:eastAsia="黑体" w:cs="Times New Roman"/>
          <w:sz w:val="32"/>
          <w:szCs w:val="32"/>
        </w:rPr>
        <w:t>二、课程设计理念</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《环境监测与分析》课程在专业核心课程体系中处于承上启下的重要地位。</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1.</w:t>
      </w:r>
      <w:r>
        <w:rPr>
          <w:rFonts w:ascii="宋体" w:hAnsi="宋体" w:eastAsia="宋体" w:cs="Times New Roman"/>
          <w:sz w:val="24"/>
        </w:rPr>
        <w:t xml:space="preserve">理论教学与实践教学相结合，以实践教学为中心，重点培养学生的职业能力 </w:t>
      </w:r>
    </w:p>
    <w:p>
      <w:pPr>
        <w:spacing w:line="360" w:lineRule="auto"/>
        <w:ind w:firstLine="480" w:firstLineChars="200"/>
        <w:rPr>
          <w:rFonts w:ascii="宋体" w:hAnsi="宋体" w:eastAsia="宋体" w:cs="Times New Roman"/>
          <w:sz w:val="24"/>
        </w:rPr>
      </w:pPr>
      <w:r>
        <w:rPr>
          <w:rFonts w:ascii="宋体" w:hAnsi="宋体" w:eastAsia="宋体" w:cs="Times New Roman"/>
          <w:sz w:val="24"/>
        </w:rPr>
        <w:t xml:space="preserve">本课程采用理论与实操一体化教学，理论与实操紧密联系，环环相扣，将理论与实操对应起来，使理论真正起到指导实操的作用。传统教学重理论轻实践实训，改革后的本课程侧重实训实操教学，强调学生职业能力与动手能力的培养。理论教学围绕实操转，教学以学生职业能力为根本，以学生职业能力的培养引领教学全过程。 </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2.</w:t>
      </w:r>
      <w:r>
        <w:rPr>
          <w:rFonts w:ascii="宋体" w:hAnsi="宋体" w:eastAsia="宋体" w:cs="Times New Roman"/>
          <w:sz w:val="24"/>
        </w:rPr>
        <w:t xml:space="preserve">采用项目教学与任务驱动教学法相结合的方式进行教学 </w:t>
      </w:r>
    </w:p>
    <w:p>
      <w:pPr>
        <w:spacing w:line="360" w:lineRule="auto"/>
        <w:ind w:firstLine="480" w:firstLineChars="200"/>
        <w:rPr>
          <w:rFonts w:ascii="宋体" w:hAnsi="宋体" w:eastAsia="宋体" w:cs="Times New Roman"/>
          <w:sz w:val="24"/>
        </w:rPr>
      </w:pPr>
      <w:r>
        <w:rPr>
          <w:rFonts w:ascii="宋体" w:hAnsi="宋体" w:eastAsia="宋体" w:cs="Times New Roman"/>
          <w:sz w:val="24"/>
        </w:rPr>
        <w:t xml:space="preserve">本课程每一个工作任务都采取典型案例教学法，以项目为导向，以任务为驱动，以典型案例为基础。同时，本课程根据生产实际情况，把效果图的生产过程分解成许多具体的工作项目，先分项目技能进行学习，在熟悉各个项目技能的基础上再进行综合性项目训练。 </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3.</w:t>
      </w:r>
      <w:r>
        <w:rPr>
          <w:rFonts w:ascii="宋体" w:hAnsi="宋体" w:eastAsia="宋体" w:cs="Times New Roman"/>
          <w:sz w:val="24"/>
        </w:rPr>
        <w:t xml:space="preserve">坚持校企合作开发课程的理念 </w:t>
      </w:r>
    </w:p>
    <w:p>
      <w:pPr>
        <w:spacing w:line="360" w:lineRule="auto"/>
        <w:ind w:firstLine="480" w:firstLineChars="200"/>
        <w:rPr>
          <w:rFonts w:ascii="宋体" w:hAnsi="宋体" w:eastAsia="宋体" w:cs="Times New Roman"/>
          <w:sz w:val="24"/>
        </w:rPr>
      </w:pPr>
      <w:r>
        <w:rPr>
          <w:rFonts w:ascii="宋体" w:hAnsi="宋体" w:eastAsia="宋体" w:cs="Times New Roman"/>
          <w:sz w:val="24"/>
        </w:rPr>
        <w:t xml:space="preserve">本课程在设计与开发过程中始终坚持校企合作的理念，经常与北京四维益友公司在我校所建的校内实训基地——数字晋城实训基地保持合作与联系，还经常深入到晋城今日设计培训公司及其相关企业进行调查研究，实时掌握企业对3D效果图制作员人才的需求与任职要求，与企业一起研讨教学内容，探究教学方法，与企业合作开发设计课程。 </w:t>
      </w:r>
    </w:p>
    <w:p>
      <w:pPr>
        <w:pStyle w:val="32"/>
        <w:numPr>
          <w:ilvl w:val="0"/>
          <w:numId w:val="1"/>
        </w:numPr>
        <w:adjustRightInd w:val="0"/>
        <w:snapToGrid w:val="0"/>
        <w:spacing w:beforeLines="50" w:line="360" w:lineRule="auto"/>
        <w:ind w:firstLineChars="0"/>
        <w:rPr>
          <w:rFonts w:ascii="黑体" w:hAnsi="黑体" w:eastAsia="黑体" w:cs="Times New Roman"/>
          <w:sz w:val="32"/>
          <w:szCs w:val="32"/>
        </w:rPr>
      </w:pPr>
      <w:r>
        <w:rPr>
          <w:rFonts w:hint="eastAsia" w:ascii="黑体" w:hAnsi="黑体" w:eastAsia="黑体" w:cs="Times New Roman"/>
          <w:sz w:val="32"/>
          <w:szCs w:val="32"/>
        </w:rPr>
        <w:t>课程目标</w:t>
      </w:r>
    </w:p>
    <w:p>
      <w:pPr>
        <w:tabs>
          <w:tab w:val="right" w:leader="dot" w:pos="9000"/>
        </w:tabs>
        <w:spacing w:line="360" w:lineRule="auto"/>
        <w:ind w:left="420"/>
        <w:rPr>
          <w:rFonts w:ascii="宋体" w:hAnsi="宋体" w:eastAsia="宋体" w:cs="Times New Roman"/>
          <w:sz w:val="24"/>
        </w:rPr>
      </w:pPr>
      <w:r>
        <w:rPr>
          <w:rFonts w:hint="eastAsia" w:ascii="宋体" w:hAnsi="宋体" w:eastAsia="宋体" w:cs="Times New Roman"/>
          <w:sz w:val="24"/>
        </w:rPr>
        <w:t>1.专业知识目标</w:t>
      </w:r>
    </w:p>
    <w:p>
      <w:pPr>
        <w:widowControl/>
        <w:spacing w:line="480" w:lineRule="atLeast"/>
        <w:ind w:firstLine="480"/>
        <w:jc w:val="left"/>
        <w:textAlignment w:val="baseline"/>
        <w:rPr>
          <w:rFonts w:ascii="宋体" w:hAnsi="宋体" w:eastAsia="宋体" w:cs="Times New Roman"/>
          <w:sz w:val="24"/>
        </w:rPr>
      </w:pPr>
      <w:r>
        <w:rPr>
          <w:rFonts w:hint="eastAsia" w:ascii="宋体" w:hAnsi="宋体" w:eastAsia="宋体" w:cs="Times New Roman"/>
          <w:sz w:val="24"/>
        </w:rPr>
        <w:t>通过对该课程的学习，了解我国及世界所面临的环境问题，由此可知为何将环境保护作为我国的一项基本国策；了解可持续发展概念的提出及其思想实质，</w:t>
      </w:r>
      <w:r>
        <w:rPr>
          <w:rFonts w:ascii="宋体" w:hAnsi="宋体" w:eastAsia="宋体" w:cs="Times New Roman"/>
          <w:sz w:val="24"/>
        </w:rPr>
        <w:t xml:space="preserve">以及世界各国对可持续发展战略作出的努力；了解大气、水环境、海洋环境、声环境、固体废物和其他的污染现状、发展趋势以及提出的各种对策和防治措施；了解环境管理的基本内容和环境管理的技术支撑体系；了解ISO14000环境管理体系背景、框架以及运行模式和清洁生产的基本概念。 </w:t>
      </w:r>
    </w:p>
    <w:p>
      <w:pPr>
        <w:widowControl/>
        <w:spacing w:line="480" w:lineRule="atLeast"/>
        <w:ind w:firstLine="480"/>
        <w:jc w:val="left"/>
        <w:textAlignment w:val="baseline"/>
        <w:rPr>
          <w:rFonts w:ascii="宋体" w:hAnsi="宋体" w:eastAsia="宋体" w:cs="Times New Roman"/>
          <w:sz w:val="24"/>
        </w:rPr>
      </w:pPr>
      <w:r>
        <w:rPr>
          <w:rFonts w:ascii="宋体" w:hAnsi="宋体" w:eastAsia="宋体" w:cs="Times New Roman"/>
          <w:sz w:val="24"/>
        </w:rPr>
        <w:t xml:space="preserve">通过学习本课程同时使学生养成对待学习、生活和工作采取科学的态度，努力培养课程学习的兴趣，提高职业道德修养。 </w:t>
      </w:r>
    </w:p>
    <w:p>
      <w:pPr>
        <w:spacing w:line="360" w:lineRule="auto"/>
        <w:ind w:left="420" w:leftChars="200" w:firstLine="120" w:firstLineChars="50"/>
        <w:rPr>
          <w:rFonts w:ascii="宋体" w:hAnsi="宋体" w:eastAsia="宋体" w:cs="Times New Roman"/>
          <w:sz w:val="24"/>
        </w:rPr>
      </w:pPr>
      <w:r>
        <w:rPr>
          <w:rFonts w:hint="eastAsia" w:ascii="宋体" w:hAnsi="宋体" w:eastAsia="宋体" w:cs="Times New Roman"/>
          <w:sz w:val="24"/>
        </w:rPr>
        <w:t>2.方法能力目标</w:t>
      </w:r>
    </w:p>
    <w:p>
      <w:pPr>
        <w:widowControl/>
        <w:spacing w:line="480" w:lineRule="atLeast"/>
        <w:ind w:firstLine="480"/>
        <w:jc w:val="left"/>
        <w:textAlignment w:val="baseline"/>
        <w:rPr>
          <w:rFonts w:ascii="宋体" w:hAnsi="宋体" w:eastAsia="宋体" w:cs="Times New Roman"/>
          <w:sz w:val="24"/>
        </w:rPr>
      </w:pPr>
      <w:r>
        <w:rPr>
          <w:rFonts w:hint="eastAsia" w:ascii="宋体" w:hAnsi="宋体" w:eastAsia="宋体" w:cs="Times New Roman"/>
          <w:sz w:val="24"/>
        </w:rPr>
        <w:t>通过对该课程的学习，了解我国及世界所面临的环境问题，由此可知为何将环境保护作为我国的一项基本国策；了解可持续发展概念的提出及其思想实质，</w:t>
      </w:r>
      <w:r>
        <w:rPr>
          <w:rFonts w:ascii="宋体" w:hAnsi="宋体" w:eastAsia="宋体" w:cs="Times New Roman"/>
          <w:sz w:val="24"/>
        </w:rPr>
        <w:t>以及世界各国对可持续发展战略作出的努力；了解大气、水环境、海洋环境、声环境、固体废物和其他的污染现</w:t>
      </w:r>
      <w:r>
        <w:rPr>
          <w:rFonts w:hint="eastAsia" w:ascii="宋体" w:hAnsi="宋体" w:eastAsia="宋体" w:cs="Times New Roman"/>
          <w:sz w:val="24"/>
        </w:rPr>
        <w:t>：</w:t>
      </w:r>
    </w:p>
    <w:p>
      <w:pPr>
        <w:widowControl/>
        <w:spacing w:line="480" w:lineRule="atLeast"/>
        <w:ind w:firstLine="480"/>
        <w:jc w:val="left"/>
        <w:textAlignment w:val="baseline"/>
        <w:rPr>
          <w:rFonts w:ascii="宋体" w:hAnsi="宋体" w:eastAsia="宋体" w:cs="Times New Roman"/>
          <w:sz w:val="24"/>
        </w:rPr>
      </w:pPr>
      <w:r>
        <w:rPr>
          <w:rFonts w:ascii="宋体" w:hAnsi="宋体" w:eastAsia="宋体" w:cs="Times New Roman"/>
          <w:sz w:val="24"/>
        </w:rPr>
        <w:t xml:space="preserve">（1）使学生在人类对环境与发展的关系上有所认识，了解当前世界的环境问题及其对人类的危害。 </w:t>
      </w:r>
    </w:p>
    <w:p>
      <w:pPr>
        <w:widowControl/>
        <w:spacing w:line="480" w:lineRule="atLeast"/>
        <w:ind w:firstLine="480"/>
        <w:jc w:val="left"/>
        <w:textAlignment w:val="baseline"/>
        <w:rPr>
          <w:rFonts w:ascii="宋体" w:hAnsi="宋体" w:eastAsia="宋体" w:cs="Times New Roman"/>
          <w:sz w:val="24"/>
        </w:rPr>
      </w:pPr>
      <w:r>
        <w:rPr>
          <w:rFonts w:ascii="宋体" w:hAnsi="宋体" w:eastAsia="宋体" w:cs="Times New Roman"/>
          <w:sz w:val="24"/>
        </w:rPr>
        <w:t xml:space="preserve">（2）使学生了解可持续发展概念及其我国在生态系统、人口、资源、农业各方面的可持续发展战略方针。 </w:t>
      </w:r>
    </w:p>
    <w:p>
      <w:pPr>
        <w:widowControl/>
        <w:spacing w:line="480" w:lineRule="atLeast"/>
        <w:ind w:firstLine="480"/>
        <w:jc w:val="left"/>
        <w:textAlignment w:val="baseline"/>
        <w:rPr>
          <w:rFonts w:ascii="宋体" w:hAnsi="宋体" w:eastAsia="宋体" w:cs="Times New Roman"/>
          <w:sz w:val="24"/>
        </w:rPr>
      </w:pPr>
      <w:r>
        <w:rPr>
          <w:rFonts w:ascii="宋体" w:hAnsi="宋体" w:eastAsia="宋体" w:cs="Times New Roman"/>
          <w:sz w:val="24"/>
        </w:rPr>
        <w:t>（3）使学生掌握环境保护领域中的基本理论以及污染防治与控制技术。</w:t>
      </w:r>
    </w:p>
    <w:p>
      <w:pPr>
        <w:widowControl/>
        <w:spacing w:line="480" w:lineRule="atLeast"/>
        <w:ind w:firstLine="480"/>
        <w:jc w:val="left"/>
        <w:textAlignment w:val="baseline"/>
        <w:rPr>
          <w:rFonts w:ascii="宋体" w:hAnsi="宋体" w:eastAsia="宋体" w:cs="Times New Roman"/>
          <w:sz w:val="24"/>
        </w:rPr>
      </w:pPr>
      <w:r>
        <w:rPr>
          <w:rFonts w:ascii="宋体" w:hAnsi="宋体" w:eastAsia="宋体" w:cs="Times New Roman"/>
          <w:sz w:val="24"/>
        </w:rPr>
        <w:t xml:space="preserve">（4）使学生了解环境管理、环境监测等基础知识以及有关环境保护的法律、法规、政策与制度。 </w:t>
      </w:r>
    </w:p>
    <w:p>
      <w:pPr>
        <w:widowControl/>
        <w:spacing w:line="480" w:lineRule="atLeast"/>
        <w:ind w:firstLine="480"/>
        <w:jc w:val="left"/>
        <w:textAlignment w:val="baseline"/>
        <w:rPr>
          <w:rFonts w:ascii="宋体" w:hAnsi="宋体" w:eastAsia="宋体" w:cs="Times New Roman"/>
          <w:sz w:val="24"/>
        </w:rPr>
      </w:pPr>
      <w:r>
        <w:rPr>
          <w:rFonts w:ascii="宋体" w:hAnsi="宋体" w:eastAsia="宋体" w:cs="Times New Roman"/>
          <w:sz w:val="24"/>
        </w:rPr>
        <w:t xml:space="preserve">（5）使学生了解ISO14000系列标准与清洁生产。在教学内容上突出了对人类与环境关系的阐述，并且把可持续发展思想作为灵魂贯穿始终，以期培养学生高度的人类环境忧患意识和环境保护责任以及正确的环境伦理道德观。 </w:t>
      </w:r>
    </w:p>
    <w:p>
      <w:pPr>
        <w:widowControl/>
        <w:spacing w:line="480" w:lineRule="atLeast"/>
        <w:ind w:firstLine="600" w:firstLineChars="250"/>
        <w:jc w:val="left"/>
        <w:textAlignment w:val="baseline"/>
        <w:rPr>
          <w:rFonts w:ascii="宋体" w:hAnsi="宋体" w:eastAsia="宋体" w:cs="Times New Roman"/>
          <w:sz w:val="24"/>
        </w:rPr>
      </w:pPr>
      <w:r>
        <w:rPr>
          <w:rFonts w:hint="eastAsia" w:ascii="宋体" w:hAnsi="宋体" w:eastAsia="宋体" w:cs="Times New Roman"/>
          <w:sz w:val="24"/>
        </w:rPr>
        <w:t xml:space="preserve">3.社会能力目标 </w:t>
      </w:r>
    </w:p>
    <w:p>
      <w:pPr>
        <w:widowControl/>
        <w:spacing w:line="480" w:lineRule="atLeast"/>
        <w:ind w:firstLine="480"/>
        <w:jc w:val="left"/>
        <w:textAlignment w:val="baseline"/>
        <w:rPr>
          <w:rFonts w:ascii="宋体" w:hAnsi="宋体" w:eastAsia="宋体" w:cs="Times New Roman"/>
          <w:sz w:val="24"/>
        </w:rPr>
      </w:pPr>
      <w:r>
        <w:rPr>
          <w:rFonts w:hint="eastAsia" w:ascii="宋体" w:hAnsi="宋体" w:eastAsia="宋体" w:cs="Times New Roman"/>
          <w:sz w:val="24"/>
        </w:rPr>
        <w:t>（1）</w:t>
      </w:r>
      <w:r>
        <w:rPr>
          <w:rFonts w:ascii="宋体" w:hAnsi="宋体" w:eastAsia="宋体" w:cs="Times New Roman"/>
          <w:sz w:val="24"/>
        </w:rPr>
        <w:t xml:space="preserve">通过本课程的学习，使学生受到环境保护合和可持续发展观点的教育，培养学生具有一定评估环境质量和在本专业范围内处理和解决环境问题的能力，树立保护环境的道德观和可持续发展的世界观。 </w:t>
      </w:r>
    </w:p>
    <w:p>
      <w:pPr>
        <w:widowControl/>
        <w:spacing w:line="480" w:lineRule="atLeast"/>
        <w:ind w:firstLine="480"/>
        <w:jc w:val="left"/>
        <w:textAlignment w:val="baseline"/>
        <w:rPr>
          <w:rFonts w:ascii="宋体" w:hAnsi="宋体" w:eastAsia="宋体" w:cs="Times New Roman"/>
          <w:sz w:val="24"/>
        </w:rPr>
      </w:pPr>
      <w:r>
        <w:rPr>
          <w:rFonts w:hint="eastAsia" w:ascii="宋体" w:hAnsi="宋体" w:eastAsia="宋体" w:cs="Times New Roman"/>
          <w:sz w:val="24"/>
        </w:rPr>
        <w:t>（2）</w:t>
      </w:r>
      <w:r>
        <w:rPr>
          <w:rFonts w:ascii="宋体" w:hAnsi="宋体" w:eastAsia="宋体" w:cs="Times New Roman"/>
          <w:sz w:val="24"/>
        </w:rPr>
        <w:t>培养学生学会观察、勤于思考的学习作风；培养学生严谨、细致的工作作风；培养学生理论联系实际，综合应用能力。</w:t>
      </w:r>
    </w:p>
    <w:p>
      <w:pPr>
        <w:adjustRightInd w:val="0"/>
        <w:snapToGrid w:val="0"/>
        <w:spacing w:beforeLines="50" w:line="360" w:lineRule="auto"/>
        <w:ind w:firstLine="640" w:firstLineChars="200"/>
        <w:rPr>
          <w:rFonts w:ascii="黑体" w:hAnsi="黑体" w:eastAsia="黑体" w:cs="Times New Roman"/>
          <w:sz w:val="32"/>
          <w:szCs w:val="32"/>
        </w:rPr>
      </w:pPr>
      <w:r>
        <w:rPr>
          <w:rFonts w:hint="eastAsia" w:ascii="黑体" w:hAnsi="黑体" w:eastAsia="黑体" w:cs="Times New Roman"/>
          <w:sz w:val="32"/>
          <w:szCs w:val="32"/>
        </w:rPr>
        <w:t>四、课程教学内容及学时分配</w:t>
      </w:r>
    </w:p>
    <w:p>
      <w:pPr>
        <w:spacing w:line="440" w:lineRule="exact"/>
        <w:jc w:val="center"/>
        <w:rPr>
          <w:rFonts w:ascii="宋体" w:hAnsi="宋体" w:eastAsia="宋体" w:cs="Times New Roman"/>
          <w:sz w:val="24"/>
        </w:rPr>
      </w:pPr>
      <w:r>
        <w:rPr>
          <w:rFonts w:hint="eastAsia" w:ascii="宋体" w:hAnsi="宋体" w:eastAsia="宋体" w:cs="Times New Roman"/>
          <w:sz w:val="24"/>
        </w:rPr>
        <w:t>表4.5 《环境监测与分析》课程教学内容安排</w:t>
      </w:r>
    </w:p>
    <w:tbl>
      <w:tblPr>
        <w:tblStyle w:val="18"/>
        <w:tblW w:w="83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9"/>
        <w:gridCol w:w="3239"/>
        <w:gridCol w:w="3118"/>
        <w:gridCol w:w="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9" w:type="dxa"/>
            <w:vAlign w:val="center"/>
          </w:tcPr>
          <w:p>
            <w:pPr>
              <w:jc w:val="center"/>
              <w:rPr>
                <w:rFonts w:cs="Times New Roman" w:asciiTheme="minorEastAsia" w:hAnsiTheme="minorEastAsia"/>
                <w:b/>
                <w:bCs/>
                <w:szCs w:val="21"/>
              </w:rPr>
            </w:pPr>
            <w:r>
              <w:rPr>
                <w:rFonts w:hint="eastAsia" w:cs="Times New Roman" w:asciiTheme="minorEastAsia" w:hAnsiTheme="minorEastAsia"/>
                <w:b/>
                <w:bCs/>
                <w:szCs w:val="21"/>
              </w:rPr>
              <w:t>项目任务</w:t>
            </w:r>
          </w:p>
        </w:tc>
        <w:tc>
          <w:tcPr>
            <w:tcW w:w="3239" w:type="dxa"/>
            <w:vAlign w:val="center"/>
          </w:tcPr>
          <w:p>
            <w:pPr>
              <w:ind w:firstLine="422" w:firstLineChars="200"/>
              <w:jc w:val="center"/>
              <w:rPr>
                <w:rFonts w:cs="Times New Roman" w:asciiTheme="minorEastAsia" w:hAnsiTheme="minorEastAsia"/>
                <w:b/>
                <w:bCs/>
                <w:szCs w:val="21"/>
              </w:rPr>
            </w:pPr>
            <w:r>
              <w:rPr>
                <w:rFonts w:hint="eastAsia" w:cs="Times New Roman" w:asciiTheme="minorEastAsia" w:hAnsiTheme="minorEastAsia"/>
                <w:b/>
                <w:bCs/>
                <w:szCs w:val="21"/>
              </w:rPr>
              <w:t>学习情境描述及目标</w:t>
            </w:r>
          </w:p>
        </w:tc>
        <w:tc>
          <w:tcPr>
            <w:tcW w:w="3118" w:type="dxa"/>
            <w:vAlign w:val="center"/>
          </w:tcPr>
          <w:p>
            <w:pPr>
              <w:ind w:firstLine="422" w:firstLineChars="200"/>
              <w:jc w:val="center"/>
              <w:rPr>
                <w:rFonts w:cs="Times New Roman" w:asciiTheme="minorEastAsia" w:hAnsiTheme="minorEastAsia"/>
                <w:b/>
                <w:bCs/>
                <w:szCs w:val="21"/>
              </w:rPr>
            </w:pPr>
            <w:r>
              <w:rPr>
                <w:rFonts w:hint="eastAsia" w:cs="Times New Roman" w:asciiTheme="minorEastAsia" w:hAnsiTheme="minorEastAsia"/>
                <w:b/>
                <w:bCs/>
                <w:szCs w:val="21"/>
              </w:rPr>
              <w:t>学习内容</w:t>
            </w:r>
          </w:p>
        </w:tc>
        <w:tc>
          <w:tcPr>
            <w:tcW w:w="652" w:type="dxa"/>
            <w:vAlign w:val="center"/>
          </w:tcPr>
          <w:p>
            <w:pPr>
              <w:jc w:val="center"/>
              <w:rPr>
                <w:rFonts w:cs="Times New Roman" w:asciiTheme="minorEastAsia" w:hAnsiTheme="minorEastAsia"/>
                <w:b/>
                <w:bCs/>
                <w:szCs w:val="21"/>
              </w:rPr>
            </w:pPr>
            <w:r>
              <w:rPr>
                <w:rFonts w:hint="eastAsia" w:cs="Times New Roman" w:asciiTheme="minorEastAsia" w:hAnsiTheme="minorEastAsia"/>
                <w:b/>
                <w:bCs/>
                <w:szCs w:val="21"/>
              </w:rPr>
              <w:t>课时分配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9" w:type="dxa"/>
            <w:vAlign w:val="center"/>
          </w:tcPr>
          <w:p>
            <w:pPr>
              <w:widowControl/>
              <w:pBdr>
                <w:top w:val="none" w:color="000000" w:sz="0" w:space="0"/>
                <w:left w:val="none" w:color="000000" w:sz="0" w:space="0"/>
                <w:bottom w:val="none" w:color="000000" w:sz="0" w:space="0"/>
                <w:right w:val="none" w:color="000000" w:sz="0" w:space="0"/>
              </w:pBdr>
              <w:textAlignment w:val="baseline"/>
              <w:rPr>
                <w:rFonts w:ascii="仿宋_GB2312" w:hAnsi="仿宋_GB2312" w:eastAsia="仿宋_GB2312" w:cs="宋体"/>
                <w:kern w:val="0"/>
                <w:szCs w:val="21"/>
              </w:rPr>
            </w:pPr>
            <w:r>
              <w:rPr>
                <w:rFonts w:hint="eastAsia" w:ascii="宋体" w:hAnsi="宋体" w:eastAsia="宋体" w:cs="宋体"/>
                <w:color w:val="000000"/>
                <w:kern w:val="0"/>
              </w:rPr>
              <w:t>绪论</w:t>
            </w:r>
          </w:p>
        </w:tc>
        <w:tc>
          <w:tcPr>
            <w:tcW w:w="3239" w:type="dxa"/>
            <w:vAlign w:val="center"/>
          </w:tcPr>
          <w:p>
            <w:pPr>
              <w:widowControl/>
              <w:pBdr>
                <w:top w:val="none" w:color="000000" w:sz="0" w:space="0"/>
                <w:left w:val="none" w:color="000000" w:sz="0" w:space="0"/>
                <w:bottom w:val="none" w:color="000000" w:sz="0" w:space="0"/>
                <w:right w:val="none" w:color="000000" w:sz="0" w:space="0"/>
              </w:pBdr>
              <w:jc w:val="left"/>
              <w:textAlignment w:val="baseline"/>
              <w:rPr>
                <w:rFonts w:ascii="宋体" w:hAnsi="宋体" w:eastAsia="宋体" w:cs="宋体"/>
                <w:color w:val="000000"/>
                <w:kern w:val="0"/>
                <w:szCs w:val="21"/>
              </w:rPr>
            </w:pPr>
            <w:r>
              <w:rPr>
                <w:rFonts w:hint="eastAsia" w:ascii="宋体" w:hAnsi="宋体" w:eastAsia="宋体" w:cs="宋体"/>
                <w:color w:val="000000"/>
                <w:kern w:val="0"/>
                <w:szCs w:val="21"/>
              </w:rPr>
              <w:t>1. 掌握：环境监测的定义，目的，对象和分类；环境保护标准；</w:t>
            </w:r>
          </w:p>
          <w:p>
            <w:pPr>
              <w:widowControl/>
              <w:pBdr>
                <w:top w:val="none" w:color="000000" w:sz="0" w:space="0"/>
                <w:left w:val="none" w:color="000000" w:sz="0" w:space="0"/>
                <w:bottom w:val="none" w:color="000000" w:sz="0" w:space="0"/>
                <w:right w:val="none" w:color="000000" w:sz="0" w:space="0"/>
              </w:pBdr>
              <w:jc w:val="left"/>
              <w:textAlignment w:val="baseline"/>
              <w:rPr>
                <w:rFonts w:ascii="宋体" w:hAnsi="宋体" w:eastAsia="宋体" w:cs="宋体"/>
                <w:color w:val="000000"/>
                <w:kern w:val="0"/>
                <w:szCs w:val="21"/>
              </w:rPr>
            </w:pPr>
            <w:r>
              <w:rPr>
                <w:rFonts w:hint="eastAsia" w:ascii="宋体" w:hAnsi="宋体" w:eastAsia="宋体" w:cs="宋体"/>
                <w:color w:val="000000"/>
                <w:kern w:val="0"/>
                <w:szCs w:val="21"/>
              </w:rPr>
              <w:t>2. 熟：环境污染特点及监测技术概况。</w:t>
            </w:r>
          </w:p>
        </w:tc>
        <w:tc>
          <w:tcPr>
            <w:tcW w:w="3118" w:type="dxa"/>
            <w:vAlign w:val="center"/>
          </w:tcPr>
          <w:p>
            <w:pPr>
              <w:jc w:val="left"/>
              <w:rPr>
                <w:rFonts w:ascii="仿宋_GB2312" w:hAnsi="仿宋_GB2312" w:eastAsia="仿宋_GB2312" w:cs="Times New Roman"/>
                <w:szCs w:val="21"/>
              </w:rPr>
            </w:pPr>
            <w:r>
              <w:rPr>
                <w:rFonts w:hint="eastAsia" w:ascii="宋体" w:hAnsi="宋体" w:eastAsia="宋体" w:cs="宋体"/>
                <w:color w:val="000000"/>
                <w:szCs w:val="21"/>
              </w:rPr>
              <w:t>环境监测的定义，过程，对象和分类；环境保护标准。</w:t>
            </w:r>
          </w:p>
        </w:tc>
        <w:tc>
          <w:tcPr>
            <w:tcW w:w="652" w:type="dxa"/>
            <w:vAlign w:val="center"/>
          </w:tcPr>
          <w:p>
            <w:pPr>
              <w:jc w:val="center"/>
              <w:rPr>
                <w:rFonts w:ascii="仿宋_GB2312" w:hAnsi="仿宋_GB2312" w:eastAsia="仿宋_GB2312" w:cs="Times New Roman"/>
                <w:szCs w:val="21"/>
              </w:rPr>
            </w:pPr>
            <w:r>
              <w:rPr>
                <w:rFonts w:hint="eastAsia" w:ascii="仿宋_GB2312" w:hAnsi="仿宋_GB2312" w:eastAsia="仿宋_GB2312" w:cs="Times New Roman"/>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9" w:type="dxa"/>
            <w:vAlign w:val="center"/>
          </w:tcPr>
          <w:p>
            <w:pPr>
              <w:widowControl/>
              <w:pBdr>
                <w:top w:val="none" w:color="000000" w:sz="0" w:space="0"/>
                <w:left w:val="none" w:color="000000" w:sz="0" w:space="0"/>
                <w:bottom w:val="none" w:color="000000" w:sz="0" w:space="0"/>
                <w:right w:val="none" w:color="000000" w:sz="0" w:space="0"/>
              </w:pBdr>
              <w:textAlignment w:val="baseline"/>
              <w:rPr>
                <w:rFonts w:ascii="仿宋_GB2312" w:hAnsi="仿宋_GB2312" w:eastAsia="仿宋_GB2312" w:cs="宋体"/>
                <w:kern w:val="0"/>
                <w:szCs w:val="21"/>
              </w:rPr>
            </w:pPr>
            <w:r>
              <w:rPr>
                <w:rFonts w:hint="eastAsia" w:ascii="宋体" w:hAnsi="宋体" w:eastAsia="宋体" w:cs="宋体"/>
                <w:color w:val="000000"/>
                <w:kern w:val="0"/>
              </w:rPr>
              <w:t>水和废水监测</w:t>
            </w:r>
          </w:p>
        </w:tc>
        <w:tc>
          <w:tcPr>
            <w:tcW w:w="3239" w:type="dxa"/>
            <w:vAlign w:val="center"/>
          </w:tcPr>
          <w:p>
            <w:pPr>
              <w:widowControl/>
              <w:pBdr>
                <w:top w:val="none" w:color="000000" w:sz="0" w:space="0"/>
                <w:left w:val="none" w:color="000000" w:sz="0" w:space="0"/>
                <w:bottom w:val="none" w:color="000000" w:sz="0" w:space="0"/>
                <w:right w:val="none" w:color="000000" w:sz="0" w:space="0"/>
              </w:pBdr>
              <w:jc w:val="left"/>
              <w:textAlignment w:val="baseline"/>
              <w:rPr>
                <w:rFonts w:ascii="&amp;quot" w:hAnsi="&amp;quot" w:eastAsia="&amp;quot" w:cs="&amp;quot"/>
                <w:color w:val="000000"/>
                <w:kern w:val="0"/>
                <w:szCs w:val="21"/>
              </w:rPr>
            </w:pPr>
            <w:r>
              <w:rPr>
                <w:rFonts w:hint="eastAsia" w:ascii="宋体" w:hAnsi="宋体" w:eastAsia="宋体" w:cs="宋体"/>
                <w:color w:val="000000"/>
                <w:kern w:val="0"/>
                <w:szCs w:val="21"/>
              </w:rPr>
              <w:t>1. 掌握：水质监测方案的制定(地表水，地下水，水污染源)；水样的采集，保存与预处理；金属化合物的测定，如Hg，Cd，Pb，Cr，As等；非金属无机物的测定；有机化合物的测定。</w:t>
            </w:r>
          </w:p>
          <w:p>
            <w:pPr>
              <w:widowControl/>
              <w:pBdr>
                <w:top w:val="none" w:color="000000" w:sz="0" w:space="0"/>
                <w:left w:val="none" w:color="000000" w:sz="0" w:space="0"/>
                <w:bottom w:val="none" w:color="000000" w:sz="0" w:space="0"/>
                <w:right w:val="none" w:color="000000" w:sz="0" w:space="0"/>
              </w:pBdr>
              <w:jc w:val="left"/>
              <w:textAlignment w:val="baseline"/>
              <w:rPr>
                <w:rFonts w:ascii="&amp;quot" w:hAnsi="&amp;quot" w:eastAsia="&amp;quot" w:cs="&amp;quot"/>
                <w:color w:val="000000"/>
                <w:kern w:val="0"/>
                <w:szCs w:val="21"/>
              </w:rPr>
            </w:pPr>
            <w:r>
              <w:rPr>
                <w:rFonts w:hint="eastAsia" w:ascii="宋体" w:hAnsi="宋体" w:eastAsia="宋体" w:cs="宋体"/>
                <w:color w:val="000000"/>
                <w:kern w:val="0"/>
                <w:szCs w:val="21"/>
              </w:rPr>
              <w:t>2. 熟悉：流量的测定；底质和活性污泥性质的测定。</w:t>
            </w:r>
          </w:p>
        </w:tc>
        <w:tc>
          <w:tcPr>
            <w:tcW w:w="3118" w:type="dxa"/>
            <w:vAlign w:val="center"/>
          </w:tcPr>
          <w:p>
            <w:pPr>
              <w:jc w:val="left"/>
              <w:rPr>
                <w:rFonts w:ascii="仿宋_GB2312" w:hAnsi="仿宋_GB2312" w:eastAsia="仿宋_GB2312" w:cs="Times New Roman"/>
                <w:szCs w:val="21"/>
              </w:rPr>
            </w:pPr>
            <w:r>
              <w:rPr>
                <w:rFonts w:hint="eastAsia" w:ascii="宋体" w:hAnsi="宋体" w:eastAsia="宋体" w:cs="宋体"/>
                <w:color w:val="000000"/>
                <w:szCs w:val="21"/>
              </w:rPr>
              <w:t>(1) 地面水水质监测方案制订；(2) 水样的采集，运输和保存；(3) 水样预处理：硝解、富集与分离；(4) 金属化合物的测定，如Hg，Cd，Pb，Cr，As等；(5) 非金属无机物的测定，(6) 有机化合物的测定。</w:t>
            </w:r>
          </w:p>
        </w:tc>
        <w:tc>
          <w:tcPr>
            <w:tcW w:w="652" w:type="dxa"/>
            <w:vAlign w:val="center"/>
          </w:tcPr>
          <w:p>
            <w:pPr>
              <w:jc w:val="center"/>
              <w:rPr>
                <w:rFonts w:ascii="仿宋_GB2312" w:hAnsi="仿宋_GB2312" w:eastAsia="仿宋_GB2312" w:cs="Times New Roman"/>
                <w:szCs w:val="21"/>
              </w:rPr>
            </w:pPr>
            <w:r>
              <w:rPr>
                <w:rFonts w:hint="eastAsia" w:ascii="仿宋_GB2312" w:hAnsi="仿宋_GB2312" w:eastAsia="仿宋_GB2312" w:cs="Times New Roman"/>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9" w:type="dxa"/>
            <w:vAlign w:val="center"/>
          </w:tcPr>
          <w:p>
            <w:pPr>
              <w:widowControl/>
              <w:pBdr>
                <w:top w:val="none" w:color="000000" w:sz="0" w:space="0"/>
                <w:left w:val="none" w:color="000000" w:sz="0" w:space="0"/>
                <w:bottom w:val="none" w:color="000000" w:sz="0" w:space="0"/>
                <w:right w:val="none" w:color="000000" w:sz="0" w:space="0"/>
              </w:pBdr>
              <w:textAlignment w:val="baseline"/>
              <w:rPr>
                <w:rFonts w:ascii="仿宋_GB2312" w:hAnsi="仿宋_GB2312" w:eastAsia="仿宋_GB2312" w:cs="宋体"/>
                <w:kern w:val="0"/>
                <w:szCs w:val="21"/>
              </w:rPr>
            </w:pPr>
            <w:r>
              <w:rPr>
                <w:rFonts w:hint="eastAsia" w:ascii="宋体" w:hAnsi="宋体" w:eastAsia="宋体" w:cs="宋体"/>
                <w:color w:val="000000"/>
                <w:kern w:val="0"/>
              </w:rPr>
              <w:t>空气和废气监测</w:t>
            </w:r>
          </w:p>
        </w:tc>
        <w:tc>
          <w:tcPr>
            <w:tcW w:w="3239" w:type="dxa"/>
            <w:vAlign w:val="center"/>
          </w:tcPr>
          <w:p>
            <w:pPr>
              <w:widowControl/>
              <w:pBdr>
                <w:top w:val="none" w:color="000000" w:sz="0" w:space="0"/>
                <w:left w:val="none" w:color="000000" w:sz="0" w:space="0"/>
                <w:bottom w:val="none" w:color="000000" w:sz="0" w:space="0"/>
                <w:right w:val="none" w:color="000000" w:sz="0" w:space="0"/>
              </w:pBdr>
              <w:jc w:val="left"/>
              <w:textAlignment w:val="baseline"/>
              <w:rPr>
                <w:rFonts w:ascii="&amp;quot" w:hAnsi="&amp;quot" w:eastAsia="&amp;quot" w:cs="&amp;quot"/>
                <w:color w:val="000000"/>
                <w:kern w:val="0"/>
                <w:szCs w:val="21"/>
              </w:rPr>
            </w:pPr>
            <w:r>
              <w:rPr>
                <w:rFonts w:hint="eastAsia" w:ascii="宋体" w:hAnsi="宋体" w:eastAsia="宋体" w:cs="宋体"/>
                <w:color w:val="000000"/>
                <w:kern w:val="0"/>
                <w:szCs w:val="21"/>
              </w:rPr>
              <w:t>1. 了解大气污染基本知识；降水监测；标准气体的配置。</w:t>
            </w:r>
          </w:p>
          <w:p>
            <w:pPr>
              <w:widowControl/>
              <w:pBdr>
                <w:top w:val="none" w:color="000000" w:sz="0" w:space="0"/>
                <w:left w:val="none" w:color="000000" w:sz="0" w:space="0"/>
                <w:bottom w:val="none" w:color="000000" w:sz="0" w:space="0"/>
                <w:right w:val="none" w:color="000000" w:sz="0" w:space="0"/>
              </w:pBdr>
              <w:jc w:val="left"/>
              <w:textAlignment w:val="baseline"/>
              <w:rPr>
                <w:rFonts w:ascii="&amp;quot" w:hAnsi="&amp;quot" w:eastAsia="&amp;quot" w:cs="&amp;quot"/>
                <w:color w:val="000000"/>
                <w:kern w:val="0"/>
                <w:szCs w:val="21"/>
              </w:rPr>
            </w:pPr>
            <w:r>
              <w:rPr>
                <w:rFonts w:hint="eastAsia" w:ascii="宋体" w:hAnsi="宋体" w:eastAsia="宋体" w:cs="宋体"/>
                <w:color w:val="000000"/>
                <w:kern w:val="0"/>
                <w:szCs w:val="21"/>
              </w:rPr>
              <w:t>2. 熟悉污染源监测。</w:t>
            </w:r>
          </w:p>
          <w:p>
            <w:pPr>
              <w:widowControl/>
              <w:pBdr>
                <w:top w:val="none" w:color="000000" w:sz="0" w:space="0"/>
                <w:left w:val="none" w:color="000000" w:sz="0" w:space="0"/>
                <w:bottom w:val="none" w:color="000000" w:sz="0" w:space="0"/>
                <w:right w:val="none" w:color="000000" w:sz="0" w:space="0"/>
              </w:pBdr>
              <w:jc w:val="left"/>
              <w:textAlignment w:val="baseline"/>
              <w:rPr>
                <w:rFonts w:ascii="&amp;quot" w:hAnsi="&amp;quot" w:eastAsia="&amp;quot" w:cs="&amp;quot"/>
                <w:color w:val="000000"/>
                <w:kern w:val="0"/>
                <w:szCs w:val="21"/>
              </w:rPr>
            </w:pPr>
            <w:r>
              <w:rPr>
                <w:rFonts w:hint="eastAsia" w:ascii="宋体" w:hAnsi="宋体" w:eastAsia="宋体" w:cs="宋体"/>
                <w:color w:val="000000"/>
                <w:kern w:val="0"/>
                <w:szCs w:val="21"/>
              </w:rPr>
              <w:t>3. 掌握空气污染监测方案的制定；空气样品的采集方法；气态与蒸气态污染物的测定；颗粒物的测定。</w:t>
            </w:r>
          </w:p>
          <w:p>
            <w:pPr>
              <w:jc w:val="left"/>
              <w:rPr>
                <w:rFonts w:ascii="仿宋_GB2312" w:hAnsi="仿宋_GB2312" w:eastAsia="仿宋_GB2312" w:cs="Times New Roman"/>
                <w:szCs w:val="21"/>
              </w:rPr>
            </w:pPr>
          </w:p>
        </w:tc>
        <w:tc>
          <w:tcPr>
            <w:tcW w:w="3118" w:type="dxa"/>
            <w:vAlign w:val="center"/>
          </w:tcPr>
          <w:p>
            <w:pPr>
              <w:jc w:val="left"/>
              <w:rPr>
                <w:rFonts w:ascii="仿宋_GB2312" w:hAnsi="仿宋_GB2312" w:eastAsia="仿宋_GB2312" w:cs="Times New Roman"/>
                <w:szCs w:val="21"/>
              </w:rPr>
            </w:pPr>
            <w:r>
              <w:rPr>
                <w:rFonts w:hint="eastAsia" w:ascii="宋体" w:hAnsi="宋体" w:eastAsia="宋体" w:cs="宋体"/>
                <w:color w:val="000000"/>
                <w:szCs w:val="21"/>
              </w:rPr>
              <w:t>大气污染基本知识；监测方案的制订；大气样品的采集方法与采样仪器；气态与蒸气态污染物质的测定；颗粒物的测定；污染源监测。</w:t>
            </w:r>
          </w:p>
        </w:tc>
        <w:tc>
          <w:tcPr>
            <w:tcW w:w="652" w:type="dxa"/>
            <w:vAlign w:val="center"/>
          </w:tcPr>
          <w:p>
            <w:pPr>
              <w:jc w:val="center"/>
              <w:rPr>
                <w:rFonts w:ascii="仿宋_GB2312" w:hAnsi="仿宋_GB2312" w:eastAsia="仿宋_GB2312" w:cs="Times New Roman"/>
                <w:szCs w:val="21"/>
              </w:rPr>
            </w:pPr>
            <w:r>
              <w:rPr>
                <w:rFonts w:hint="eastAsia" w:ascii="仿宋_GB2312" w:hAnsi="仿宋_GB2312" w:eastAsia="仿宋_GB2312" w:cs="Times New Roman"/>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9" w:type="dxa"/>
            <w:vAlign w:val="center"/>
          </w:tcPr>
          <w:p>
            <w:pPr>
              <w:widowControl/>
              <w:pBdr>
                <w:top w:val="none" w:color="000000" w:sz="0" w:space="0"/>
                <w:left w:val="none" w:color="000000" w:sz="0" w:space="0"/>
                <w:bottom w:val="none" w:color="000000" w:sz="0" w:space="0"/>
                <w:right w:val="none" w:color="000000" w:sz="0" w:space="0"/>
              </w:pBdr>
              <w:textAlignment w:val="baseline"/>
              <w:rPr>
                <w:rFonts w:ascii="仿宋_GB2312" w:hAnsi="仿宋_GB2312" w:eastAsia="仿宋_GB2312" w:cs="宋体"/>
                <w:kern w:val="0"/>
                <w:szCs w:val="21"/>
              </w:rPr>
            </w:pPr>
            <w:r>
              <w:rPr>
                <w:rFonts w:hint="eastAsia" w:ascii="宋体" w:hAnsi="宋体" w:eastAsia="宋体" w:cs="宋体"/>
                <w:color w:val="000000"/>
                <w:kern w:val="0"/>
              </w:rPr>
              <w:t>固体废物监测</w:t>
            </w:r>
          </w:p>
        </w:tc>
        <w:tc>
          <w:tcPr>
            <w:tcW w:w="3239" w:type="dxa"/>
            <w:vAlign w:val="center"/>
          </w:tcPr>
          <w:p>
            <w:pPr>
              <w:widowControl/>
              <w:pBdr>
                <w:top w:val="none" w:color="000000" w:sz="0" w:space="0"/>
                <w:left w:val="none" w:color="000000" w:sz="0" w:space="0"/>
                <w:bottom w:val="none" w:color="000000" w:sz="0" w:space="0"/>
                <w:right w:val="none" w:color="000000" w:sz="0" w:space="0"/>
              </w:pBdr>
              <w:jc w:val="left"/>
              <w:textAlignment w:val="baseline"/>
              <w:rPr>
                <w:rFonts w:ascii="&amp;quot" w:hAnsi="&amp;quot" w:eastAsia="&amp;quot" w:cs="&amp;quot"/>
                <w:color w:val="000000"/>
                <w:kern w:val="0"/>
                <w:szCs w:val="21"/>
              </w:rPr>
            </w:pPr>
            <w:r>
              <w:rPr>
                <w:rFonts w:hint="eastAsia" w:ascii="宋体" w:hAnsi="宋体" w:eastAsia="宋体" w:cs="宋体"/>
                <w:color w:val="000000"/>
                <w:kern w:val="0"/>
                <w:szCs w:val="21"/>
              </w:rPr>
              <w:t>1. 掌握：固体废物概述；固体废物样品的采集和制备。</w:t>
            </w:r>
          </w:p>
          <w:p>
            <w:pPr>
              <w:widowControl/>
              <w:pBdr>
                <w:top w:val="none" w:color="000000" w:sz="0" w:space="0"/>
                <w:left w:val="none" w:color="000000" w:sz="0" w:space="0"/>
                <w:bottom w:val="none" w:color="000000" w:sz="0" w:space="0"/>
                <w:right w:val="none" w:color="000000" w:sz="0" w:space="0"/>
              </w:pBdr>
              <w:jc w:val="left"/>
              <w:textAlignment w:val="baseline"/>
              <w:rPr>
                <w:rFonts w:ascii="&amp;quot" w:hAnsi="&amp;quot" w:eastAsia="&amp;quot" w:cs="&amp;quot"/>
                <w:color w:val="000000"/>
                <w:kern w:val="0"/>
                <w:szCs w:val="21"/>
              </w:rPr>
            </w:pPr>
            <w:r>
              <w:rPr>
                <w:rFonts w:hint="eastAsia" w:ascii="宋体" w:hAnsi="宋体" w:eastAsia="宋体" w:cs="宋体"/>
                <w:color w:val="000000"/>
                <w:kern w:val="0"/>
                <w:szCs w:val="21"/>
              </w:rPr>
              <w:t>2. 熟悉：生活垃圾和卫生保健机构废弃物的监测。</w:t>
            </w:r>
          </w:p>
          <w:p>
            <w:pPr>
              <w:widowControl/>
              <w:pBdr>
                <w:top w:val="none" w:color="000000" w:sz="0" w:space="0"/>
                <w:left w:val="none" w:color="000000" w:sz="0" w:space="0"/>
                <w:bottom w:val="none" w:color="000000" w:sz="0" w:space="0"/>
                <w:right w:val="none" w:color="000000" w:sz="0" w:space="0"/>
              </w:pBdr>
              <w:jc w:val="left"/>
              <w:textAlignment w:val="baseline"/>
              <w:rPr>
                <w:rFonts w:ascii="&amp;quot" w:hAnsi="&amp;quot" w:eastAsia="&amp;quot" w:cs="&amp;quot"/>
                <w:color w:val="000000"/>
                <w:kern w:val="0"/>
                <w:szCs w:val="21"/>
              </w:rPr>
            </w:pPr>
            <w:r>
              <w:rPr>
                <w:rFonts w:hint="eastAsia" w:ascii="宋体" w:hAnsi="宋体" w:eastAsia="宋体" w:cs="宋体"/>
                <w:color w:val="000000"/>
                <w:kern w:val="0"/>
                <w:szCs w:val="21"/>
              </w:rPr>
              <w:t>3. 了解：有害物质的毒理学研究方法。</w:t>
            </w:r>
          </w:p>
          <w:p>
            <w:pPr>
              <w:jc w:val="left"/>
              <w:rPr>
                <w:rFonts w:ascii="仿宋_GB2312" w:hAnsi="仿宋_GB2312" w:eastAsia="仿宋_GB2312" w:cs="Times New Roman"/>
                <w:szCs w:val="21"/>
              </w:rPr>
            </w:pPr>
          </w:p>
        </w:tc>
        <w:tc>
          <w:tcPr>
            <w:tcW w:w="3118" w:type="dxa"/>
            <w:vAlign w:val="center"/>
          </w:tcPr>
          <w:p>
            <w:pPr>
              <w:jc w:val="left"/>
              <w:rPr>
                <w:rFonts w:ascii="仿宋_GB2312" w:hAnsi="仿宋_GB2312" w:eastAsia="仿宋_GB2312" w:cs="Times New Roman"/>
                <w:szCs w:val="21"/>
              </w:rPr>
            </w:pPr>
            <w:r>
              <w:rPr>
                <w:rFonts w:hint="eastAsia" w:ascii="宋体" w:hAnsi="宋体" w:eastAsia="宋体" w:cs="宋体"/>
                <w:color w:val="000000"/>
                <w:szCs w:val="21"/>
              </w:rPr>
              <w:t>固体废物概述；固体废物样品的采集和制备；有害特性的监测方法；生活垃圾和卫生保健机构废弃物的监测；有害物质的毒理学研究方法。</w:t>
            </w:r>
          </w:p>
        </w:tc>
        <w:tc>
          <w:tcPr>
            <w:tcW w:w="652" w:type="dxa"/>
            <w:vAlign w:val="center"/>
          </w:tcPr>
          <w:p>
            <w:pPr>
              <w:jc w:val="center"/>
              <w:rPr>
                <w:rFonts w:ascii="仿宋_GB2312" w:hAnsi="仿宋_GB2312" w:eastAsia="仿宋_GB2312" w:cs="Times New Roman"/>
                <w:szCs w:val="21"/>
              </w:rPr>
            </w:pPr>
            <w:r>
              <w:rPr>
                <w:rFonts w:hint="eastAsia" w:ascii="仿宋_GB2312" w:hAnsi="仿宋_GB2312" w:eastAsia="仿宋_GB2312" w:cs="Times New Roman"/>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9" w:type="dxa"/>
            <w:vAlign w:val="center"/>
          </w:tcPr>
          <w:p>
            <w:pPr>
              <w:widowControl/>
              <w:pBdr>
                <w:top w:val="none" w:color="000000" w:sz="0" w:space="0"/>
                <w:left w:val="none" w:color="000000" w:sz="0" w:space="0"/>
                <w:bottom w:val="none" w:color="000000" w:sz="0" w:space="0"/>
                <w:right w:val="none" w:color="000000" w:sz="0" w:space="0"/>
              </w:pBdr>
              <w:textAlignment w:val="baseline"/>
              <w:rPr>
                <w:rFonts w:ascii="仿宋_GB2312" w:hAnsi="仿宋_GB2312" w:eastAsia="仿宋_GB2312" w:cs="宋体"/>
                <w:kern w:val="0"/>
                <w:szCs w:val="21"/>
              </w:rPr>
            </w:pPr>
            <w:r>
              <w:rPr>
                <w:rFonts w:hint="eastAsia" w:ascii="宋体" w:hAnsi="宋体" w:eastAsia="宋体" w:cs="宋体"/>
                <w:color w:val="000000"/>
                <w:kern w:val="0"/>
              </w:rPr>
              <w:t>土壤质量监测</w:t>
            </w:r>
          </w:p>
        </w:tc>
        <w:tc>
          <w:tcPr>
            <w:tcW w:w="3239" w:type="dxa"/>
            <w:vAlign w:val="center"/>
          </w:tcPr>
          <w:p>
            <w:pPr>
              <w:widowControl/>
              <w:pBdr>
                <w:top w:val="none" w:color="000000" w:sz="0" w:space="0"/>
                <w:left w:val="none" w:color="000000" w:sz="0" w:space="0"/>
                <w:bottom w:val="none" w:color="000000" w:sz="0" w:space="0"/>
                <w:right w:val="none" w:color="000000" w:sz="0" w:space="0"/>
              </w:pBdr>
              <w:jc w:val="left"/>
              <w:textAlignment w:val="baseline"/>
              <w:rPr>
                <w:rFonts w:ascii="&amp;quot" w:hAnsi="&amp;quot" w:eastAsia="&amp;quot" w:cs="&amp;quot"/>
                <w:color w:val="000000"/>
                <w:kern w:val="0"/>
                <w:szCs w:val="21"/>
              </w:rPr>
            </w:pPr>
            <w:r>
              <w:rPr>
                <w:rFonts w:hint="eastAsia" w:ascii="宋体" w:hAnsi="宋体" w:eastAsia="宋体" w:cs="宋体"/>
                <w:color w:val="000000"/>
                <w:kern w:val="0"/>
                <w:szCs w:val="21"/>
              </w:rPr>
              <w:t>1. 掌握：土壤基本知识；土壤环境质量监测方案；土壤样品的采集与加工处理。</w:t>
            </w:r>
          </w:p>
          <w:p>
            <w:pPr>
              <w:widowControl/>
              <w:pBdr>
                <w:top w:val="none" w:color="000000" w:sz="0" w:space="0"/>
                <w:left w:val="none" w:color="000000" w:sz="0" w:space="0"/>
                <w:bottom w:val="none" w:color="000000" w:sz="0" w:space="0"/>
                <w:right w:val="none" w:color="000000" w:sz="0" w:space="0"/>
              </w:pBdr>
              <w:jc w:val="left"/>
              <w:textAlignment w:val="baseline"/>
              <w:rPr>
                <w:rFonts w:ascii="&amp;quot" w:hAnsi="&amp;quot" w:eastAsia="&amp;quot" w:cs="&amp;quot"/>
                <w:color w:val="000000"/>
                <w:kern w:val="0"/>
                <w:szCs w:val="21"/>
              </w:rPr>
            </w:pPr>
            <w:r>
              <w:rPr>
                <w:rFonts w:hint="eastAsia" w:ascii="宋体" w:hAnsi="宋体" w:eastAsia="宋体" w:cs="宋体"/>
                <w:color w:val="000000"/>
                <w:kern w:val="0"/>
                <w:szCs w:val="21"/>
              </w:rPr>
              <w:t>2. 熟悉：土壤样品的预处理。</w:t>
            </w:r>
          </w:p>
          <w:p>
            <w:pPr>
              <w:widowControl/>
              <w:pBdr>
                <w:top w:val="none" w:color="000000" w:sz="0" w:space="0"/>
                <w:left w:val="none" w:color="000000" w:sz="0" w:space="0"/>
                <w:bottom w:val="none" w:color="000000" w:sz="0" w:space="0"/>
                <w:right w:val="none" w:color="000000" w:sz="0" w:space="0"/>
              </w:pBdr>
              <w:jc w:val="left"/>
              <w:textAlignment w:val="baseline"/>
              <w:rPr>
                <w:rFonts w:ascii="&amp;quot" w:hAnsi="&amp;quot" w:eastAsia="&amp;quot" w:cs="&amp;quot"/>
                <w:color w:val="000000"/>
                <w:kern w:val="0"/>
                <w:szCs w:val="21"/>
              </w:rPr>
            </w:pPr>
            <w:r>
              <w:rPr>
                <w:rFonts w:hint="eastAsia" w:ascii="宋体" w:hAnsi="宋体" w:eastAsia="宋体" w:cs="宋体"/>
                <w:color w:val="000000"/>
                <w:kern w:val="0"/>
                <w:szCs w:val="21"/>
              </w:rPr>
              <w:t>3. 了解：土壤污染物的测定。</w:t>
            </w:r>
          </w:p>
        </w:tc>
        <w:tc>
          <w:tcPr>
            <w:tcW w:w="3118" w:type="dxa"/>
            <w:vAlign w:val="center"/>
          </w:tcPr>
          <w:p>
            <w:pPr>
              <w:pBdr>
                <w:bottom w:val="single" w:color="auto" w:sz="6" w:space="1"/>
              </w:pBdr>
              <w:jc w:val="center"/>
              <w:rPr>
                <w:rFonts w:ascii="Arial" w:hAnsi="Times New Roman" w:eastAsia="宋体" w:cs="Times New Roman"/>
                <w:vanish/>
                <w:szCs w:val="21"/>
              </w:rPr>
            </w:pPr>
            <w:r>
              <w:rPr>
                <w:rFonts w:ascii="Arial" w:hAnsi="Times New Roman" w:eastAsia="宋体" w:cs="Times New Roman"/>
                <w:vanish/>
                <w:szCs w:val="21"/>
              </w:rPr>
              <w:t>窗体顶端</w:t>
            </w:r>
          </w:p>
          <w:p>
            <w:pPr>
              <w:widowControl/>
              <w:jc w:val="left"/>
              <w:rPr>
                <w:rFonts w:ascii="宋体" w:hAnsi="宋体" w:eastAsia="宋体" w:cs="宋体"/>
                <w:kern w:val="0"/>
                <w:szCs w:val="21"/>
              </w:rPr>
            </w:pPr>
            <w:r>
              <w:rPr>
                <w:rFonts w:hint="eastAsia" w:ascii="宋体" w:hAnsi="宋体" w:eastAsia="宋体" w:cs="宋体"/>
                <w:color w:val="000000"/>
                <w:kern w:val="0"/>
                <w:szCs w:val="21"/>
                <w:shd w:val="clear" w:color="auto" w:fill="FFFFFF"/>
              </w:rPr>
              <w:t>土壤基本知识；土壤环境质量监测方案；土壤样品的采集与加工管理；土壤样品的预处理；土壤污染物的测定。</w:t>
            </w:r>
          </w:p>
          <w:p>
            <w:pPr>
              <w:pBdr>
                <w:top w:val="single" w:color="auto" w:sz="6" w:space="1"/>
              </w:pBdr>
              <w:jc w:val="center"/>
              <w:rPr>
                <w:rFonts w:ascii="Arial" w:hAnsi="Times New Roman" w:eastAsia="宋体" w:cs="Times New Roman"/>
                <w:vanish/>
                <w:szCs w:val="21"/>
              </w:rPr>
            </w:pPr>
            <w:r>
              <w:rPr>
                <w:rFonts w:ascii="Arial" w:hAnsi="Times New Roman" w:eastAsia="宋体" w:cs="Times New Roman"/>
                <w:vanish/>
                <w:szCs w:val="21"/>
              </w:rPr>
              <w:t>窗体底端</w:t>
            </w:r>
          </w:p>
          <w:p>
            <w:pPr>
              <w:jc w:val="left"/>
              <w:rPr>
                <w:rFonts w:ascii="仿宋_GB2312" w:hAnsi="仿宋_GB2312" w:eastAsia="仿宋_GB2312" w:cs="Times New Roman"/>
                <w:szCs w:val="21"/>
              </w:rPr>
            </w:pPr>
          </w:p>
        </w:tc>
        <w:tc>
          <w:tcPr>
            <w:tcW w:w="652" w:type="dxa"/>
            <w:vAlign w:val="center"/>
          </w:tcPr>
          <w:p>
            <w:pPr>
              <w:jc w:val="center"/>
              <w:rPr>
                <w:rFonts w:ascii="仿宋_GB2312" w:hAnsi="仿宋_GB2312" w:eastAsia="仿宋_GB2312" w:cs="Times New Roman"/>
                <w:szCs w:val="21"/>
              </w:rPr>
            </w:pPr>
            <w:r>
              <w:rPr>
                <w:rFonts w:hint="eastAsia" w:ascii="仿宋_GB2312" w:hAnsi="仿宋_GB2312" w:eastAsia="仿宋_GB2312" w:cs="Times New Roman"/>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9" w:type="dxa"/>
            <w:vAlign w:val="center"/>
          </w:tcPr>
          <w:p>
            <w:pPr>
              <w:widowControl/>
              <w:pBdr>
                <w:top w:val="none" w:color="000000" w:sz="0" w:space="0"/>
                <w:left w:val="none" w:color="000000" w:sz="0" w:space="0"/>
                <w:bottom w:val="none" w:color="000000" w:sz="0" w:space="0"/>
                <w:right w:val="none" w:color="000000" w:sz="0" w:space="0"/>
              </w:pBdr>
              <w:textAlignment w:val="baseline"/>
              <w:rPr>
                <w:rFonts w:ascii="仿宋_GB2312" w:hAnsi="仿宋_GB2312" w:eastAsia="仿宋_GB2312" w:cs="宋体"/>
                <w:kern w:val="0"/>
                <w:szCs w:val="21"/>
              </w:rPr>
            </w:pPr>
            <w:r>
              <w:rPr>
                <w:rFonts w:hint="eastAsia" w:ascii="宋体" w:hAnsi="宋体" w:eastAsia="宋体" w:cs="宋体"/>
                <w:color w:val="000000"/>
                <w:kern w:val="0"/>
              </w:rPr>
              <w:t>环境污染生物监测</w:t>
            </w:r>
          </w:p>
        </w:tc>
        <w:tc>
          <w:tcPr>
            <w:tcW w:w="3239" w:type="dxa"/>
            <w:vAlign w:val="center"/>
          </w:tcPr>
          <w:p>
            <w:pPr>
              <w:widowControl/>
              <w:pBdr>
                <w:top w:val="none" w:color="000000" w:sz="0" w:space="0"/>
                <w:left w:val="none" w:color="000000" w:sz="0" w:space="0"/>
                <w:bottom w:val="none" w:color="000000" w:sz="0" w:space="0"/>
                <w:right w:val="none" w:color="000000" w:sz="0" w:space="0"/>
              </w:pBdr>
              <w:jc w:val="left"/>
              <w:textAlignment w:val="baseline"/>
              <w:rPr>
                <w:rFonts w:ascii="&amp;quot" w:hAnsi="&amp;quot" w:eastAsia="&amp;quot" w:cs="&amp;quot"/>
                <w:color w:val="000000"/>
                <w:kern w:val="0"/>
                <w:szCs w:val="21"/>
              </w:rPr>
            </w:pPr>
            <w:r>
              <w:rPr>
                <w:rFonts w:hint="eastAsia" w:ascii="宋体" w:hAnsi="宋体" w:eastAsia="宋体" w:cs="宋体"/>
                <w:color w:val="000000"/>
                <w:kern w:val="0"/>
                <w:szCs w:val="21"/>
              </w:rPr>
              <w:t>1. 重点掌握：水环境污染生物监测。</w:t>
            </w:r>
          </w:p>
          <w:p>
            <w:pPr>
              <w:widowControl/>
              <w:pBdr>
                <w:top w:val="none" w:color="000000" w:sz="0" w:space="0"/>
                <w:left w:val="none" w:color="000000" w:sz="0" w:space="0"/>
                <w:bottom w:val="none" w:color="000000" w:sz="0" w:space="0"/>
                <w:right w:val="none" w:color="000000" w:sz="0" w:space="0"/>
              </w:pBdr>
              <w:jc w:val="left"/>
              <w:textAlignment w:val="baseline"/>
              <w:rPr>
                <w:rFonts w:ascii="&amp;quot" w:hAnsi="&amp;quot" w:eastAsia="&amp;quot" w:cs="&amp;quot"/>
                <w:color w:val="000000"/>
                <w:kern w:val="0"/>
                <w:szCs w:val="21"/>
              </w:rPr>
            </w:pPr>
            <w:r>
              <w:rPr>
                <w:rFonts w:hint="eastAsia" w:ascii="宋体" w:hAnsi="宋体" w:eastAsia="宋体" w:cs="宋体"/>
                <w:color w:val="000000"/>
                <w:kern w:val="0"/>
                <w:szCs w:val="21"/>
              </w:rPr>
              <w:t>2. 掌握生物污染监测。</w:t>
            </w:r>
          </w:p>
          <w:p>
            <w:pPr>
              <w:widowControl/>
              <w:pBdr>
                <w:top w:val="none" w:color="000000" w:sz="0" w:space="0"/>
                <w:left w:val="none" w:color="000000" w:sz="0" w:space="0"/>
                <w:bottom w:val="none" w:color="000000" w:sz="0" w:space="0"/>
                <w:right w:val="none" w:color="000000" w:sz="0" w:space="0"/>
              </w:pBdr>
              <w:jc w:val="left"/>
              <w:textAlignment w:val="baseline"/>
              <w:rPr>
                <w:rFonts w:ascii="&amp;quot" w:hAnsi="&amp;quot" w:eastAsia="&amp;quot" w:cs="&amp;quot"/>
                <w:color w:val="000000"/>
                <w:kern w:val="0"/>
                <w:szCs w:val="21"/>
              </w:rPr>
            </w:pPr>
            <w:r>
              <w:rPr>
                <w:rFonts w:hint="eastAsia" w:ascii="宋体" w:hAnsi="宋体" w:eastAsia="宋体" w:cs="宋体"/>
                <w:color w:val="000000"/>
                <w:kern w:val="0"/>
                <w:szCs w:val="21"/>
              </w:rPr>
              <w:t>3. 熟悉：大气污染生物监测。</w:t>
            </w:r>
          </w:p>
          <w:p>
            <w:pPr>
              <w:widowControl/>
              <w:pBdr>
                <w:top w:val="none" w:color="000000" w:sz="0" w:space="0"/>
                <w:left w:val="none" w:color="000000" w:sz="0" w:space="0"/>
                <w:bottom w:val="none" w:color="000000" w:sz="0" w:space="0"/>
                <w:right w:val="none" w:color="000000" w:sz="0" w:space="0"/>
              </w:pBdr>
              <w:ind w:firstLine="555"/>
              <w:jc w:val="left"/>
              <w:textAlignment w:val="baseline"/>
              <w:rPr>
                <w:rFonts w:ascii="&amp;quot" w:hAnsi="&amp;quot" w:eastAsia="&amp;quot" w:cs="&amp;quot"/>
                <w:color w:val="000000"/>
                <w:kern w:val="0"/>
                <w:szCs w:val="21"/>
              </w:rPr>
            </w:pPr>
            <w:r>
              <w:rPr>
                <w:rFonts w:hint="eastAsia" w:ascii="宋体" w:hAnsi="宋体" w:eastAsia="宋体" w:cs="宋体"/>
                <w:color w:val="000000"/>
                <w:kern w:val="0"/>
                <w:szCs w:val="21"/>
              </w:rPr>
              <w:t>4. 了解：生态监测。</w:t>
            </w:r>
          </w:p>
          <w:p>
            <w:pPr>
              <w:jc w:val="left"/>
              <w:rPr>
                <w:rFonts w:ascii="仿宋_GB2312" w:hAnsi="仿宋_GB2312" w:eastAsia="仿宋_GB2312" w:cs="Times New Roman"/>
                <w:szCs w:val="21"/>
              </w:rPr>
            </w:pPr>
          </w:p>
        </w:tc>
        <w:tc>
          <w:tcPr>
            <w:tcW w:w="3118" w:type="dxa"/>
            <w:vAlign w:val="center"/>
          </w:tcPr>
          <w:p>
            <w:pPr>
              <w:jc w:val="left"/>
              <w:rPr>
                <w:rFonts w:ascii="仿宋_GB2312" w:hAnsi="仿宋_GB2312" w:eastAsia="仿宋_GB2312" w:cs="Times New Roman"/>
                <w:szCs w:val="21"/>
              </w:rPr>
            </w:pPr>
            <w:r>
              <w:rPr>
                <w:rFonts w:hint="eastAsia" w:ascii="宋体" w:hAnsi="宋体" w:eastAsia="宋体" w:cs="宋体"/>
                <w:color w:val="000000"/>
                <w:szCs w:val="21"/>
              </w:rPr>
              <w:t>水环境污染生物监测；空气污染生物监测；生物污染监测；生态监测。</w:t>
            </w:r>
          </w:p>
        </w:tc>
        <w:tc>
          <w:tcPr>
            <w:tcW w:w="652" w:type="dxa"/>
            <w:vAlign w:val="center"/>
          </w:tcPr>
          <w:p>
            <w:pPr>
              <w:jc w:val="center"/>
              <w:rPr>
                <w:rFonts w:ascii="仿宋_GB2312" w:hAnsi="仿宋_GB2312" w:eastAsia="仿宋_GB2312" w:cs="Times New Roman"/>
                <w:szCs w:val="21"/>
              </w:rPr>
            </w:pPr>
            <w:r>
              <w:rPr>
                <w:rFonts w:hint="eastAsia" w:ascii="仿宋_GB2312" w:hAnsi="仿宋_GB2312" w:eastAsia="仿宋_GB2312" w:cs="Times New Roman"/>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9" w:type="dxa"/>
            <w:vAlign w:val="center"/>
          </w:tcPr>
          <w:p>
            <w:pPr>
              <w:widowControl/>
              <w:pBdr>
                <w:top w:val="none" w:color="000000" w:sz="0" w:space="0"/>
                <w:left w:val="none" w:color="000000" w:sz="0" w:space="0"/>
                <w:bottom w:val="none" w:color="000000" w:sz="0" w:space="0"/>
                <w:right w:val="none" w:color="000000" w:sz="0" w:space="0"/>
              </w:pBdr>
              <w:textAlignment w:val="baseline"/>
              <w:rPr>
                <w:rFonts w:ascii="仿宋_GB2312" w:hAnsi="仿宋_GB2312" w:eastAsia="仿宋_GB2312" w:cs="宋体"/>
                <w:kern w:val="0"/>
                <w:szCs w:val="21"/>
              </w:rPr>
            </w:pPr>
            <w:r>
              <w:rPr>
                <w:rFonts w:hint="eastAsia" w:ascii="宋体" w:hAnsi="宋体" w:eastAsia="宋体" w:cs="宋体"/>
                <w:color w:val="000000"/>
                <w:kern w:val="0"/>
              </w:rPr>
              <w:t>噪声监测</w:t>
            </w:r>
          </w:p>
        </w:tc>
        <w:tc>
          <w:tcPr>
            <w:tcW w:w="3239" w:type="dxa"/>
          </w:tcPr>
          <w:p>
            <w:pPr>
              <w:widowControl/>
              <w:pBdr>
                <w:top w:val="none" w:color="000000" w:sz="0" w:space="0"/>
                <w:left w:val="none" w:color="000000" w:sz="0" w:space="0"/>
                <w:bottom w:val="none" w:color="000000" w:sz="0" w:space="0"/>
                <w:right w:val="none" w:color="000000" w:sz="0" w:space="0"/>
              </w:pBdr>
              <w:jc w:val="left"/>
              <w:textAlignment w:val="baseline"/>
              <w:rPr>
                <w:rFonts w:ascii="&amp;quot" w:hAnsi="&amp;quot" w:eastAsia="&amp;quot" w:cs="&amp;quot"/>
                <w:color w:val="000000"/>
                <w:kern w:val="0"/>
                <w:szCs w:val="21"/>
              </w:rPr>
            </w:pPr>
            <w:r>
              <w:rPr>
                <w:rFonts w:hint="eastAsia" w:ascii="宋体" w:hAnsi="宋体" w:eastAsia="宋体" w:cs="宋体"/>
                <w:color w:val="000000"/>
                <w:kern w:val="0"/>
                <w:szCs w:val="21"/>
              </w:rPr>
              <w:t>1. 重点掌握声音和噪声；声音的物理特性和量度；噪声的物理量和主观听觉的关系。</w:t>
            </w:r>
          </w:p>
          <w:p>
            <w:pPr>
              <w:widowControl/>
              <w:pBdr>
                <w:top w:val="none" w:color="000000" w:sz="0" w:space="0"/>
                <w:left w:val="none" w:color="000000" w:sz="0" w:space="0"/>
                <w:bottom w:val="none" w:color="000000" w:sz="0" w:space="0"/>
                <w:right w:val="none" w:color="000000" w:sz="0" w:space="0"/>
              </w:pBdr>
              <w:jc w:val="left"/>
              <w:textAlignment w:val="baseline"/>
              <w:rPr>
                <w:rFonts w:ascii="&amp;quot" w:hAnsi="&amp;quot" w:eastAsia="&amp;quot" w:cs="&amp;quot"/>
                <w:color w:val="000000"/>
                <w:kern w:val="0"/>
                <w:szCs w:val="21"/>
              </w:rPr>
            </w:pPr>
            <w:r>
              <w:rPr>
                <w:rFonts w:hint="eastAsia" w:ascii="宋体" w:hAnsi="宋体" w:eastAsia="宋体" w:cs="宋体"/>
                <w:color w:val="000000"/>
                <w:kern w:val="0"/>
                <w:szCs w:val="21"/>
              </w:rPr>
              <w:t>2. 掌握噪声测量仪器和噪声标准。</w:t>
            </w:r>
          </w:p>
          <w:p>
            <w:pPr>
              <w:widowControl/>
              <w:pBdr>
                <w:top w:val="none" w:color="000000" w:sz="0" w:space="0"/>
                <w:left w:val="none" w:color="000000" w:sz="0" w:space="0"/>
                <w:bottom w:val="none" w:color="000000" w:sz="0" w:space="0"/>
                <w:right w:val="none" w:color="000000" w:sz="0" w:space="0"/>
              </w:pBdr>
              <w:jc w:val="left"/>
              <w:textAlignment w:val="baseline"/>
              <w:rPr>
                <w:rFonts w:ascii="&amp;quot" w:hAnsi="&amp;quot" w:eastAsia="&amp;quot" w:cs="&amp;quot"/>
                <w:color w:val="000000"/>
                <w:kern w:val="0"/>
                <w:szCs w:val="21"/>
              </w:rPr>
            </w:pPr>
            <w:r>
              <w:rPr>
                <w:rFonts w:hint="eastAsia" w:ascii="宋体" w:hAnsi="宋体" w:eastAsia="宋体" w:cs="宋体"/>
                <w:color w:val="000000"/>
                <w:kern w:val="0"/>
                <w:szCs w:val="21"/>
              </w:rPr>
              <w:t>3. 熟悉噪声监测。</w:t>
            </w:r>
          </w:p>
          <w:p>
            <w:pPr>
              <w:widowControl/>
              <w:pBdr>
                <w:top w:val="none" w:color="000000" w:sz="0" w:space="0"/>
                <w:left w:val="none" w:color="000000" w:sz="0" w:space="0"/>
                <w:bottom w:val="none" w:color="000000" w:sz="0" w:space="0"/>
                <w:right w:val="none" w:color="000000" w:sz="0" w:space="0"/>
              </w:pBdr>
              <w:jc w:val="left"/>
              <w:textAlignment w:val="baseline"/>
              <w:rPr>
                <w:rFonts w:ascii="&amp;quot" w:hAnsi="&amp;quot" w:eastAsia="&amp;quot" w:cs="&amp;quot"/>
                <w:color w:val="000000"/>
                <w:kern w:val="0"/>
                <w:szCs w:val="21"/>
              </w:rPr>
            </w:pPr>
            <w:r>
              <w:rPr>
                <w:rFonts w:hint="eastAsia" w:ascii="宋体" w:hAnsi="宋体" w:eastAsia="宋体" w:cs="宋体"/>
                <w:color w:val="000000"/>
                <w:kern w:val="0"/>
                <w:szCs w:val="21"/>
              </w:rPr>
              <w:t>4.了解震动及测量方法。</w:t>
            </w:r>
          </w:p>
        </w:tc>
        <w:tc>
          <w:tcPr>
            <w:tcW w:w="3118" w:type="dxa"/>
          </w:tcPr>
          <w:p>
            <w:pPr>
              <w:widowControl/>
              <w:pBdr>
                <w:top w:val="none" w:color="000000" w:sz="0" w:space="0"/>
                <w:left w:val="none" w:color="000000" w:sz="0" w:space="0"/>
                <w:bottom w:val="none" w:color="000000" w:sz="0" w:space="0"/>
                <w:right w:val="none" w:color="000000" w:sz="0" w:space="0"/>
              </w:pBdr>
              <w:ind w:firstLine="420"/>
              <w:jc w:val="left"/>
              <w:textAlignment w:val="baseline"/>
              <w:rPr>
                <w:rFonts w:ascii="&amp;quot" w:hAnsi="&amp;quot" w:eastAsia="&amp;quot" w:cs="&amp;quot"/>
                <w:color w:val="000000"/>
                <w:kern w:val="0"/>
                <w:szCs w:val="21"/>
              </w:rPr>
            </w:pPr>
            <w:r>
              <w:rPr>
                <w:rFonts w:hint="eastAsia" w:ascii="宋体" w:hAnsi="宋体" w:eastAsia="宋体" w:cs="宋体"/>
                <w:color w:val="000000"/>
                <w:kern w:val="0"/>
                <w:szCs w:val="21"/>
              </w:rPr>
              <w:t>声音和噪声；声音的物理特性和量度；噪声的物理量和主观听觉的关系；噪声测量仪器；噪声标准；噪声监测；振动及测量方法</w:t>
            </w:r>
          </w:p>
          <w:p>
            <w:pPr>
              <w:jc w:val="left"/>
              <w:rPr>
                <w:rFonts w:ascii="仿宋_GB2312" w:hAnsi="仿宋_GB2312" w:eastAsia="仿宋_GB2312" w:cs="Times New Roman"/>
                <w:szCs w:val="21"/>
              </w:rPr>
            </w:pPr>
          </w:p>
        </w:tc>
        <w:tc>
          <w:tcPr>
            <w:tcW w:w="652" w:type="dxa"/>
          </w:tcPr>
          <w:p>
            <w:pPr>
              <w:jc w:val="center"/>
              <w:rPr>
                <w:rFonts w:ascii="仿宋_GB2312" w:hAnsi="仿宋_GB2312" w:eastAsia="仿宋_GB2312" w:cs="Times New Roman"/>
                <w:szCs w:val="21"/>
              </w:rPr>
            </w:pPr>
            <w:r>
              <w:rPr>
                <w:rFonts w:hint="eastAsia" w:ascii="仿宋_GB2312" w:hAnsi="仿宋_GB2312" w:eastAsia="仿宋_GB2312" w:cs="Times New Roman"/>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9" w:type="dxa"/>
            <w:vAlign w:val="center"/>
          </w:tcPr>
          <w:p>
            <w:pPr>
              <w:widowControl/>
              <w:pBdr>
                <w:top w:val="none" w:color="000000" w:sz="0" w:space="0"/>
                <w:left w:val="none" w:color="000000" w:sz="0" w:space="0"/>
                <w:bottom w:val="none" w:color="000000" w:sz="0" w:space="0"/>
                <w:right w:val="none" w:color="000000" w:sz="0" w:space="0"/>
              </w:pBdr>
              <w:textAlignment w:val="baseline"/>
              <w:rPr>
                <w:rFonts w:ascii="仿宋_GB2312" w:hAnsi="仿宋_GB2312" w:eastAsia="仿宋_GB2312" w:cs="宋体"/>
                <w:kern w:val="0"/>
                <w:szCs w:val="21"/>
              </w:rPr>
            </w:pPr>
            <w:r>
              <w:rPr>
                <w:rFonts w:hint="eastAsia" w:ascii="宋体" w:hAnsi="宋体" w:eastAsia="宋体" w:cs="宋体"/>
                <w:color w:val="000000"/>
                <w:kern w:val="0"/>
              </w:rPr>
              <w:t>环境监测质量保证</w:t>
            </w:r>
          </w:p>
        </w:tc>
        <w:tc>
          <w:tcPr>
            <w:tcW w:w="3239" w:type="dxa"/>
          </w:tcPr>
          <w:p>
            <w:pPr>
              <w:widowControl/>
              <w:pBdr>
                <w:top w:val="none" w:color="000000" w:sz="0" w:space="0"/>
                <w:left w:val="none" w:color="000000" w:sz="0" w:space="0"/>
                <w:bottom w:val="none" w:color="000000" w:sz="0" w:space="0"/>
                <w:right w:val="none" w:color="000000" w:sz="0" w:space="0"/>
              </w:pBdr>
              <w:jc w:val="left"/>
              <w:textAlignment w:val="baseline"/>
              <w:rPr>
                <w:rFonts w:ascii="&amp;quot" w:hAnsi="&amp;quot" w:eastAsia="&amp;quot" w:cs="&amp;quot"/>
                <w:color w:val="000000"/>
                <w:kern w:val="0"/>
                <w:szCs w:val="21"/>
              </w:rPr>
            </w:pPr>
            <w:r>
              <w:rPr>
                <w:rFonts w:hint="eastAsia" w:ascii="宋体" w:hAnsi="宋体" w:eastAsia="宋体" w:cs="宋体"/>
                <w:color w:val="000000"/>
                <w:kern w:val="0"/>
                <w:szCs w:val="21"/>
              </w:rPr>
              <w:t>1. 了解环境监测管理；质量保证检查单和环境质量图。</w:t>
            </w:r>
          </w:p>
          <w:p>
            <w:pPr>
              <w:widowControl/>
              <w:pBdr>
                <w:top w:val="none" w:color="000000" w:sz="0" w:space="0"/>
                <w:left w:val="none" w:color="000000" w:sz="0" w:space="0"/>
                <w:bottom w:val="none" w:color="000000" w:sz="0" w:space="0"/>
                <w:right w:val="none" w:color="000000" w:sz="0" w:space="0"/>
              </w:pBdr>
              <w:jc w:val="left"/>
              <w:textAlignment w:val="baseline"/>
              <w:rPr>
                <w:rFonts w:ascii="&amp;quot" w:hAnsi="&amp;quot" w:eastAsia="&amp;quot" w:cs="&amp;quot"/>
                <w:color w:val="000000"/>
                <w:kern w:val="0"/>
                <w:szCs w:val="21"/>
              </w:rPr>
            </w:pPr>
            <w:r>
              <w:rPr>
                <w:rFonts w:hint="eastAsia" w:ascii="宋体" w:hAnsi="宋体" w:eastAsia="宋体" w:cs="宋体"/>
                <w:color w:val="000000"/>
                <w:kern w:val="0"/>
                <w:szCs w:val="21"/>
              </w:rPr>
              <w:t>2. 熟悉实验室认可和计量认证/审查认可概述；标准分析方法和分析方法标准化；环境标准物质。</w:t>
            </w:r>
          </w:p>
          <w:p>
            <w:pPr>
              <w:widowControl/>
              <w:pBdr>
                <w:top w:val="none" w:color="000000" w:sz="0" w:space="0"/>
                <w:left w:val="none" w:color="000000" w:sz="0" w:space="0"/>
                <w:bottom w:val="none" w:color="000000" w:sz="0" w:space="0"/>
                <w:right w:val="none" w:color="000000" w:sz="0" w:space="0"/>
              </w:pBdr>
              <w:jc w:val="left"/>
              <w:textAlignment w:val="baseline"/>
              <w:rPr>
                <w:rFonts w:ascii="&amp;quot" w:hAnsi="&amp;quot" w:eastAsia="&amp;quot" w:cs="&amp;quot"/>
                <w:color w:val="000000"/>
                <w:kern w:val="0"/>
                <w:szCs w:val="21"/>
              </w:rPr>
            </w:pPr>
            <w:r>
              <w:rPr>
                <w:rFonts w:hint="eastAsia" w:ascii="宋体" w:hAnsi="宋体" w:eastAsia="宋体" w:cs="宋体"/>
                <w:color w:val="000000"/>
                <w:kern w:val="0"/>
                <w:szCs w:val="21"/>
              </w:rPr>
              <w:t>3.一般掌握监测数据的统计处理和结果表述；实验室质量保证。</w:t>
            </w:r>
          </w:p>
          <w:p>
            <w:pPr>
              <w:widowControl/>
              <w:pBdr>
                <w:top w:val="none" w:color="000000" w:sz="0" w:space="0"/>
                <w:left w:val="none" w:color="000000" w:sz="0" w:space="0"/>
                <w:bottom w:val="none" w:color="000000" w:sz="0" w:space="0"/>
                <w:right w:val="none" w:color="000000" w:sz="0" w:space="0"/>
              </w:pBdr>
              <w:jc w:val="left"/>
              <w:textAlignment w:val="baseline"/>
              <w:rPr>
                <w:rFonts w:ascii="&amp;quot" w:hAnsi="&amp;quot" w:eastAsia="&amp;quot" w:cs="&amp;quot"/>
                <w:color w:val="000000"/>
                <w:kern w:val="0"/>
                <w:szCs w:val="21"/>
              </w:rPr>
            </w:pPr>
            <w:r>
              <w:rPr>
                <w:rFonts w:hint="eastAsia" w:ascii="宋体" w:hAnsi="宋体" w:eastAsia="宋体" w:cs="宋体"/>
                <w:color w:val="000000"/>
                <w:kern w:val="0"/>
                <w:szCs w:val="21"/>
              </w:rPr>
              <w:t>4.掌握质量保证的意义和内容；监测实验室基础。</w:t>
            </w:r>
          </w:p>
        </w:tc>
        <w:tc>
          <w:tcPr>
            <w:tcW w:w="3118" w:type="dxa"/>
          </w:tcPr>
          <w:p>
            <w:pPr>
              <w:widowControl/>
              <w:pBdr>
                <w:top w:val="none" w:color="000000" w:sz="0" w:space="0"/>
                <w:left w:val="none" w:color="000000" w:sz="0" w:space="0"/>
                <w:bottom w:val="none" w:color="000000" w:sz="0" w:space="0"/>
                <w:right w:val="none" w:color="000000" w:sz="0" w:space="0"/>
              </w:pBdr>
              <w:ind w:firstLine="555"/>
              <w:jc w:val="left"/>
              <w:textAlignment w:val="baseline"/>
              <w:rPr>
                <w:rFonts w:ascii="&amp;quot" w:hAnsi="&amp;quot" w:eastAsia="&amp;quot" w:cs="&amp;quot"/>
                <w:color w:val="000000"/>
                <w:kern w:val="0"/>
                <w:szCs w:val="21"/>
              </w:rPr>
            </w:pPr>
            <w:r>
              <w:rPr>
                <w:rFonts w:hint="eastAsia" w:ascii="宋体" w:hAnsi="宋体" w:eastAsia="宋体" w:cs="宋体"/>
                <w:color w:val="000000"/>
                <w:kern w:val="0"/>
                <w:szCs w:val="21"/>
              </w:rPr>
              <w:t>质量保证的意义和内容；实验室认可和计量认证/审查认可概述；监测实验室基础；监测数据的统计处理和结果表述；实验室质量保证；标准分析方法和分析方法标准化；环境标准物质；环境监测管理；质量保证检查单和环境质量图。</w:t>
            </w:r>
          </w:p>
          <w:p>
            <w:pPr>
              <w:jc w:val="left"/>
              <w:rPr>
                <w:rFonts w:ascii="仿宋_GB2312" w:hAnsi="仿宋_GB2312" w:eastAsia="仿宋_GB2312" w:cs="Times New Roman"/>
                <w:szCs w:val="21"/>
              </w:rPr>
            </w:pPr>
          </w:p>
        </w:tc>
        <w:tc>
          <w:tcPr>
            <w:tcW w:w="652" w:type="dxa"/>
          </w:tcPr>
          <w:p>
            <w:pPr>
              <w:jc w:val="center"/>
              <w:rPr>
                <w:rFonts w:ascii="仿宋_GB2312" w:hAnsi="仿宋_GB2312" w:eastAsia="仿宋_GB2312" w:cs="Times New Roman"/>
                <w:szCs w:val="21"/>
              </w:rPr>
            </w:pPr>
            <w:r>
              <w:rPr>
                <w:rFonts w:hint="eastAsia" w:ascii="仿宋_GB2312" w:hAnsi="仿宋_GB2312" w:eastAsia="仿宋_GB2312" w:cs="Times New Roman"/>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9" w:type="dxa"/>
            <w:vAlign w:val="center"/>
          </w:tcPr>
          <w:p>
            <w:pPr>
              <w:widowControl/>
              <w:pBdr>
                <w:top w:val="none" w:color="000000" w:sz="0" w:space="0"/>
                <w:left w:val="none" w:color="000000" w:sz="0" w:space="0"/>
                <w:bottom w:val="none" w:color="000000" w:sz="0" w:space="0"/>
                <w:right w:val="none" w:color="000000" w:sz="0" w:space="0"/>
              </w:pBdr>
              <w:textAlignment w:val="baseline"/>
              <w:rPr>
                <w:rFonts w:ascii="仿宋_GB2312" w:hAnsi="仿宋_GB2312" w:eastAsia="仿宋_GB2312" w:cs="宋体"/>
                <w:kern w:val="0"/>
                <w:szCs w:val="21"/>
              </w:rPr>
            </w:pPr>
            <w:r>
              <w:rPr>
                <w:rFonts w:hint="eastAsia" w:ascii="宋体" w:hAnsi="宋体" w:eastAsia="宋体" w:cs="宋体"/>
                <w:color w:val="000000"/>
                <w:kern w:val="0"/>
              </w:rPr>
              <w:t>自动监测与简易监测技术</w:t>
            </w:r>
          </w:p>
        </w:tc>
        <w:tc>
          <w:tcPr>
            <w:tcW w:w="3239" w:type="dxa"/>
          </w:tcPr>
          <w:p>
            <w:pPr>
              <w:widowControl/>
              <w:pBdr>
                <w:top w:val="none" w:color="000000" w:sz="0" w:space="0"/>
                <w:left w:val="none" w:color="000000" w:sz="0" w:space="0"/>
                <w:bottom w:val="none" w:color="000000" w:sz="0" w:space="0"/>
                <w:right w:val="none" w:color="000000" w:sz="0" w:space="0"/>
              </w:pBdr>
              <w:jc w:val="left"/>
              <w:textAlignment w:val="baseline"/>
              <w:rPr>
                <w:rFonts w:ascii="&amp;quot" w:hAnsi="&amp;quot" w:eastAsia="&amp;quot" w:cs="&amp;quot"/>
                <w:color w:val="000000"/>
                <w:kern w:val="0"/>
                <w:szCs w:val="21"/>
              </w:rPr>
            </w:pPr>
            <w:r>
              <w:rPr>
                <w:rFonts w:hint="eastAsia" w:ascii="宋体" w:hAnsi="宋体" w:eastAsia="宋体" w:cs="宋体"/>
                <w:color w:val="000000"/>
                <w:kern w:val="0"/>
                <w:szCs w:val="21"/>
              </w:rPr>
              <w:t>1. 了解工厂企业环境自动监测系统；遥感监测技术；突发性环境污染事故的应急监测。</w:t>
            </w:r>
          </w:p>
          <w:p>
            <w:pPr>
              <w:widowControl/>
              <w:pBdr>
                <w:top w:val="none" w:color="000000" w:sz="0" w:space="0"/>
                <w:left w:val="none" w:color="000000" w:sz="0" w:space="0"/>
                <w:bottom w:val="none" w:color="000000" w:sz="0" w:space="0"/>
                <w:right w:val="none" w:color="000000" w:sz="0" w:space="0"/>
              </w:pBdr>
              <w:jc w:val="left"/>
              <w:textAlignment w:val="baseline"/>
              <w:rPr>
                <w:rFonts w:ascii="&amp;quot" w:hAnsi="&amp;quot" w:eastAsia="&amp;quot" w:cs="&amp;quot"/>
                <w:color w:val="000000"/>
                <w:kern w:val="0"/>
                <w:szCs w:val="21"/>
              </w:rPr>
            </w:pPr>
            <w:r>
              <w:rPr>
                <w:rFonts w:hint="eastAsia" w:ascii="宋体" w:hAnsi="宋体" w:eastAsia="宋体" w:cs="宋体"/>
                <w:color w:val="000000"/>
                <w:kern w:val="0"/>
                <w:szCs w:val="21"/>
              </w:rPr>
              <w:t>2. 熟悉简易监测方法。</w:t>
            </w:r>
          </w:p>
          <w:p>
            <w:pPr>
              <w:jc w:val="left"/>
              <w:rPr>
                <w:rFonts w:ascii="仿宋_GB2312" w:hAnsi="仿宋_GB2312" w:eastAsia="仿宋_GB2312" w:cs="Times New Roman"/>
                <w:szCs w:val="21"/>
              </w:rPr>
            </w:pPr>
            <w:r>
              <w:rPr>
                <w:rFonts w:hint="eastAsia" w:ascii="宋体" w:hAnsi="宋体" w:eastAsia="宋体" w:cs="宋体"/>
                <w:color w:val="000000"/>
                <w:szCs w:val="21"/>
              </w:rPr>
              <w:t>3. 掌握空气和水污染连续自动监测系统。</w:t>
            </w:r>
          </w:p>
        </w:tc>
        <w:tc>
          <w:tcPr>
            <w:tcW w:w="3118" w:type="dxa"/>
          </w:tcPr>
          <w:p>
            <w:pPr>
              <w:widowControl/>
              <w:pBdr>
                <w:top w:val="none" w:color="000000" w:sz="0" w:space="0"/>
                <w:left w:val="none" w:color="000000" w:sz="0" w:space="0"/>
                <w:bottom w:val="none" w:color="000000" w:sz="0" w:space="0"/>
                <w:right w:val="none" w:color="000000" w:sz="0" w:space="0"/>
              </w:pBdr>
              <w:ind w:firstLine="555"/>
              <w:jc w:val="left"/>
              <w:textAlignment w:val="baseline"/>
              <w:rPr>
                <w:rFonts w:ascii="&amp;quot" w:hAnsi="&amp;quot" w:eastAsia="&amp;quot" w:cs="&amp;quot"/>
                <w:color w:val="000000"/>
                <w:kern w:val="0"/>
                <w:szCs w:val="21"/>
              </w:rPr>
            </w:pPr>
            <w:r>
              <w:rPr>
                <w:rFonts w:hint="eastAsia" w:ascii="宋体" w:hAnsi="宋体" w:eastAsia="宋体" w:cs="宋体"/>
                <w:color w:val="000000"/>
                <w:kern w:val="0"/>
                <w:szCs w:val="21"/>
              </w:rPr>
              <w:t>空气污染连续自动监测系统；水污染连续自动监测系统；工厂企业环境自动监测系统；遥感监测技术；简易监测方法；突发性环境污染事故的应急监测。</w:t>
            </w:r>
          </w:p>
          <w:p>
            <w:pPr>
              <w:widowControl/>
              <w:pBdr>
                <w:top w:val="none" w:color="000000" w:sz="0" w:space="0"/>
                <w:left w:val="none" w:color="000000" w:sz="0" w:space="0"/>
                <w:bottom w:val="none" w:color="000000" w:sz="0" w:space="0"/>
                <w:right w:val="none" w:color="000000" w:sz="0" w:space="0"/>
              </w:pBdr>
              <w:ind w:firstLine="555"/>
              <w:jc w:val="left"/>
              <w:textAlignment w:val="baseline"/>
              <w:rPr>
                <w:rFonts w:ascii="仿宋_GB2312" w:hAnsi="仿宋_GB2312" w:eastAsia="仿宋_GB2312" w:cs="宋体"/>
                <w:kern w:val="0"/>
                <w:szCs w:val="21"/>
              </w:rPr>
            </w:pPr>
          </w:p>
        </w:tc>
        <w:tc>
          <w:tcPr>
            <w:tcW w:w="652" w:type="dxa"/>
          </w:tcPr>
          <w:p>
            <w:pPr>
              <w:jc w:val="center"/>
              <w:rPr>
                <w:rFonts w:ascii="仿宋_GB2312" w:hAnsi="仿宋_GB2312" w:eastAsia="仿宋_GB2312" w:cs="Times New Roman"/>
                <w:szCs w:val="21"/>
              </w:rPr>
            </w:pPr>
            <w:r>
              <w:rPr>
                <w:rFonts w:hint="eastAsia" w:ascii="仿宋_GB2312" w:hAnsi="仿宋_GB2312" w:eastAsia="仿宋_GB2312" w:cs="Times New Roman"/>
                <w:szCs w:val="21"/>
              </w:rPr>
              <w:t>6</w:t>
            </w:r>
          </w:p>
        </w:tc>
      </w:tr>
    </w:tbl>
    <w:p>
      <w:pPr>
        <w:spacing w:line="360" w:lineRule="auto"/>
        <w:rPr>
          <w:rFonts w:ascii="宋体" w:hAnsi="宋体" w:eastAsia="宋体" w:cs="Times New Roman"/>
          <w:sz w:val="24"/>
        </w:rPr>
      </w:pPr>
    </w:p>
    <w:p>
      <w:pPr>
        <w:adjustRightInd w:val="0"/>
        <w:snapToGrid w:val="0"/>
        <w:spacing w:beforeLines="50" w:line="360" w:lineRule="auto"/>
        <w:ind w:firstLine="480" w:firstLineChars="150"/>
        <w:rPr>
          <w:rFonts w:ascii="黑体" w:hAnsi="黑体" w:eastAsia="黑体" w:cs="Times New Roman"/>
          <w:sz w:val="32"/>
          <w:szCs w:val="32"/>
        </w:rPr>
      </w:pPr>
      <w:r>
        <w:rPr>
          <w:rFonts w:hint="eastAsia" w:ascii="黑体" w:hAnsi="黑体" w:eastAsia="黑体" w:cs="Times New Roman"/>
          <w:sz w:val="32"/>
          <w:szCs w:val="32"/>
        </w:rPr>
        <w:t>五、教学组织与教学方法</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 xml:space="preserve">1.课堂训练教学方法。在课堂教学过程中，注重采用启发式、讨论式、实际案例分析等形式，让学生在学习中参与，在参与中学习，激发学生的学习积极性和主动性。 </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（1）启发式。其目的是培养学生主动思考的习惯，提高学生自主学习和分析、判断问题的能力。</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 xml:space="preserve">（2）讨论式。其目的是通过课前准备和课堂讨论，巩固和加深对所学内容的理解和掌握，互相启发，提高认识，促进学生积极思考，激发学生学习的热情，培养学生钻研问题的精神和训练语言表达能力。 </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 xml:space="preserve">（3）案例式。通过案例分析，使学生进一步了解现场实际，受到了学生的普遍欢迎。 </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 xml:space="preserve">2.现场实习 组织学生到城市环境保护部门实习，既巩固所学知识又能开拓视野。 </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 xml:space="preserve">3.实验教学 构建了该课程的“验证型实验、设计型实验、研究型实验”三大层次的实验教学体系，实现了从实验项目到实验内容的优化整合，提高了实验教学的质量，体现了以“能力培养为核心”的实验教学观念。同时依托学院的环境实验室，向学生实行开放，巩固和深化课堂教学效果，提高学生的创新意识和动手能力。 </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 xml:space="preserve">4.每周在固定时间、固定地点由任课教师主持辅导答疑，同时，利用网络平台，在线答疑。 </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 xml:space="preserve">5.积极开展教学研究活动，相互交流、相互听课、相互帮助，取长补短，改进教学方法，共同提高。 </w:t>
      </w:r>
    </w:p>
    <w:p>
      <w:pPr>
        <w:adjustRightInd w:val="0"/>
        <w:snapToGrid w:val="0"/>
        <w:spacing w:beforeLines="50" w:line="360" w:lineRule="auto"/>
        <w:ind w:firstLine="480" w:firstLineChars="150"/>
        <w:rPr>
          <w:rFonts w:ascii="黑体" w:hAnsi="黑体" w:eastAsia="黑体" w:cs="Times New Roman"/>
          <w:sz w:val="32"/>
          <w:szCs w:val="32"/>
        </w:rPr>
      </w:pPr>
      <w:r>
        <w:rPr>
          <w:rFonts w:hint="eastAsia" w:ascii="黑体" w:hAnsi="黑体" w:eastAsia="黑体" w:cs="Times New Roman"/>
          <w:sz w:val="32"/>
          <w:szCs w:val="32"/>
        </w:rPr>
        <w:t>六、考核标准与成绩评定方法</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为全面考核本课程学生的学习情况， 本课程考核采用过程项目考核和期末综合考核相结合，过程考核涵盖项目任务全过程， 考核内容包括专业知识、 技能 （含项目专业知识的应用、项目实施方案和实施过程及项目总结报告等）和态度、情感等方面进行考核，考核成绩由主讲教师和学生共同评定，平时项目考核占总成绩的60%（含技能实训表现）。期末综合考核主要通过完成期末理实一体化试卷来进行考核，由主讲教师评定，期末综合考核占总成绩的40%。</w:t>
      </w:r>
    </w:p>
    <w:p>
      <w:pPr>
        <w:adjustRightInd w:val="0"/>
        <w:snapToGrid w:val="0"/>
        <w:spacing w:beforeLines="50" w:line="360" w:lineRule="auto"/>
        <w:ind w:firstLine="480" w:firstLineChars="150"/>
        <w:rPr>
          <w:rFonts w:ascii="黑体" w:hAnsi="黑体" w:eastAsia="黑体" w:cs="Times New Roman"/>
          <w:sz w:val="32"/>
          <w:szCs w:val="32"/>
        </w:rPr>
      </w:pPr>
      <w:r>
        <w:rPr>
          <w:rFonts w:hint="eastAsia" w:ascii="黑体" w:hAnsi="黑体" w:eastAsia="黑体" w:cs="Times New Roman"/>
          <w:sz w:val="32"/>
          <w:szCs w:val="32"/>
        </w:rPr>
        <w:t>七、教学建议</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 xml:space="preserve">1.为保证学生顺利实施与完成教学任务，本课程必须在实践理论一体化教室或专用实训室完成教学过程。本专业已经配备且能满足本课程教学的学习场地及环境监测实训室、色谱分析实训室、光谱分析实训室，具备环境检测仪器，环境分析实施设备和仪器，同时配备有授课区、多媒体设备等。 </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2.由于本课程课内学时安排较紧，建议充分利用学生课外时间学习，否则难以完成学习任务，因此要求教师认真做好学生的学习组织与安排；同时，校内实训室要全天候对学生开放，以保证学生按时完成学习任务。</w:t>
      </w:r>
    </w:p>
    <w:p>
      <w:pPr>
        <w:adjustRightInd w:val="0"/>
        <w:snapToGrid w:val="0"/>
        <w:spacing w:beforeLines="50" w:line="360" w:lineRule="auto"/>
        <w:ind w:firstLine="480" w:firstLineChars="150"/>
        <w:rPr>
          <w:rFonts w:ascii="黑体" w:hAnsi="黑体" w:eastAsia="黑体" w:cs="Times New Roman"/>
          <w:sz w:val="32"/>
          <w:szCs w:val="32"/>
        </w:rPr>
      </w:pPr>
      <w:r>
        <w:rPr>
          <w:rFonts w:hint="eastAsia" w:ascii="黑体" w:hAnsi="黑体" w:eastAsia="黑体" w:cs="Times New Roman"/>
          <w:sz w:val="32"/>
          <w:szCs w:val="32"/>
        </w:rPr>
        <w:t>八、选用教材标及推荐教材和参考用书（或课程网站）</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崔树军主编.环境监测 ，中国环境科学出版社（教育部推荐教材） 孙成主编.环境监测实验， 科学出版社（21世纪高等院校教材）</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主要参考书目：</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1.《环境监测》吴忠标，化学工业出版社，2003；</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2.《环境监测》陈玲，赵建夫，化学工业出版社，2004；</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3.《环境监测》（“十五”国家级规划教材） 张秀俊，中国轻工业出版社，2003。</w:t>
      </w:r>
    </w:p>
    <w:p>
      <w:pPr>
        <w:spacing w:line="360" w:lineRule="auto"/>
        <w:ind w:firstLine="480" w:firstLineChars="200"/>
        <w:rPr>
          <w:rFonts w:ascii="宋体" w:hAnsi="宋体" w:eastAsia="宋体" w:cs="Times New Roman"/>
          <w:kern w:val="0"/>
          <w:sz w:val="24"/>
        </w:rPr>
      </w:pPr>
      <w:r>
        <w:rPr>
          <w:rFonts w:hint="eastAsia" w:ascii="宋体" w:hAnsi="宋体" w:eastAsia="宋体" w:cs="Times New Roman"/>
          <w:sz w:val="24"/>
        </w:rPr>
        <w:t>网站资源：中国环境网 http://www.china-dyeing.com/</w:t>
      </w:r>
    </w:p>
    <w:p>
      <w:pPr>
        <w:pStyle w:val="3"/>
        <w:ind w:firstLine="480" w:firstLineChars="150"/>
        <w:rPr>
          <w:b w:val="0"/>
        </w:rPr>
      </w:pPr>
      <w:bookmarkStart w:id="85" w:name="_Toc18972"/>
      <w:bookmarkStart w:id="86" w:name="_Toc17278762"/>
      <w:bookmarkStart w:id="87" w:name="_Toc13446"/>
      <w:r>
        <w:rPr>
          <w:rFonts w:hint="eastAsia"/>
          <w:b w:val="0"/>
        </w:rPr>
        <w:t>《化工安全技术》核心课程标准</w:t>
      </w:r>
      <w:bookmarkEnd w:id="85"/>
      <w:bookmarkEnd w:id="86"/>
      <w:bookmarkEnd w:id="87"/>
    </w:p>
    <w:tbl>
      <w:tblPr>
        <w:tblStyle w:val="18"/>
        <w:tblW w:w="8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3274"/>
        <w:gridCol w:w="1620"/>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课程编码</w:t>
            </w:r>
          </w:p>
        </w:tc>
        <w:tc>
          <w:tcPr>
            <w:tcW w:w="3274" w:type="dxa"/>
            <w:vAlign w:val="center"/>
          </w:tcPr>
          <w:p>
            <w:pPr>
              <w:spacing w:line="360" w:lineRule="auto"/>
              <w:jc w:val="center"/>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1003053</w:t>
            </w:r>
          </w:p>
        </w:tc>
        <w:tc>
          <w:tcPr>
            <w:tcW w:w="1620"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课程类别</w:t>
            </w:r>
          </w:p>
        </w:tc>
        <w:tc>
          <w:tcPr>
            <w:tcW w:w="199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专业</w:t>
            </w:r>
            <w:r>
              <w:rPr>
                <w:rFonts w:hint="eastAsia" w:ascii="Times New Roman" w:hAnsi="宋体" w:eastAsia="宋体" w:cs="Times New Roman"/>
                <w:szCs w:val="21"/>
              </w:rPr>
              <w:t>（技能）课程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计划学时</w:t>
            </w:r>
          </w:p>
        </w:tc>
        <w:tc>
          <w:tcPr>
            <w:tcW w:w="3274" w:type="dxa"/>
            <w:vAlign w:val="center"/>
          </w:tcPr>
          <w:p>
            <w:pPr>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72</w:t>
            </w:r>
          </w:p>
        </w:tc>
        <w:tc>
          <w:tcPr>
            <w:tcW w:w="1620"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课程类型</w:t>
            </w:r>
          </w:p>
        </w:tc>
        <w:tc>
          <w:tcPr>
            <w:tcW w:w="1994" w:type="dxa"/>
            <w:vAlign w:val="center"/>
          </w:tcPr>
          <w:p>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适用专业</w:t>
            </w:r>
          </w:p>
        </w:tc>
        <w:tc>
          <w:tcPr>
            <w:tcW w:w="327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应用化工技术</w:t>
            </w:r>
          </w:p>
        </w:tc>
        <w:tc>
          <w:tcPr>
            <w:tcW w:w="1620"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课程性质</w:t>
            </w:r>
          </w:p>
        </w:tc>
        <w:tc>
          <w:tcPr>
            <w:tcW w:w="199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专业必修课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33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开课学期</w:t>
            </w:r>
          </w:p>
        </w:tc>
        <w:tc>
          <w:tcPr>
            <w:tcW w:w="327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第</w:t>
            </w:r>
            <w:r>
              <w:rPr>
                <w:rFonts w:hint="eastAsia" w:ascii="Times New Roman" w:hAnsi="宋体" w:eastAsia="宋体" w:cs="Times New Roman"/>
                <w:szCs w:val="21"/>
              </w:rPr>
              <w:t>2</w:t>
            </w:r>
            <w:r>
              <w:rPr>
                <w:rFonts w:ascii="Times New Roman" w:hAnsi="宋体" w:eastAsia="宋体" w:cs="Times New Roman"/>
                <w:szCs w:val="21"/>
              </w:rPr>
              <w:t>学期</w:t>
            </w:r>
          </w:p>
        </w:tc>
        <w:tc>
          <w:tcPr>
            <w:tcW w:w="1620"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学分</w:t>
            </w:r>
          </w:p>
        </w:tc>
        <w:tc>
          <w:tcPr>
            <w:tcW w:w="1994" w:type="dxa"/>
            <w:vAlign w:val="center"/>
          </w:tcPr>
          <w:p>
            <w:pPr>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先行课程</w:t>
            </w:r>
          </w:p>
        </w:tc>
        <w:tc>
          <w:tcPr>
            <w:tcW w:w="327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基础化学</w:t>
            </w:r>
          </w:p>
        </w:tc>
        <w:tc>
          <w:tcPr>
            <w:tcW w:w="1620"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开课单位</w:t>
            </w:r>
          </w:p>
        </w:tc>
        <w:tc>
          <w:tcPr>
            <w:tcW w:w="199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化工系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平行课程</w:t>
            </w:r>
          </w:p>
        </w:tc>
        <w:tc>
          <w:tcPr>
            <w:tcW w:w="3274" w:type="dxa"/>
            <w:vAlign w:val="center"/>
          </w:tcPr>
          <w:p>
            <w:pPr>
              <w:widowControl/>
              <w:jc w:val="center"/>
              <w:rPr>
                <w:rFonts w:ascii="Times New Roman" w:hAnsi="Times New Roman" w:eastAsia="宋体" w:cs="Times New Roman"/>
                <w:szCs w:val="21"/>
              </w:rPr>
            </w:pPr>
            <w:r>
              <w:rPr>
                <w:rFonts w:hint="eastAsia" w:ascii="Times New Roman" w:hAnsi="宋体" w:eastAsia="宋体" w:cs="Times New Roman"/>
                <w:szCs w:val="21"/>
              </w:rPr>
              <w:t>化工单元操作、化工仪表及自动化</w:t>
            </w:r>
          </w:p>
        </w:tc>
        <w:tc>
          <w:tcPr>
            <w:tcW w:w="1620"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考核类型</w:t>
            </w:r>
          </w:p>
        </w:tc>
        <w:tc>
          <w:tcPr>
            <w:tcW w:w="199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考试</w:t>
            </w:r>
            <w:r>
              <w:rPr>
                <w:rFonts w:hint="eastAsia" w:ascii="Times New Roman" w:hAnsi="宋体" w:eastAsia="宋体" w:cs="Times New Roman"/>
                <w:szCs w:val="21"/>
              </w:rPr>
              <w:t>+</w:t>
            </w:r>
            <w:r>
              <w:rPr>
                <w:rFonts w:ascii="Times New Roman" w:hAnsi="宋体" w:eastAsia="宋体" w:cs="Times New Roman"/>
                <w:szCs w:val="21"/>
              </w:rPr>
              <w:t>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后继课程</w:t>
            </w:r>
          </w:p>
        </w:tc>
        <w:tc>
          <w:tcPr>
            <w:tcW w:w="6888" w:type="dxa"/>
            <w:gridSpan w:val="3"/>
            <w:vAlign w:val="center"/>
          </w:tcPr>
          <w:p>
            <w:pPr>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无机化工生产技术、化工设备基础等</w:t>
            </w:r>
          </w:p>
        </w:tc>
      </w:tr>
    </w:tbl>
    <w:p>
      <w:pPr>
        <w:adjustRightInd w:val="0"/>
        <w:snapToGrid w:val="0"/>
        <w:spacing w:beforeLines="50" w:line="360" w:lineRule="auto"/>
        <w:ind w:firstLine="640" w:firstLineChars="200"/>
        <w:rPr>
          <w:rFonts w:ascii="黑体" w:hAnsi="黑体" w:eastAsia="黑体" w:cs="Times New Roman"/>
          <w:sz w:val="32"/>
          <w:szCs w:val="32"/>
        </w:rPr>
      </w:pPr>
      <w:r>
        <w:rPr>
          <w:rFonts w:hint="eastAsia" w:ascii="黑体" w:hAnsi="黑体" w:eastAsia="黑体" w:cs="Times New Roman"/>
          <w:sz w:val="32"/>
          <w:szCs w:val="32"/>
        </w:rPr>
        <w:t>一、课程性质与定位</w:t>
      </w:r>
    </w:p>
    <w:p>
      <w:pPr>
        <w:spacing w:line="360" w:lineRule="auto"/>
        <w:ind w:firstLine="420" w:firstLineChars="175"/>
        <w:rPr>
          <w:rFonts w:ascii="宋体" w:hAnsi="宋体" w:eastAsia="宋体" w:cs="宋体"/>
          <w:color w:val="333333"/>
          <w:sz w:val="24"/>
        </w:rPr>
      </w:pPr>
      <w:r>
        <w:rPr>
          <w:rFonts w:hint="eastAsia" w:ascii="宋体" w:hAnsi="宋体" w:eastAsia="宋体" w:cs="宋体"/>
          <w:color w:val="333333"/>
          <w:sz w:val="24"/>
        </w:rPr>
        <w:t>《化工安全技术》是高等职业技术院校应用化工生产技术专业的一门必修课，是本专业重要的专业技能课之一。化工安全技术贯穿于化工生产全过程，从技术开发、工艺设计、厂房修建、设备安装、生产操作、设备管理、紧急预案、事故处理，直至“三废”处理等各个环节，它是一门涉及面广、内容丰富的综合性技术。因此，本课程同样贯穿于应用化工生产技术专业学习全过程，包括从各专业基础课到各专业课。本课程着眼于培养学生的化工安全技术专业知识和基本安全操作技能，着重培养学生分析、解决实际问题的能力，提高学生的职业素质。这些能力所涉及的知识与专业培养目标和现代化工行业人才所需知识结构相一致。化工安全技术与其它课程相辅相成，共同为学生将来进入化工企业进行安全生产操作、及基层管理工作打下坚实的基础。</w:t>
      </w:r>
    </w:p>
    <w:p>
      <w:pPr>
        <w:spacing w:line="360" w:lineRule="auto"/>
        <w:ind w:firstLine="420" w:firstLineChars="175"/>
        <w:rPr>
          <w:rFonts w:ascii="宋体" w:hAnsi="宋体" w:eastAsia="宋体" w:cs="宋体"/>
          <w:color w:val="333333"/>
          <w:sz w:val="24"/>
        </w:rPr>
      </w:pPr>
      <w:r>
        <w:rPr>
          <w:rFonts w:hint="eastAsia" w:ascii="宋体" w:hAnsi="宋体" w:eastAsia="宋体" w:cs="宋体"/>
          <w:color w:val="333333"/>
          <w:sz w:val="24"/>
        </w:rPr>
        <w:t>本课程平行课程有《化工单元操作》、《化工仪表及自动化》等课程，为化工安全技术课程提供理论支撑，主要为本课程的学习提供化工生产方法、工艺操作、仪表设备等方面理论知识和技能基础，后续课程包括综合实训和顶岗实训，为学生进入企业从事安全实训和生产操作提供安全知识和技能。</w:t>
      </w:r>
    </w:p>
    <w:p>
      <w:pPr>
        <w:adjustRightInd w:val="0"/>
        <w:snapToGrid w:val="0"/>
        <w:spacing w:beforeLines="50" w:line="360" w:lineRule="auto"/>
        <w:ind w:firstLine="480" w:firstLineChars="150"/>
        <w:rPr>
          <w:rFonts w:ascii="黑体" w:hAnsi="黑体" w:eastAsia="黑体" w:cs="Times New Roman"/>
          <w:sz w:val="32"/>
          <w:szCs w:val="32"/>
        </w:rPr>
      </w:pPr>
      <w:r>
        <w:rPr>
          <w:rFonts w:hint="eastAsia" w:ascii="黑体" w:hAnsi="黑体" w:eastAsia="黑体" w:cs="Times New Roman"/>
          <w:sz w:val="32"/>
          <w:szCs w:val="32"/>
        </w:rPr>
        <w:t>二、课程设计理念</w:t>
      </w:r>
    </w:p>
    <w:p>
      <w:pPr>
        <w:widowControl/>
        <w:spacing w:line="480" w:lineRule="atLeast"/>
        <w:ind w:firstLine="480"/>
        <w:jc w:val="left"/>
        <w:textAlignment w:val="baseline"/>
        <w:rPr>
          <w:rFonts w:ascii="宋体" w:hAnsi="宋体" w:eastAsia="宋体" w:cs="宋体"/>
          <w:color w:val="333333"/>
          <w:kern w:val="0"/>
          <w:sz w:val="24"/>
        </w:rPr>
      </w:pPr>
      <w:r>
        <w:rPr>
          <w:rFonts w:hint="eastAsia" w:ascii="宋体" w:hAnsi="宋体" w:eastAsia="宋体" w:cs="宋体"/>
          <w:color w:val="333333"/>
          <w:kern w:val="0"/>
          <w:sz w:val="24"/>
        </w:rPr>
        <w:t xml:space="preserve">在本课程的建设过程中，以化工安全生产和管理能力培养为重点，听取了化工行业专家以及毕业生的意见，同时在课程组中引进化工行业安全专家和工程技术人员参加课程建设，重组教学内容，基于化工安全生产职业岗位的工作过程，实现了模块化教学，每个模块都设置了学习目标和任务。 </w:t>
      </w:r>
    </w:p>
    <w:p>
      <w:pPr>
        <w:widowControl/>
        <w:spacing w:line="480" w:lineRule="atLeast"/>
        <w:ind w:firstLine="480"/>
        <w:jc w:val="left"/>
        <w:textAlignment w:val="baseline"/>
        <w:rPr>
          <w:rFonts w:ascii="宋体" w:hAnsi="宋体" w:eastAsia="宋体" w:cs="宋体"/>
          <w:color w:val="333333"/>
          <w:kern w:val="0"/>
          <w:sz w:val="24"/>
        </w:rPr>
      </w:pPr>
      <w:r>
        <w:rPr>
          <w:rFonts w:hint="eastAsia" w:ascii="宋体" w:hAnsi="宋体" w:eastAsia="宋体" w:cs="宋体"/>
          <w:color w:val="333333"/>
          <w:kern w:val="0"/>
          <w:sz w:val="24"/>
        </w:rPr>
        <w:t xml:space="preserve">同时，本课程还设有单项实训项目，其在化工安全生产中都是一个完整的工作过程。通过三地三合（“三地”是教室、实训场地和企业现场；“三合”是理论技能训练相结合、专题训练与生产综合实训相结合和工学结合）的教学模式，使理论和实践有机融合，教学做合一，不但培养了学生的化工安全知识和技能，还培养了学生综合技能和化工安全的职业素养。 </w:t>
      </w:r>
    </w:p>
    <w:p>
      <w:pPr>
        <w:widowControl/>
        <w:spacing w:line="480" w:lineRule="atLeast"/>
        <w:ind w:firstLine="480"/>
        <w:jc w:val="left"/>
        <w:textAlignment w:val="baseline"/>
        <w:rPr>
          <w:rFonts w:ascii="宋体" w:hAnsi="宋体" w:eastAsia="宋体" w:cs="宋体"/>
          <w:color w:val="333333"/>
          <w:kern w:val="0"/>
          <w:sz w:val="24"/>
        </w:rPr>
      </w:pPr>
      <w:r>
        <w:rPr>
          <w:rFonts w:hint="eastAsia" w:ascii="宋体" w:hAnsi="宋体" w:eastAsia="宋体" w:cs="宋体"/>
          <w:color w:val="333333"/>
          <w:kern w:val="0"/>
          <w:sz w:val="24"/>
        </w:rPr>
        <w:t>学生在课程中需要化学品安全知识、化工生产防火防爆、化工火灾扑救、机械伤害的预防、锅炉与压力容器的安全技术、化工用电安全、化工静电安全、化工检修安全以及防护器材及用品等知识学习和技能训练。这完全符合化工安全生产操作、安全管理的工作岗位任务，充分体现了化工安全技术的职业性。</w:t>
      </w:r>
    </w:p>
    <w:p>
      <w:pPr>
        <w:adjustRightInd w:val="0"/>
        <w:snapToGrid w:val="0"/>
        <w:spacing w:beforeLines="50" w:line="360" w:lineRule="auto"/>
        <w:ind w:firstLine="480" w:firstLineChars="150"/>
        <w:rPr>
          <w:rFonts w:ascii="黑体" w:hAnsi="黑体" w:eastAsia="黑体" w:cs="Times New Roman"/>
          <w:sz w:val="32"/>
          <w:szCs w:val="32"/>
        </w:rPr>
      </w:pPr>
      <w:r>
        <w:rPr>
          <w:rFonts w:hint="eastAsia" w:ascii="黑体" w:hAnsi="黑体" w:eastAsia="黑体" w:cs="Times New Roman"/>
          <w:sz w:val="32"/>
          <w:szCs w:val="32"/>
        </w:rPr>
        <w:t>三、课程目标</w:t>
      </w:r>
    </w:p>
    <w:p>
      <w:pPr>
        <w:widowControl/>
        <w:spacing w:line="480" w:lineRule="atLeast"/>
        <w:ind w:firstLine="480"/>
        <w:jc w:val="left"/>
        <w:textAlignment w:val="baseline"/>
        <w:rPr>
          <w:rFonts w:ascii="宋体" w:hAnsi="宋体" w:eastAsia="宋体" w:cs="宋体"/>
          <w:color w:val="333333"/>
          <w:kern w:val="0"/>
          <w:sz w:val="24"/>
        </w:rPr>
      </w:pPr>
      <w:r>
        <w:rPr>
          <w:rFonts w:hint="eastAsia" w:ascii="宋体" w:hAnsi="宋体" w:eastAsia="宋体" w:cs="宋体"/>
          <w:color w:val="333333"/>
          <w:kern w:val="0"/>
          <w:sz w:val="24"/>
        </w:rPr>
        <w:t>本课程的目标是：化工安全技术的教学是以易产生的各类事故为主线，对一些特殊的事故，运用设备、工艺和化工方面的基础知识，将课程内容融会贯通。通过本门课程的学习及对各类事故的剖析,使学生了解在类似的环境下存在的安全隐患，以及采取何种措施才是合适的保证安全生产的方法。培养学生运用所学知识研究生产系统中存在的安全问题以及解决问题的能力，为将来所从事的工作岗位发挥专业技能打下基础。</w:t>
      </w:r>
    </w:p>
    <w:p>
      <w:pPr>
        <w:widowControl/>
        <w:spacing w:line="360" w:lineRule="auto"/>
        <w:ind w:firstLine="480" w:firstLineChars="200"/>
        <w:rPr>
          <w:rFonts w:ascii="宋体" w:hAnsi="宋体" w:eastAsia="宋体" w:cs="宋体"/>
          <w:color w:val="000000"/>
          <w:kern w:val="0"/>
          <w:sz w:val="24"/>
        </w:rPr>
      </w:pPr>
      <w:r>
        <w:rPr>
          <w:rFonts w:hint="eastAsia" w:ascii="宋体" w:hAnsi="宋体" w:eastAsia="宋体" w:cs="宋体"/>
          <w:color w:val="000000"/>
          <w:kern w:val="0"/>
          <w:sz w:val="24"/>
        </w:rPr>
        <w:t>1.专业知识</w:t>
      </w:r>
    </w:p>
    <w:tbl>
      <w:tblPr>
        <w:tblStyle w:val="7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widowControl/>
              <w:spacing w:line="480" w:lineRule="atLeast"/>
              <w:jc w:val="left"/>
              <w:textAlignment w:val="baseline"/>
              <w:rPr>
                <w:rFonts w:ascii="宋体" w:hAnsi="宋体" w:eastAsia="宋体" w:cs="宋体"/>
                <w:color w:val="333333"/>
                <w:kern w:val="0"/>
                <w:sz w:val="24"/>
              </w:rPr>
            </w:pPr>
            <w:r>
              <w:rPr>
                <w:rFonts w:hint="eastAsia" w:ascii="宋体" w:hAnsi="宋体" w:eastAsia="宋体" w:cs="宋体"/>
                <w:color w:val="333333"/>
                <w:kern w:val="0"/>
                <w:sz w:val="24"/>
              </w:rPr>
              <w:t xml:space="preserve">（1）了解当今化学工业概貌及其发展方向；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widowControl/>
              <w:spacing w:line="480" w:lineRule="atLeast"/>
              <w:jc w:val="left"/>
              <w:textAlignment w:val="baseline"/>
              <w:rPr>
                <w:rFonts w:ascii="宋体" w:hAnsi="宋体" w:eastAsia="宋体" w:cs="宋体"/>
                <w:color w:val="333333"/>
                <w:kern w:val="0"/>
                <w:sz w:val="24"/>
              </w:rPr>
            </w:pPr>
            <w:r>
              <w:rPr>
                <w:rFonts w:hint="eastAsia" w:ascii="宋体" w:hAnsi="宋体" w:eastAsia="宋体" w:cs="宋体"/>
                <w:color w:val="333333"/>
                <w:kern w:val="0"/>
                <w:sz w:val="24"/>
              </w:rPr>
              <w:t xml:space="preserve">（2）掌握化学危险物质的分类、特点及安全贮存与运输。在物质性质的基础上把握化学危险物质的正确识别与处理；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widowControl/>
              <w:spacing w:line="480" w:lineRule="atLeast"/>
              <w:jc w:val="left"/>
              <w:textAlignment w:val="baseline"/>
              <w:rPr>
                <w:rFonts w:ascii="宋体" w:hAnsi="宋体" w:eastAsia="宋体" w:cs="宋体"/>
                <w:color w:val="333333"/>
                <w:kern w:val="0"/>
                <w:sz w:val="24"/>
              </w:rPr>
            </w:pPr>
            <w:r>
              <w:rPr>
                <w:rFonts w:hint="eastAsia" w:ascii="宋体" w:hAnsi="宋体" w:eastAsia="宋体" w:cs="宋体"/>
                <w:color w:val="333333"/>
                <w:kern w:val="0"/>
                <w:sz w:val="24"/>
              </w:rPr>
              <w:t xml:space="preserve">（3）掌握防火防爆防尘防毒技术。重点掌握化工工艺参数的安全控制及火灾与爆炸蔓延的有效控制措施，并把握尘毒防护的方法；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widowControl/>
              <w:spacing w:line="480" w:lineRule="atLeast"/>
              <w:jc w:val="left"/>
              <w:textAlignment w:val="baseline"/>
              <w:rPr>
                <w:rFonts w:ascii="宋体" w:hAnsi="宋体" w:eastAsia="宋体" w:cs="宋体"/>
                <w:color w:val="333333"/>
                <w:kern w:val="0"/>
                <w:sz w:val="24"/>
              </w:rPr>
            </w:pPr>
            <w:r>
              <w:rPr>
                <w:rFonts w:hint="eastAsia" w:ascii="宋体" w:hAnsi="宋体" w:eastAsia="宋体" w:cs="宋体"/>
                <w:color w:val="333333"/>
                <w:kern w:val="0"/>
                <w:sz w:val="24"/>
              </w:rPr>
              <w:t xml:space="preserve">（4）了解压力容器的分类、安全附件及其定期检验等。掌握工业锅炉、压力管道及气瓶等压力容器的安全使用知识；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widowControl/>
              <w:spacing w:line="480" w:lineRule="atLeast"/>
              <w:jc w:val="left"/>
              <w:textAlignment w:val="baseline"/>
              <w:rPr>
                <w:rFonts w:ascii="宋体" w:hAnsi="宋体" w:eastAsia="宋体" w:cs="宋体"/>
                <w:color w:val="333333"/>
                <w:kern w:val="0"/>
                <w:sz w:val="24"/>
              </w:rPr>
            </w:pPr>
            <w:r>
              <w:rPr>
                <w:rFonts w:hint="eastAsia" w:ascii="宋体" w:hAnsi="宋体" w:eastAsia="宋体" w:cs="宋体"/>
                <w:color w:val="333333"/>
                <w:kern w:val="0"/>
                <w:sz w:val="24"/>
              </w:rPr>
              <w:t xml:space="preserve">（5）了解电气安全与静电防护技术。重点掌握触电急救的方法，并熟悉建筑物、化工设备及人体防雷的方法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widowControl/>
              <w:spacing w:line="480" w:lineRule="atLeast"/>
              <w:jc w:val="left"/>
              <w:textAlignment w:val="baseline"/>
              <w:rPr>
                <w:rFonts w:ascii="宋体" w:hAnsi="宋体" w:eastAsia="宋体" w:cs="宋体"/>
                <w:color w:val="333333"/>
                <w:kern w:val="0"/>
                <w:sz w:val="24"/>
              </w:rPr>
            </w:pPr>
            <w:r>
              <w:rPr>
                <w:rFonts w:hint="eastAsia" w:ascii="宋体" w:hAnsi="宋体" w:eastAsia="宋体" w:cs="宋体"/>
                <w:color w:val="333333"/>
                <w:kern w:val="0"/>
                <w:sz w:val="24"/>
              </w:rPr>
              <w:t xml:space="preserve">（6）重点掌握化工装置的安全检修基础知识。把握装置停车的安全处理，以及检修中的动火安全、动电安全、高处作业、罐内作业等；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widowControl/>
              <w:spacing w:line="480" w:lineRule="atLeast"/>
              <w:jc w:val="left"/>
              <w:textAlignment w:val="baseline"/>
              <w:rPr>
                <w:rFonts w:ascii="宋体" w:hAnsi="宋体" w:eastAsia="宋体" w:cs="宋体"/>
                <w:color w:val="333333"/>
                <w:kern w:val="0"/>
                <w:sz w:val="24"/>
              </w:rPr>
            </w:pPr>
            <w:r>
              <w:rPr>
                <w:rFonts w:hint="eastAsia" w:ascii="宋体" w:hAnsi="宋体" w:eastAsia="宋体" w:cs="宋体"/>
                <w:color w:val="333333"/>
                <w:kern w:val="0"/>
                <w:sz w:val="24"/>
              </w:rPr>
              <w:t>（7）掌握安全系统工程的基本概念，掌握危险性评价的方法。重点把握“人-机-环境”系统的危险性识别，并熟悉把握危险性预先分析法和火灾爆炸危险指数法。</w:t>
            </w:r>
          </w:p>
        </w:tc>
      </w:tr>
    </w:tbl>
    <w:p>
      <w:pPr>
        <w:widowControl/>
        <w:spacing w:line="360" w:lineRule="auto"/>
        <w:ind w:firstLine="480" w:firstLineChars="200"/>
        <w:rPr>
          <w:rFonts w:ascii="宋体" w:hAnsi="宋体" w:eastAsia="宋体" w:cs="宋体"/>
          <w:color w:val="000000"/>
          <w:kern w:val="0"/>
          <w:sz w:val="24"/>
        </w:rPr>
      </w:pPr>
      <w:r>
        <w:rPr>
          <w:rFonts w:hint="eastAsia" w:ascii="宋体" w:hAnsi="宋体" w:eastAsia="宋体" w:cs="宋体"/>
          <w:color w:val="000000"/>
          <w:kern w:val="0"/>
          <w:sz w:val="24"/>
        </w:rPr>
        <w:t>2.专业技能</w:t>
      </w:r>
    </w:p>
    <w:tbl>
      <w:tblPr>
        <w:tblStyle w:val="7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widowControl/>
              <w:spacing w:line="480" w:lineRule="atLeast"/>
              <w:jc w:val="left"/>
              <w:textAlignment w:val="baseline"/>
              <w:rPr>
                <w:rFonts w:ascii="宋体" w:hAnsi="宋体" w:eastAsia="宋体" w:cs="宋体"/>
                <w:color w:val="333333"/>
                <w:kern w:val="0"/>
                <w:sz w:val="24"/>
              </w:rPr>
            </w:pPr>
            <w:r>
              <w:rPr>
                <w:rFonts w:hint="eastAsia" w:ascii="宋体" w:hAnsi="宋体" w:eastAsia="宋体" w:cs="宋体"/>
                <w:color w:val="333333"/>
                <w:kern w:val="0"/>
                <w:sz w:val="24"/>
              </w:rPr>
              <w:t xml:space="preserve">（1）能够运用防火、防爆、防尘、防毒、防静电分析和处理化工生产中存在的安全问题以及做好自身的安全防护；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widowControl/>
              <w:spacing w:line="480" w:lineRule="atLeast"/>
              <w:jc w:val="left"/>
              <w:textAlignment w:val="baseline"/>
              <w:rPr>
                <w:rFonts w:ascii="宋体" w:hAnsi="宋体" w:eastAsia="宋体" w:cs="宋体"/>
                <w:color w:val="333333"/>
                <w:kern w:val="0"/>
                <w:sz w:val="24"/>
              </w:rPr>
            </w:pPr>
            <w:r>
              <w:rPr>
                <w:rFonts w:hint="eastAsia" w:ascii="宋体" w:hAnsi="宋体" w:eastAsia="宋体" w:cs="宋体"/>
                <w:color w:val="333333"/>
                <w:kern w:val="0"/>
                <w:sz w:val="24"/>
              </w:rPr>
              <w:t xml:space="preserve">（2）能够运用电气安全技术协助化工仪表技术人员分析和处理化工仪表及自动化系统中的安全问题；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widowControl/>
              <w:spacing w:line="480" w:lineRule="atLeast"/>
              <w:jc w:val="left"/>
              <w:textAlignment w:val="baseline"/>
              <w:rPr>
                <w:rFonts w:ascii="宋体" w:hAnsi="宋体" w:eastAsia="宋体" w:cs="宋体"/>
                <w:color w:val="333333"/>
                <w:kern w:val="0"/>
                <w:sz w:val="24"/>
              </w:rPr>
            </w:pPr>
            <w:r>
              <w:rPr>
                <w:rFonts w:hint="eastAsia" w:ascii="宋体" w:hAnsi="宋体" w:eastAsia="宋体" w:cs="宋体"/>
                <w:color w:val="333333"/>
                <w:kern w:val="0"/>
                <w:sz w:val="24"/>
              </w:rPr>
              <w:t xml:space="preserve">（3）能够运用压力容器安全技术知识，安全地操作压力容器，能够发现安全隐患并能采取相应的措施防止事故的出现和扩大；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widowControl/>
              <w:spacing w:line="480" w:lineRule="atLeast"/>
              <w:jc w:val="left"/>
              <w:textAlignment w:val="baseline"/>
              <w:rPr>
                <w:rFonts w:ascii="宋体" w:hAnsi="宋体" w:eastAsia="宋体" w:cs="宋体"/>
                <w:color w:val="333333"/>
                <w:kern w:val="0"/>
                <w:sz w:val="24"/>
              </w:rPr>
            </w:pPr>
            <w:r>
              <w:rPr>
                <w:rFonts w:hint="eastAsia" w:ascii="宋体" w:hAnsi="宋体" w:eastAsia="宋体" w:cs="宋体"/>
                <w:color w:val="333333"/>
                <w:kern w:val="0"/>
                <w:sz w:val="24"/>
              </w:rPr>
              <w:t xml:space="preserve">（4）能够运用化工安全检修技术协助化工设备人员进行化工设备机械的检修、维护和使用；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widowControl/>
              <w:spacing w:line="360" w:lineRule="auto"/>
              <w:rPr>
                <w:rFonts w:ascii="宋体" w:hAnsi="宋体" w:eastAsia="宋体" w:cs="宋体"/>
                <w:color w:val="333333"/>
                <w:kern w:val="0"/>
                <w:sz w:val="24"/>
              </w:rPr>
            </w:pPr>
            <w:r>
              <w:rPr>
                <w:rFonts w:hint="eastAsia" w:ascii="宋体" w:hAnsi="宋体" w:eastAsia="宋体" w:cs="宋体"/>
                <w:color w:val="333333"/>
                <w:kern w:val="0"/>
                <w:sz w:val="24"/>
              </w:rPr>
              <w:t>（5）初步具备综合运用化工安全技术知识，处理化工生产中的各种危险情况，并能够制订出相应的防护措施。</w:t>
            </w:r>
          </w:p>
        </w:tc>
      </w:tr>
    </w:tbl>
    <w:p>
      <w:pPr>
        <w:widowControl/>
        <w:spacing w:line="360" w:lineRule="auto"/>
        <w:ind w:firstLine="480" w:firstLineChars="200"/>
        <w:rPr>
          <w:rFonts w:ascii="宋体" w:hAnsi="宋体" w:eastAsia="宋体" w:cs="宋体"/>
          <w:color w:val="000000"/>
          <w:kern w:val="0"/>
          <w:sz w:val="24"/>
        </w:rPr>
      </w:pPr>
      <w:r>
        <w:rPr>
          <w:rFonts w:hint="eastAsia" w:ascii="宋体" w:hAnsi="宋体" w:eastAsia="宋体" w:cs="宋体"/>
          <w:color w:val="000000"/>
          <w:kern w:val="0"/>
          <w:sz w:val="24"/>
        </w:rPr>
        <w:t>3.自身素质</w:t>
      </w:r>
    </w:p>
    <w:tbl>
      <w:tblPr>
        <w:tblStyle w:val="7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widowControl/>
              <w:spacing w:line="480" w:lineRule="atLeast"/>
              <w:jc w:val="left"/>
              <w:textAlignment w:val="baseline"/>
              <w:rPr>
                <w:rFonts w:ascii="宋体" w:hAnsi="宋体" w:eastAsia="宋体" w:cs="宋体"/>
                <w:kern w:val="0"/>
                <w:sz w:val="24"/>
              </w:rPr>
            </w:pPr>
            <w:r>
              <w:rPr>
                <w:rFonts w:hint="eastAsia" w:ascii="宋体" w:hAnsi="宋体" w:eastAsia="宋体" w:cs="宋体"/>
                <w:color w:val="333333"/>
                <w:kern w:val="0"/>
                <w:sz w:val="24"/>
              </w:rPr>
              <w:t>（1）具备化工生产的安全、环保及劳动卫生防护职业素养；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widowControl/>
              <w:spacing w:line="480" w:lineRule="atLeast"/>
              <w:jc w:val="left"/>
              <w:textAlignment w:val="baseline"/>
              <w:rPr>
                <w:rFonts w:ascii="宋体" w:hAnsi="宋体" w:eastAsia="宋体" w:cs="宋体"/>
                <w:kern w:val="0"/>
                <w:sz w:val="24"/>
              </w:rPr>
            </w:pPr>
            <w:r>
              <w:rPr>
                <w:rFonts w:hint="eastAsia" w:ascii="宋体" w:hAnsi="宋体" w:eastAsia="宋体" w:cs="宋体"/>
                <w:color w:val="333333"/>
                <w:kern w:val="0"/>
                <w:sz w:val="24"/>
              </w:rPr>
              <w:t>（2）具备化工生产遵章守纪的职业道德；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widowControl/>
              <w:spacing w:line="480" w:lineRule="atLeast"/>
              <w:jc w:val="left"/>
              <w:textAlignment w:val="baseline"/>
              <w:rPr>
                <w:rFonts w:ascii="宋体" w:hAnsi="宋体" w:eastAsia="宋体" w:cs="宋体"/>
                <w:kern w:val="0"/>
                <w:sz w:val="24"/>
              </w:rPr>
            </w:pPr>
            <w:r>
              <w:rPr>
                <w:rFonts w:hint="eastAsia" w:ascii="宋体" w:hAnsi="宋体" w:eastAsia="宋体" w:cs="宋体"/>
                <w:color w:val="333333"/>
                <w:kern w:val="0"/>
                <w:sz w:val="24"/>
              </w:rPr>
              <w:t>（3）具备强烈的责任感和吃苦耐劳的精神；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widowControl/>
              <w:spacing w:line="480" w:lineRule="atLeast"/>
              <w:jc w:val="left"/>
              <w:textAlignment w:val="baseline"/>
              <w:rPr>
                <w:rFonts w:ascii="宋体" w:hAnsi="宋体" w:eastAsia="宋体" w:cs="宋体"/>
                <w:kern w:val="0"/>
                <w:sz w:val="24"/>
              </w:rPr>
            </w:pPr>
            <w:r>
              <w:rPr>
                <w:rFonts w:hint="eastAsia" w:ascii="宋体" w:hAnsi="宋体" w:eastAsia="宋体" w:cs="宋体"/>
                <w:color w:val="333333"/>
                <w:kern w:val="0"/>
                <w:sz w:val="24"/>
              </w:rPr>
              <w:t>（4）具备资料查阅、信息检索和加工等自我学习能力；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widowControl/>
              <w:spacing w:line="480" w:lineRule="atLeast"/>
              <w:jc w:val="left"/>
              <w:textAlignment w:val="baseline"/>
              <w:rPr>
                <w:rFonts w:ascii="宋体" w:hAnsi="宋体" w:eastAsia="宋体" w:cs="宋体"/>
                <w:kern w:val="0"/>
                <w:sz w:val="24"/>
              </w:rPr>
            </w:pPr>
            <w:r>
              <w:rPr>
                <w:rFonts w:hint="eastAsia" w:ascii="宋体" w:hAnsi="宋体" w:eastAsia="宋体" w:cs="宋体"/>
                <w:color w:val="333333"/>
                <w:kern w:val="0"/>
                <w:sz w:val="24"/>
              </w:rPr>
              <w:t>（5）具备发现、分析和解决问题能力；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widowControl/>
              <w:spacing w:line="480" w:lineRule="atLeast"/>
              <w:jc w:val="left"/>
              <w:textAlignment w:val="baseline"/>
              <w:rPr>
                <w:rFonts w:ascii="宋体" w:hAnsi="宋体" w:eastAsia="宋体" w:cs="宋体"/>
                <w:kern w:val="0"/>
                <w:sz w:val="24"/>
              </w:rPr>
            </w:pPr>
            <w:r>
              <w:rPr>
                <w:rFonts w:hint="eastAsia" w:ascii="宋体" w:hAnsi="宋体" w:eastAsia="宋体" w:cs="宋体"/>
                <w:color w:val="333333"/>
                <w:kern w:val="0"/>
                <w:sz w:val="24"/>
              </w:rPr>
              <w:t>（6）具备表达、沟通和与人合作、岗位与岗位之间合作的能力。</w:t>
            </w:r>
          </w:p>
        </w:tc>
      </w:tr>
    </w:tbl>
    <w:p>
      <w:pPr>
        <w:adjustRightInd w:val="0"/>
        <w:snapToGrid w:val="0"/>
        <w:spacing w:beforeLines="50" w:line="360" w:lineRule="auto"/>
        <w:ind w:firstLine="480" w:firstLineChars="150"/>
        <w:rPr>
          <w:rFonts w:ascii="黑体" w:hAnsi="黑体" w:eastAsia="黑体" w:cs="Times New Roman"/>
          <w:sz w:val="32"/>
          <w:szCs w:val="32"/>
        </w:rPr>
      </w:pPr>
      <w:r>
        <w:rPr>
          <w:rFonts w:hint="eastAsia" w:ascii="黑体" w:hAnsi="黑体" w:eastAsia="黑体" w:cs="Times New Roman"/>
          <w:sz w:val="32"/>
          <w:szCs w:val="32"/>
        </w:rPr>
        <w:t>四、课程教学内容及学时分配</w:t>
      </w:r>
    </w:p>
    <w:p>
      <w:pPr>
        <w:spacing w:line="360" w:lineRule="auto"/>
        <w:ind w:firstLine="480" w:firstLineChars="200"/>
        <w:rPr>
          <w:rFonts w:ascii="宋体" w:hAnsi="宋体" w:eastAsia="宋体" w:cs="Times New Roman"/>
          <w:sz w:val="24"/>
        </w:rPr>
      </w:pPr>
      <w:r>
        <w:rPr>
          <w:rFonts w:hint="eastAsia" w:ascii="宋体" w:hAnsi="宋体" w:eastAsia="宋体" w:cs="宋体"/>
          <w:color w:val="333333"/>
          <w:sz w:val="24"/>
        </w:rPr>
        <w:t>本课程以化工生产中存在的各类危险源为主线，分别针对火灾爆炸、危险化学品、尘毒危害、酸碱腐蚀、压力容器、电气安全、装置检修等不安全因素而采取的预防与控制措施，以及企业安全管理的方法等来进行教学内容的组织与安排。</w:t>
      </w:r>
    </w:p>
    <w:p>
      <w:pPr>
        <w:spacing w:afterLines="50" w:line="360" w:lineRule="auto"/>
        <w:jc w:val="center"/>
        <w:rPr>
          <w:rFonts w:ascii="Times New Roman" w:hAnsi="Times New Roman" w:eastAsia="宋体" w:cs="Times New Roman"/>
          <w:kern w:val="0"/>
          <w:sz w:val="24"/>
        </w:rPr>
      </w:pPr>
      <w:r>
        <w:rPr>
          <w:rFonts w:hint="eastAsia" w:ascii="宋体" w:hAnsi="宋体" w:eastAsia="宋体" w:cs="宋体"/>
          <w:kern w:val="0"/>
          <w:sz w:val="24"/>
        </w:rPr>
        <w:t>表4.5</w:t>
      </w:r>
      <w:r>
        <w:rPr>
          <w:rFonts w:hint="eastAsia" w:ascii="宋体" w:hAnsi="宋体" w:eastAsia="宋体" w:cs="Times New Roman"/>
          <w:kern w:val="0"/>
          <w:sz w:val="24"/>
        </w:rPr>
        <w:t>《</w:t>
      </w:r>
      <w:r>
        <w:rPr>
          <w:rFonts w:ascii="Times New Roman" w:hAnsi="宋体" w:eastAsia="宋体" w:cs="Times New Roman"/>
          <w:kern w:val="0"/>
          <w:sz w:val="24"/>
        </w:rPr>
        <w:t>化工</w:t>
      </w:r>
      <w:r>
        <w:rPr>
          <w:rFonts w:hint="eastAsia" w:ascii="Times New Roman" w:hAnsi="宋体" w:eastAsia="宋体" w:cs="Times New Roman"/>
          <w:kern w:val="0"/>
          <w:sz w:val="24"/>
        </w:rPr>
        <w:t>安全技术</w:t>
      </w:r>
      <w:r>
        <w:rPr>
          <w:rFonts w:hint="eastAsia" w:ascii="宋体" w:hAnsi="宋体" w:eastAsia="宋体" w:cs="Times New Roman"/>
          <w:kern w:val="0"/>
          <w:sz w:val="24"/>
        </w:rPr>
        <w:t>》</w:t>
      </w:r>
      <w:r>
        <w:rPr>
          <w:rFonts w:hint="eastAsia" w:ascii="宋体" w:hAnsi="宋体" w:eastAsia="宋体" w:cs="Times New Roman"/>
          <w:sz w:val="24"/>
        </w:rPr>
        <w:t>教学内容安排</w:t>
      </w:r>
    </w:p>
    <w:tbl>
      <w:tblPr>
        <w:tblStyle w:val="18"/>
        <w:tblW w:w="8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5"/>
        <w:gridCol w:w="4140"/>
        <w:gridCol w:w="2812"/>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vAlign w:val="center"/>
          </w:tcPr>
          <w:p>
            <w:pPr>
              <w:jc w:val="center"/>
              <w:rPr>
                <w:rFonts w:ascii="宋体" w:hAnsi="宋体" w:eastAsia="宋体" w:cs="Times New Roman"/>
                <w:b/>
                <w:bCs/>
                <w:szCs w:val="21"/>
              </w:rPr>
            </w:pPr>
            <w:r>
              <w:rPr>
                <w:rFonts w:ascii="宋体" w:hAnsi="宋体" w:eastAsia="宋体" w:cs="Times New Roman"/>
                <w:b/>
                <w:bCs/>
                <w:szCs w:val="21"/>
              </w:rPr>
              <w:t>项目任务</w:t>
            </w:r>
          </w:p>
        </w:tc>
        <w:tc>
          <w:tcPr>
            <w:tcW w:w="4140" w:type="dxa"/>
            <w:vAlign w:val="center"/>
          </w:tcPr>
          <w:p>
            <w:pPr>
              <w:ind w:firstLine="422" w:firstLineChars="200"/>
              <w:jc w:val="center"/>
              <w:rPr>
                <w:rFonts w:ascii="宋体" w:hAnsi="宋体" w:eastAsia="宋体" w:cs="Times New Roman"/>
                <w:b/>
                <w:bCs/>
                <w:szCs w:val="21"/>
              </w:rPr>
            </w:pPr>
            <w:r>
              <w:rPr>
                <w:rFonts w:ascii="宋体" w:hAnsi="宋体" w:eastAsia="宋体" w:cs="Times New Roman"/>
                <w:b/>
                <w:bCs/>
                <w:szCs w:val="21"/>
              </w:rPr>
              <w:t>学习情境描述及目标</w:t>
            </w:r>
          </w:p>
        </w:tc>
        <w:tc>
          <w:tcPr>
            <w:tcW w:w="2812" w:type="dxa"/>
            <w:vAlign w:val="center"/>
          </w:tcPr>
          <w:p>
            <w:pPr>
              <w:ind w:firstLine="422" w:firstLineChars="200"/>
              <w:jc w:val="center"/>
              <w:rPr>
                <w:rFonts w:ascii="宋体" w:hAnsi="宋体" w:eastAsia="宋体" w:cs="Times New Roman"/>
                <w:b/>
                <w:bCs/>
                <w:szCs w:val="21"/>
              </w:rPr>
            </w:pPr>
            <w:r>
              <w:rPr>
                <w:rFonts w:ascii="宋体" w:hAnsi="宋体" w:eastAsia="宋体" w:cs="Times New Roman"/>
                <w:b/>
                <w:bCs/>
                <w:szCs w:val="21"/>
              </w:rPr>
              <w:t>学习内容</w:t>
            </w:r>
          </w:p>
        </w:tc>
        <w:tc>
          <w:tcPr>
            <w:tcW w:w="720" w:type="dxa"/>
            <w:vAlign w:val="center"/>
          </w:tcPr>
          <w:p>
            <w:pPr>
              <w:jc w:val="center"/>
              <w:rPr>
                <w:rFonts w:ascii="宋体" w:hAnsi="宋体" w:eastAsia="宋体" w:cs="Times New Roman"/>
                <w:b/>
                <w:bCs/>
                <w:szCs w:val="21"/>
              </w:rPr>
            </w:pPr>
            <w:r>
              <w:rPr>
                <w:rFonts w:ascii="宋体" w:hAnsi="宋体" w:eastAsia="宋体" w:cs="Times New Roman"/>
                <w:b/>
                <w:bCs/>
                <w:szCs w:val="21"/>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危险</w:t>
            </w:r>
          </w:p>
          <w:p>
            <w:pPr>
              <w:widowControl/>
              <w:jc w:val="center"/>
              <w:rPr>
                <w:rFonts w:ascii="宋体" w:hAnsi="宋体" w:eastAsia="宋体" w:cs="宋体"/>
                <w:color w:val="666666"/>
                <w:kern w:val="0"/>
                <w:szCs w:val="21"/>
              </w:rPr>
            </w:pPr>
            <w:r>
              <w:rPr>
                <w:rFonts w:hint="eastAsia" w:ascii="宋体" w:hAnsi="宋体" w:eastAsia="宋体" w:cs="宋体"/>
                <w:color w:val="000000"/>
                <w:kern w:val="0"/>
                <w:szCs w:val="21"/>
              </w:rPr>
              <w:t>化学品</w:t>
            </w:r>
          </w:p>
        </w:tc>
        <w:tc>
          <w:tcPr>
            <w:tcW w:w="4140" w:type="dxa"/>
            <w:vAlign w:val="center"/>
          </w:tcPr>
          <w:p>
            <w:pPr>
              <w:rPr>
                <w:rFonts w:ascii="宋体" w:hAnsi="宋体" w:eastAsia="宋体" w:cs="宋体"/>
                <w:szCs w:val="21"/>
              </w:rPr>
            </w:pPr>
            <w:r>
              <w:rPr>
                <w:rFonts w:hint="eastAsia" w:ascii="宋体" w:hAnsi="宋体" w:eastAsia="宋体" w:cs="宋体"/>
                <w:color w:val="000000"/>
                <w:szCs w:val="21"/>
              </w:rPr>
              <w:t>了解：危险化学品的特性与分类</w:t>
            </w:r>
            <w:r>
              <w:rPr>
                <w:rFonts w:hint="eastAsia" w:ascii="宋体" w:hAnsi="宋体" w:eastAsia="宋体" w:cs="宋体"/>
                <w:color w:val="666666"/>
                <w:szCs w:val="21"/>
              </w:rPr>
              <w:t>、</w:t>
            </w:r>
            <w:r>
              <w:rPr>
                <w:rFonts w:hint="eastAsia" w:ascii="宋体" w:hAnsi="宋体" w:eastAsia="宋体" w:cs="宋体"/>
                <w:color w:val="000000"/>
                <w:szCs w:val="21"/>
              </w:rPr>
              <w:t>危险化学品的储存与运输</w:t>
            </w:r>
            <w:r>
              <w:rPr>
                <w:rFonts w:hint="eastAsia" w:ascii="宋体" w:hAnsi="宋体" w:eastAsia="宋体" w:cs="宋体"/>
                <w:color w:val="666666"/>
                <w:szCs w:val="21"/>
              </w:rPr>
              <w:t>、</w:t>
            </w:r>
            <w:r>
              <w:rPr>
                <w:rFonts w:hint="eastAsia" w:ascii="宋体" w:hAnsi="宋体" w:eastAsia="宋体" w:cs="宋体"/>
                <w:color w:val="000000"/>
                <w:szCs w:val="21"/>
              </w:rPr>
              <w:t>重大危险源。</w:t>
            </w:r>
          </w:p>
        </w:tc>
        <w:tc>
          <w:tcPr>
            <w:tcW w:w="2812" w:type="dxa"/>
            <w:vAlign w:val="center"/>
          </w:tcPr>
          <w:p>
            <w:pPr>
              <w:widowControl/>
              <w:jc w:val="left"/>
              <w:rPr>
                <w:rFonts w:ascii="宋体" w:hAnsi="宋体" w:eastAsia="宋体" w:cs="宋体"/>
                <w:color w:val="666666"/>
                <w:kern w:val="0"/>
                <w:szCs w:val="21"/>
              </w:rPr>
            </w:pPr>
            <w:r>
              <w:rPr>
                <w:rFonts w:hint="eastAsia" w:ascii="宋体" w:hAnsi="宋体" w:eastAsia="宋体" w:cs="宋体"/>
                <w:color w:val="000000"/>
                <w:kern w:val="0"/>
                <w:szCs w:val="21"/>
              </w:rPr>
              <w:t>1 危险化学品的特性与分类</w:t>
            </w:r>
          </w:p>
          <w:p>
            <w:pPr>
              <w:widowControl/>
              <w:jc w:val="left"/>
              <w:rPr>
                <w:rFonts w:ascii="宋体" w:hAnsi="宋体" w:eastAsia="宋体" w:cs="宋体"/>
                <w:color w:val="666666"/>
                <w:kern w:val="0"/>
                <w:szCs w:val="21"/>
              </w:rPr>
            </w:pPr>
            <w:r>
              <w:rPr>
                <w:rFonts w:hint="eastAsia" w:ascii="宋体" w:hAnsi="宋体" w:eastAsia="宋体" w:cs="宋体"/>
                <w:color w:val="000000"/>
                <w:kern w:val="0"/>
                <w:szCs w:val="21"/>
              </w:rPr>
              <w:t>2 危险化学品的储存与运输</w:t>
            </w:r>
          </w:p>
          <w:p>
            <w:pPr>
              <w:widowControl/>
              <w:jc w:val="left"/>
              <w:rPr>
                <w:rFonts w:ascii="宋体" w:hAnsi="宋体" w:eastAsia="宋体" w:cs="宋体"/>
                <w:kern w:val="0"/>
                <w:szCs w:val="21"/>
              </w:rPr>
            </w:pPr>
            <w:r>
              <w:rPr>
                <w:rFonts w:hint="eastAsia" w:ascii="宋体" w:hAnsi="宋体" w:eastAsia="宋体" w:cs="宋体"/>
                <w:color w:val="000000"/>
                <w:kern w:val="0"/>
                <w:szCs w:val="21"/>
              </w:rPr>
              <w:t>3 重大危险源</w:t>
            </w:r>
          </w:p>
        </w:tc>
        <w:tc>
          <w:tcPr>
            <w:tcW w:w="720" w:type="dxa"/>
            <w:vAlign w:val="center"/>
          </w:tcPr>
          <w:p>
            <w:pPr>
              <w:jc w:val="center"/>
              <w:rPr>
                <w:rFonts w:ascii="宋体" w:hAnsi="宋体" w:eastAsia="宋体" w:cs="宋体"/>
                <w:szCs w:val="21"/>
              </w:rPr>
            </w:pPr>
            <w:r>
              <w:rPr>
                <w:rFonts w:hint="eastAsia" w:ascii="宋体" w:hAnsi="宋体" w:eastAsia="宋体" w:cs="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vAlign w:val="center"/>
          </w:tcPr>
          <w:p>
            <w:pPr>
              <w:widowControl/>
              <w:jc w:val="left"/>
              <w:rPr>
                <w:rFonts w:ascii="宋体" w:hAnsi="宋体" w:eastAsia="宋体" w:cs="宋体"/>
                <w:kern w:val="0"/>
                <w:szCs w:val="21"/>
              </w:rPr>
            </w:pPr>
            <w:r>
              <w:rPr>
                <w:rFonts w:hint="eastAsia" w:ascii="宋体" w:hAnsi="宋体" w:eastAsia="宋体" w:cs="宋体"/>
                <w:color w:val="000000"/>
                <w:kern w:val="0"/>
                <w:szCs w:val="21"/>
              </w:rPr>
              <w:t>防火防爆安全技术</w:t>
            </w:r>
          </w:p>
        </w:tc>
        <w:tc>
          <w:tcPr>
            <w:tcW w:w="4140" w:type="dxa"/>
            <w:vAlign w:val="center"/>
          </w:tcPr>
          <w:p>
            <w:pPr>
              <w:rPr>
                <w:rFonts w:ascii="宋体" w:hAnsi="宋体" w:eastAsia="宋体" w:cs="宋体"/>
                <w:color w:val="000000"/>
                <w:szCs w:val="21"/>
              </w:rPr>
            </w:pPr>
            <w:r>
              <w:rPr>
                <w:rFonts w:ascii="宋体" w:hAnsi="宋体" w:eastAsia="宋体" w:cs="宋体"/>
                <w:color w:val="000000"/>
                <w:szCs w:val="21"/>
              </w:rPr>
              <w:t>掌握</w:t>
            </w:r>
            <w:r>
              <w:rPr>
                <w:rFonts w:hint="eastAsia" w:ascii="宋体" w:hAnsi="宋体" w:eastAsia="宋体" w:cs="宋体"/>
                <w:color w:val="000000"/>
                <w:szCs w:val="21"/>
              </w:rPr>
              <w:t>：</w:t>
            </w:r>
            <w:r>
              <w:rPr>
                <w:rFonts w:ascii="宋体" w:hAnsi="宋体" w:eastAsia="宋体" w:cs="宋体"/>
                <w:color w:val="000000"/>
                <w:szCs w:val="21"/>
              </w:rPr>
              <w:t>1、燃烧的概念2、燃烧过程3、.燃烧的条件4、掌握几个与物质燃烧、爆炸特性有关的概念：氧指数和最小点火能量等。5、.燃烧机理。6、影响火焰传播速度的因素，阻火器的工作原理。7、掌握爆炸极限的影响因素</w:t>
            </w:r>
          </w:p>
        </w:tc>
        <w:tc>
          <w:tcPr>
            <w:tcW w:w="2812" w:type="dxa"/>
            <w:vAlign w:val="center"/>
          </w:tcPr>
          <w:p>
            <w:pPr>
              <w:rPr>
                <w:rFonts w:ascii="宋体" w:hAnsi="宋体" w:eastAsia="宋体" w:cs="宋体"/>
                <w:color w:val="000000"/>
                <w:szCs w:val="21"/>
              </w:rPr>
            </w:pPr>
            <w:r>
              <w:rPr>
                <w:rFonts w:hint="eastAsia" w:ascii="宋体" w:hAnsi="宋体" w:eastAsia="宋体" w:cs="宋体"/>
                <w:color w:val="000000"/>
                <w:szCs w:val="21"/>
              </w:rPr>
              <w:t>1 燃烧基本知识</w:t>
            </w:r>
          </w:p>
          <w:p>
            <w:pPr>
              <w:rPr>
                <w:rFonts w:ascii="宋体" w:hAnsi="宋体" w:eastAsia="宋体" w:cs="宋体"/>
                <w:color w:val="000000"/>
                <w:szCs w:val="21"/>
              </w:rPr>
            </w:pPr>
            <w:r>
              <w:rPr>
                <w:rFonts w:hint="eastAsia" w:ascii="宋体" w:hAnsi="宋体" w:eastAsia="宋体" w:cs="宋体"/>
                <w:color w:val="000000"/>
                <w:szCs w:val="21"/>
              </w:rPr>
              <w:t>2 爆炸基本知识</w:t>
            </w:r>
          </w:p>
          <w:p>
            <w:pPr>
              <w:rPr>
                <w:rFonts w:ascii="宋体" w:hAnsi="宋体" w:eastAsia="宋体" w:cs="宋体"/>
                <w:color w:val="000000"/>
                <w:szCs w:val="21"/>
              </w:rPr>
            </w:pPr>
            <w:r>
              <w:rPr>
                <w:rFonts w:hint="eastAsia" w:ascii="宋体" w:hAnsi="宋体" w:eastAsia="宋体" w:cs="宋体"/>
                <w:color w:val="000000"/>
                <w:szCs w:val="21"/>
              </w:rPr>
              <w:t>3 火灾爆炸危险物质及其处理</w:t>
            </w:r>
          </w:p>
          <w:p>
            <w:pPr>
              <w:rPr>
                <w:rFonts w:ascii="宋体" w:hAnsi="宋体" w:eastAsia="宋体" w:cs="宋体"/>
                <w:color w:val="000000"/>
                <w:szCs w:val="21"/>
              </w:rPr>
            </w:pPr>
            <w:r>
              <w:rPr>
                <w:rFonts w:hint="eastAsia" w:ascii="宋体" w:hAnsi="宋体" w:eastAsia="宋体" w:cs="宋体"/>
                <w:color w:val="000000"/>
                <w:szCs w:val="21"/>
              </w:rPr>
              <w:t>4 防止火灾爆炸发生</w:t>
            </w:r>
          </w:p>
          <w:p>
            <w:pPr>
              <w:rPr>
                <w:rFonts w:ascii="宋体" w:hAnsi="宋体" w:eastAsia="宋体" w:cs="宋体"/>
                <w:color w:val="000000"/>
                <w:szCs w:val="21"/>
              </w:rPr>
            </w:pPr>
            <w:r>
              <w:rPr>
                <w:rFonts w:hint="eastAsia" w:ascii="宋体" w:hAnsi="宋体" w:eastAsia="宋体" w:cs="宋体"/>
                <w:color w:val="000000"/>
                <w:szCs w:val="21"/>
              </w:rPr>
              <w:t>5 控制火灾及爆炸蔓延</w:t>
            </w:r>
          </w:p>
          <w:p>
            <w:pPr>
              <w:rPr>
                <w:rFonts w:ascii="宋体" w:hAnsi="宋体" w:eastAsia="宋体" w:cs="宋体"/>
                <w:color w:val="000000"/>
                <w:szCs w:val="21"/>
              </w:rPr>
            </w:pPr>
            <w:r>
              <w:rPr>
                <w:rFonts w:hint="eastAsia" w:ascii="宋体" w:hAnsi="宋体" w:eastAsia="宋体" w:cs="宋体"/>
                <w:color w:val="000000"/>
                <w:szCs w:val="21"/>
              </w:rPr>
              <w:t>6灭火原理和方法</w:t>
            </w:r>
          </w:p>
          <w:p>
            <w:pPr>
              <w:rPr>
                <w:rFonts w:ascii="宋体" w:hAnsi="宋体" w:eastAsia="宋体" w:cs="宋体"/>
                <w:color w:val="000000"/>
                <w:szCs w:val="21"/>
              </w:rPr>
            </w:pPr>
            <w:r>
              <w:rPr>
                <w:rFonts w:hint="eastAsia" w:ascii="宋体" w:hAnsi="宋体" w:eastAsia="宋体" w:cs="宋体"/>
                <w:color w:val="000000"/>
                <w:szCs w:val="21"/>
              </w:rPr>
              <w:t>7 灭火剂</w:t>
            </w:r>
          </w:p>
          <w:p>
            <w:pPr>
              <w:rPr>
                <w:rFonts w:ascii="宋体" w:hAnsi="宋体" w:eastAsia="宋体" w:cs="宋体"/>
                <w:color w:val="000000"/>
                <w:szCs w:val="21"/>
              </w:rPr>
            </w:pPr>
            <w:r>
              <w:rPr>
                <w:rFonts w:hint="eastAsia" w:ascii="宋体" w:hAnsi="宋体" w:eastAsia="宋体" w:cs="宋体"/>
                <w:color w:val="000000"/>
                <w:szCs w:val="21"/>
              </w:rPr>
              <w:t>8 灭火器材及消防设施</w:t>
            </w:r>
          </w:p>
          <w:p>
            <w:pPr>
              <w:rPr>
                <w:rFonts w:ascii="宋体" w:hAnsi="宋体" w:eastAsia="宋体" w:cs="宋体"/>
                <w:color w:val="000000"/>
                <w:szCs w:val="21"/>
              </w:rPr>
            </w:pPr>
            <w:r>
              <w:rPr>
                <w:rFonts w:hint="eastAsia" w:ascii="宋体" w:hAnsi="宋体" w:eastAsia="宋体" w:cs="宋体"/>
                <w:color w:val="000000"/>
                <w:szCs w:val="21"/>
              </w:rPr>
              <w:t>9 初起火灾的扑救</w:t>
            </w:r>
          </w:p>
        </w:tc>
        <w:tc>
          <w:tcPr>
            <w:tcW w:w="720" w:type="dxa"/>
            <w:vAlign w:val="center"/>
          </w:tcPr>
          <w:p>
            <w:pPr>
              <w:jc w:val="center"/>
              <w:rPr>
                <w:rFonts w:ascii="宋体" w:hAnsi="宋体" w:eastAsia="宋体" w:cs="宋体"/>
                <w:szCs w:val="21"/>
              </w:rPr>
            </w:pPr>
            <w:r>
              <w:rPr>
                <w:rFonts w:hint="eastAsia" w:ascii="宋体" w:hAnsi="宋体" w:eastAsia="宋体" w:cs="宋体"/>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vAlign w:val="center"/>
          </w:tcPr>
          <w:p>
            <w:pPr>
              <w:rPr>
                <w:rFonts w:ascii="宋体" w:hAnsi="宋体" w:eastAsia="宋体" w:cs="宋体"/>
                <w:szCs w:val="21"/>
              </w:rPr>
            </w:pPr>
            <w:r>
              <w:rPr>
                <w:rFonts w:hint="eastAsia" w:ascii="宋体" w:hAnsi="宋体" w:eastAsia="宋体" w:cs="宋体"/>
                <w:color w:val="000000"/>
                <w:szCs w:val="21"/>
              </w:rPr>
              <w:t>工业毒物安全防护技术</w:t>
            </w:r>
          </w:p>
        </w:tc>
        <w:tc>
          <w:tcPr>
            <w:tcW w:w="4140" w:type="dxa"/>
            <w:vAlign w:val="center"/>
          </w:tcPr>
          <w:p>
            <w:pPr>
              <w:rPr>
                <w:rFonts w:ascii="宋体" w:hAnsi="宋体" w:eastAsia="宋体" w:cs="宋体"/>
                <w:color w:val="000000"/>
                <w:szCs w:val="21"/>
              </w:rPr>
            </w:pPr>
            <w:r>
              <w:rPr>
                <w:rFonts w:hint="eastAsia" w:ascii="宋体" w:hAnsi="宋体" w:eastAsia="宋体" w:cs="宋体"/>
                <w:color w:val="000000"/>
                <w:szCs w:val="21"/>
              </w:rPr>
              <w:t>掌握：</w:t>
            </w:r>
            <w:r>
              <w:rPr>
                <w:rFonts w:ascii="宋体" w:hAnsi="宋体" w:eastAsia="宋体" w:cs="宋体"/>
                <w:color w:val="000000"/>
                <w:szCs w:val="21"/>
              </w:rPr>
              <w:t>1.掌握危害因素的分类，并举例加以说明。2、工业毒物的毒性指标有哪些？3、理解最高容许浓度与阈限值的概念</w:t>
            </w:r>
          </w:p>
        </w:tc>
        <w:tc>
          <w:tcPr>
            <w:tcW w:w="2812" w:type="dxa"/>
            <w:vAlign w:val="center"/>
          </w:tcPr>
          <w:p>
            <w:pPr>
              <w:rPr>
                <w:rFonts w:ascii="宋体" w:hAnsi="宋体" w:eastAsia="宋体" w:cs="宋体"/>
                <w:color w:val="000000"/>
                <w:szCs w:val="21"/>
              </w:rPr>
            </w:pPr>
            <w:r>
              <w:rPr>
                <w:rFonts w:hint="eastAsia" w:ascii="宋体" w:hAnsi="宋体" w:eastAsia="宋体" w:cs="宋体"/>
                <w:color w:val="000000"/>
                <w:szCs w:val="21"/>
              </w:rPr>
              <w:t>1 工业毒物基础知识</w:t>
            </w:r>
          </w:p>
          <w:p>
            <w:pPr>
              <w:rPr>
                <w:rFonts w:ascii="宋体" w:hAnsi="宋体" w:eastAsia="宋体" w:cs="宋体"/>
                <w:color w:val="000000"/>
                <w:szCs w:val="21"/>
              </w:rPr>
            </w:pPr>
            <w:r>
              <w:rPr>
                <w:rFonts w:hint="eastAsia" w:ascii="宋体" w:hAnsi="宋体" w:eastAsia="宋体" w:cs="宋体"/>
                <w:color w:val="000000"/>
                <w:szCs w:val="21"/>
              </w:rPr>
              <w:t>2窒息性气体危害及预防措施</w:t>
            </w:r>
          </w:p>
          <w:p>
            <w:pPr>
              <w:rPr>
                <w:rFonts w:ascii="宋体" w:hAnsi="宋体" w:eastAsia="宋体" w:cs="宋体"/>
                <w:color w:val="000000"/>
                <w:szCs w:val="21"/>
              </w:rPr>
            </w:pPr>
            <w:r>
              <w:rPr>
                <w:rFonts w:hint="eastAsia" w:ascii="宋体" w:hAnsi="宋体" w:eastAsia="宋体" w:cs="宋体"/>
                <w:color w:val="000000"/>
                <w:szCs w:val="21"/>
              </w:rPr>
              <w:t>3典型重金属、有机物危害及预防措施</w:t>
            </w:r>
          </w:p>
          <w:p>
            <w:pPr>
              <w:rPr>
                <w:rFonts w:ascii="宋体" w:hAnsi="宋体" w:eastAsia="宋体" w:cs="宋体"/>
                <w:color w:val="000000"/>
                <w:szCs w:val="21"/>
              </w:rPr>
            </w:pPr>
            <w:r>
              <w:rPr>
                <w:rFonts w:hint="eastAsia" w:ascii="宋体" w:hAnsi="宋体" w:eastAsia="宋体" w:cs="宋体"/>
                <w:color w:val="000000"/>
                <w:szCs w:val="21"/>
              </w:rPr>
              <w:t>4综合防毒技术</w:t>
            </w:r>
          </w:p>
          <w:p>
            <w:pPr>
              <w:rPr>
                <w:rFonts w:ascii="宋体" w:hAnsi="宋体" w:eastAsia="宋体" w:cs="宋体"/>
                <w:color w:val="000000"/>
                <w:szCs w:val="21"/>
              </w:rPr>
            </w:pPr>
            <w:r>
              <w:rPr>
                <w:rFonts w:hint="eastAsia" w:ascii="宋体" w:hAnsi="宋体" w:eastAsia="宋体" w:cs="宋体"/>
                <w:color w:val="000000"/>
                <w:szCs w:val="21"/>
              </w:rPr>
              <w:t>5急性中毒的现场救护</w:t>
            </w:r>
          </w:p>
        </w:tc>
        <w:tc>
          <w:tcPr>
            <w:tcW w:w="720" w:type="dxa"/>
            <w:vAlign w:val="center"/>
          </w:tcPr>
          <w:p>
            <w:pPr>
              <w:jc w:val="center"/>
              <w:rPr>
                <w:rFonts w:ascii="宋体" w:hAnsi="宋体" w:eastAsia="宋体" w:cs="宋体"/>
                <w:szCs w:val="21"/>
              </w:rPr>
            </w:pPr>
            <w:r>
              <w:rPr>
                <w:rFonts w:hint="eastAsia" w:ascii="宋体" w:hAnsi="宋体" w:eastAsia="宋体" w:cs="宋体"/>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vAlign w:val="center"/>
          </w:tcPr>
          <w:p>
            <w:pPr>
              <w:widowControl/>
              <w:jc w:val="left"/>
              <w:rPr>
                <w:rFonts w:ascii="宋体" w:hAnsi="宋体" w:eastAsia="宋体" w:cs="宋体"/>
                <w:kern w:val="0"/>
                <w:szCs w:val="21"/>
              </w:rPr>
            </w:pPr>
            <w:r>
              <w:rPr>
                <w:rFonts w:hint="eastAsia" w:ascii="宋体" w:hAnsi="宋体" w:eastAsia="宋体" w:cs="宋体"/>
                <w:color w:val="000000"/>
                <w:kern w:val="0"/>
                <w:szCs w:val="21"/>
              </w:rPr>
              <w:t>电气安全技术</w:t>
            </w:r>
          </w:p>
        </w:tc>
        <w:tc>
          <w:tcPr>
            <w:tcW w:w="4140" w:type="dxa"/>
            <w:vAlign w:val="center"/>
          </w:tcPr>
          <w:p>
            <w:pPr>
              <w:rPr>
                <w:rFonts w:ascii="宋体" w:hAnsi="宋体" w:eastAsia="宋体" w:cs="宋体"/>
                <w:color w:val="000000"/>
                <w:szCs w:val="21"/>
              </w:rPr>
            </w:pPr>
            <w:r>
              <w:rPr>
                <w:rFonts w:hint="eastAsia" w:ascii="宋体" w:hAnsi="宋体" w:eastAsia="宋体" w:cs="宋体"/>
                <w:color w:val="000000"/>
                <w:szCs w:val="21"/>
              </w:rPr>
              <w:t>了解：电气安全基本知识、电气安全措施、 触电急救</w:t>
            </w:r>
          </w:p>
        </w:tc>
        <w:tc>
          <w:tcPr>
            <w:tcW w:w="2812" w:type="dxa"/>
            <w:vAlign w:val="center"/>
          </w:tcPr>
          <w:p>
            <w:pPr>
              <w:rPr>
                <w:rFonts w:ascii="宋体" w:hAnsi="宋体" w:eastAsia="宋体" w:cs="宋体"/>
                <w:color w:val="000000"/>
                <w:szCs w:val="21"/>
              </w:rPr>
            </w:pPr>
            <w:r>
              <w:rPr>
                <w:rFonts w:hint="eastAsia" w:ascii="宋体" w:hAnsi="宋体" w:eastAsia="宋体" w:cs="宋体"/>
                <w:color w:val="000000"/>
                <w:szCs w:val="21"/>
              </w:rPr>
              <w:t>1 电气安全基本知识</w:t>
            </w:r>
          </w:p>
          <w:p>
            <w:pPr>
              <w:rPr>
                <w:rFonts w:ascii="宋体" w:hAnsi="宋体" w:eastAsia="宋体" w:cs="宋体"/>
                <w:color w:val="000000"/>
                <w:szCs w:val="21"/>
              </w:rPr>
            </w:pPr>
            <w:r>
              <w:rPr>
                <w:rFonts w:hint="eastAsia" w:ascii="宋体" w:hAnsi="宋体" w:eastAsia="宋体" w:cs="宋体"/>
                <w:color w:val="000000"/>
                <w:szCs w:val="21"/>
              </w:rPr>
              <w:t>2 电气安全措施</w:t>
            </w:r>
          </w:p>
          <w:p>
            <w:pPr>
              <w:rPr>
                <w:rFonts w:ascii="宋体" w:hAnsi="宋体" w:eastAsia="宋体" w:cs="宋体"/>
                <w:color w:val="000000"/>
                <w:szCs w:val="21"/>
              </w:rPr>
            </w:pPr>
            <w:r>
              <w:rPr>
                <w:rFonts w:hint="eastAsia" w:ascii="宋体" w:hAnsi="宋体" w:eastAsia="宋体" w:cs="宋体"/>
                <w:color w:val="000000"/>
                <w:szCs w:val="21"/>
              </w:rPr>
              <w:t>3 触电急救</w:t>
            </w:r>
          </w:p>
        </w:tc>
        <w:tc>
          <w:tcPr>
            <w:tcW w:w="720" w:type="dxa"/>
            <w:vAlign w:val="center"/>
          </w:tcPr>
          <w:p>
            <w:pPr>
              <w:jc w:val="center"/>
              <w:rPr>
                <w:rFonts w:ascii="宋体" w:hAnsi="宋体" w:eastAsia="宋体" w:cs="宋体"/>
                <w:szCs w:val="21"/>
              </w:rPr>
            </w:pPr>
            <w:r>
              <w:rPr>
                <w:rFonts w:hint="eastAsia" w:ascii="宋体" w:hAnsi="宋体" w:eastAsia="宋体" w:cs="宋体"/>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vAlign w:val="center"/>
          </w:tcPr>
          <w:p>
            <w:pPr>
              <w:widowControl/>
              <w:jc w:val="left"/>
              <w:rPr>
                <w:rFonts w:ascii="宋体" w:hAnsi="宋体" w:eastAsia="宋体" w:cs="宋体"/>
                <w:color w:val="666666"/>
                <w:kern w:val="0"/>
                <w:szCs w:val="21"/>
              </w:rPr>
            </w:pPr>
            <w:r>
              <w:rPr>
                <w:rFonts w:hint="eastAsia" w:ascii="宋体" w:hAnsi="宋体" w:eastAsia="宋体" w:cs="宋体"/>
                <w:color w:val="000000"/>
                <w:kern w:val="0"/>
                <w:szCs w:val="21"/>
              </w:rPr>
              <w:t>压力容器安全技术</w:t>
            </w:r>
          </w:p>
          <w:p>
            <w:pPr>
              <w:rPr>
                <w:rFonts w:ascii="宋体" w:hAnsi="宋体" w:eastAsia="宋体" w:cs="宋体"/>
                <w:szCs w:val="21"/>
              </w:rPr>
            </w:pPr>
          </w:p>
        </w:tc>
        <w:tc>
          <w:tcPr>
            <w:tcW w:w="4140" w:type="dxa"/>
            <w:vAlign w:val="center"/>
          </w:tcPr>
          <w:p>
            <w:pPr>
              <w:rPr>
                <w:rFonts w:ascii="宋体" w:hAnsi="宋体" w:eastAsia="宋体" w:cs="宋体"/>
                <w:color w:val="000000"/>
                <w:szCs w:val="21"/>
              </w:rPr>
            </w:pPr>
            <w:r>
              <w:rPr>
                <w:rFonts w:hint="eastAsia" w:ascii="宋体" w:hAnsi="宋体" w:eastAsia="宋体" w:cs="宋体"/>
                <w:color w:val="000000"/>
                <w:szCs w:val="21"/>
              </w:rPr>
              <w:t>掌握：</w:t>
            </w:r>
            <w:r>
              <w:rPr>
                <w:rFonts w:ascii="宋体" w:hAnsi="宋体" w:eastAsia="宋体" w:cs="宋体"/>
                <w:color w:val="000000"/>
                <w:szCs w:val="21"/>
              </w:rPr>
              <w:t>1、压力容器的分类2.压力容器的制造缺陷的分类及其原因，重点裂纹的类别和原因。3、压力容器安全装置的基本要求；4、安全阀的类型与适用范围5、安全阀排放能力的计算6、安全阀与爆炸片的优缺点。</w:t>
            </w:r>
          </w:p>
        </w:tc>
        <w:tc>
          <w:tcPr>
            <w:tcW w:w="2812" w:type="dxa"/>
            <w:vAlign w:val="center"/>
          </w:tcPr>
          <w:p>
            <w:pPr>
              <w:rPr>
                <w:rFonts w:ascii="宋体" w:hAnsi="宋体" w:eastAsia="宋体" w:cs="宋体"/>
                <w:color w:val="000000"/>
                <w:szCs w:val="21"/>
              </w:rPr>
            </w:pPr>
            <w:r>
              <w:rPr>
                <w:rFonts w:hint="eastAsia" w:ascii="宋体" w:hAnsi="宋体" w:eastAsia="宋体" w:cs="宋体"/>
                <w:color w:val="000000"/>
                <w:szCs w:val="21"/>
              </w:rPr>
              <w:t>1 压力容器概述</w:t>
            </w:r>
          </w:p>
          <w:p>
            <w:pPr>
              <w:rPr>
                <w:rFonts w:ascii="宋体" w:hAnsi="宋体" w:eastAsia="宋体" w:cs="宋体"/>
                <w:color w:val="000000"/>
                <w:szCs w:val="21"/>
              </w:rPr>
            </w:pPr>
            <w:r>
              <w:rPr>
                <w:rFonts w:hint="eastAsia" w:ascii="宋体" w:hAnsi="宋体" w:eastAsia="宋体" w:cs="宋体"/>
                <w:color w:val="000000"/>
                <w:szCs w:val="21"/>
              </w:rPr>
              <w:t>2 压力容器的定期检验</w:t>
            </w:r>
          </w:p>
          <w:p>
            <w:pPr>
              <w:rPr>
                <w:rFonts w:ascii="宋体" w:hAnsi="宋体" w:eastAsia="宋体" w:cs="宋体"/>
                <w:color w:val="000000"/>
                <w:szCs w:val="21"/>
              </w:rPr>
            </w:pPr>
            <w:r>
              <w:rPr>
                <w:rFonts w:hint="eastAsia" w:ascii="宋体" w:hAnsi="宋体" w:eastAsia="宋体" w:cs="宋体"/>
                <w:color w:val="000000"/>
                <w:szCs w:val="21"/>
              </w:rPr>
              <w:t>3 压力容器的安全附件</w:t>
            </w:r>
          </w:p>
          <w:p>
            <w:pPr>
              <w:rPr>
                <w:rFonts w:ascii="宋体" w:hAnsi="宋体" w:eastAsia="宋体" w:cs="宋体"/>
                <w:color w:val="000000"/>
                <w:szCs w:val="21"/>
              </w:rPr>
            </w:pPr>
            <w:r>
              <w:rPr>
                <w:rFonts w:hint="eastAsia" w:ascii="宋体" w:hAnsi="宋体" w:eastAsia="宋体" w:cs="宋体"/>
                <w:color w:val="000000"/>
                <w:szCs w:val="21"/>
              </w:rPr>
              <w:t>4 压力容器的破坏形式</w:t>
            </w:r>
          </w:p>
          <w:p>
            <w:pPr>
              <w:rPr>
                <w:rFonts w:ascii="宋体" w:hAnsi="宋体" w:eastAsia="宋体" w:cs="宋体"/>
                <w:color w:val="000000"/>
                <w:szCs w:val="21"/>
              </w:rPr>
            </w:pPr>
            <w:r>
              <w:rPr>
                <w:rFonts w:hint="eastAsia" w:ascii="宋体" w:hAnsi="宋体" w:eastAsia="宋体" w:cs="宋体"/>
                <w:color w:val="000000"/>
                <w:szCs w:val="21"/>
              </w:rPr>
              <w:t>5 气瓶的安全技术</w:t>
            </w:r>
          </w:p>
        </w:tc>
        <w:tc>
          <w:tcPr>
            <w:tcW w:w="720" w:type="dxa"/>
            <w:vAlign w:val="center"/>
          </w:tcPr>
          <w:p>
            <w:pPr>
              <w:jc w:val="center"/>
              <w:rPr>
                <w:rFonts w:ascii="宋体" w:hAnsi="宋体" w:eastAsia="宋体" w:cs="宋体"/>
                <w:szCs w:val="21"/>
              </w:rPr>
            </w:pPr>
            <w:r>
              <w:rPr>
                <w:rFonts w:hint="eastAsia" w:ascii="宋体" w:hAnsi="宋体" w:eastAsia="宋体" w:cs="宋体"/>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5" w:type="dxa"/>
            <w:vAlign w:val="center"/>
          </w:tcPr>
          <w:p>
            <w:pPr>
              <w:widowControl/>
              <w:jc w:val="left"/>
              <w:rPr>
                <w:rFonts w:ascii="宋体" w:hAnsi="宋体" w:eastAsia="宋体" w:cs="宋体"/>
                <w:kern w:val="0"/>
                <w:szCs w:val="21"/>
              </w:rPr>
            </w:pPr>
            <w:r>
              <w:rPr>
                <w:rFonts w:hint="eastAsia" w:ascii="宋体" w:hAnsi="宋体" w:eastAsia="宋体" w:cs="宋体"/>
                <w:color w:val="000000"/>
                <w:kern w:val="0"/>
                <w:szCs w:val="21"/>
              </w:rPr>
              <w:t xml:space="preserve"> 装置运行与检修安全技术</w:t>
            </w:r>
          </w:p>
        </w:tc>
        <w:tc>
          <w:tcPr>
            <w:tcW w:w="4140" w:type="dxa"/>
            <w:vAlign w:val="center"/>
          </w:tcPr>
          <w:p>
            <w:pPr>
              <w:rPr>
                <w:rFonts w:ascii="宋体" w:hAnsi="宋体" w:eastAsia="宋体" w:cs="宋体"/>
                <w:color w:val="000000"/>
                <w:szCs w:val="21"/>
              </w:rPr>
            </w:pPr>
            <w:r>
              <w:rPr>
                <w:rFonts w:hint="eastAsia" w:ascii="宋体" w:hAnsi="宋体" w:eastAsia="宋体" w:cs="宋体"/>
                <w:color w:val="000000"/>
                <w:szCs w:val="21"/>
              </w:rPr>
              <w:t>掌握：</w:t>
            </w:r>
            <w:r>
              <w:rPr>
                <w:rFonts w:ascii="宋体" w:hAnsi="宋体" w:eastAsia="宋体" w:cs="宋体"/>
                <w:color w:val="000000"/>
                <w:szCs w:val="21"/>
              </w:rPr>
              <w:t>1、工艺装置的布置形式、安全事项、直线排列和非直线排列的设备。2、掌握工厂内一些危险设施设计时的安全事项，如公路、铁路、空分装置、火炬等的布置。</w:t>
            </w:r>
          </w:p>
        </w:tc>
        <w:tc>
          <w:tcPr>
            <w:tcW w:w="2812" w:type="dxa"/>
            <w:vAlign w:val="center"/>
          </w:tcPr>
          <w:p>
            <w:pPr>
              <w:rPr>
                <w:rFonts w:ascii="宋体" w:hAnsi="宋体" w:eastAsia="宋体" w:cs="宋体"/>
                <w:color w:val="000000"/>
                <w:szCs w:val="21"/>
              </w:rPr>
            </w:pPr>
            <w:r>
              <w:rPr>
                <w:rFonts w:hint="eastAsia" w:ascii="宋体" w:hAnsi="宋体" w:eastAsia="宋体" w:cs="宋体"/>
                <w:color w:val="000000"/>
                <w:szCs w:val="21"/>
              </w:rPr>
              <w:t>1 化工装置检修前准备工作</w:t>
            </w:r>
          </w:p>
          <w:p>
            <w:pPr>
              <w:rPr>
                <w:rFonts w:ascii="宋体" w:hAnsi="宋体" w:eastAsia="宋体" w:cs="宋体"/>
                <w:color w:val="000000"/>
                <w:szCs w:val="21"/>
              </w:rPr>
            </w:pPr>
            <w:r>
              <w:rPr>
                <w:rFonts w:hint="eastAsia" w:ascii="宋体" w:hAnsi="宋体" w:eastAsia="宋体" w:cs="宋体"/>
                <w:color w:val="000000"/>
                <w:szCs w:val="21"/>
              </w:rPr>
              <w:t>2 化工装置检修停车后安全处理</w:t>
            </w:r>
          </w:p>
          <w:p>
            <w:pPr>
              <w:rPr>
                <w:rFonts w:ascii="宋体" w:hAnsi="宋体" w:eastAsia="宋体" w:cs="宋体"/>
                <w:color w:val="000000"/>
                <w:szCs w:val="21"/>
              </w:rPr>
            </w:pPr>
            <w:r>
              <w:rPr>
                <w:rFonts w:hint="eastAsia" w:ascii="宋体" w:hAnsi="宋体" w:eastAsia="宋体" w:cs="宋体"/>
                <w:color w:val="000000"/>
                <w:szCs w:val="21"/>
              </w:rPr>
              <w:t>3化工装置检修作业安全技术</w:t>
            </w:r>
          </w:p>
          <w:p>
            <w:pPr>
              <w:rPr>
                <w:rFonts w:ascii="宋体" w:hAnsi="宋体" w:eastAsia="宋体" w:cs="宋体"/>
                <w:color w:val="000000"/>
                <w:szCs w:val="21"/>
              </w:rPr>
            </w:pPr>
            <w:r>
              <w:rPr>
                <w:rFonts w:hint="eastAsia" w:ascii="宋体" w:hAnsi="宋体" w:eastAsia="宋体" w:cs="宋体"/>
                <w:color w:val="000000"/>
                <w:szCs w:val="21"/>
              </w:rPr>
              <w:t>4 化工装置检修后开车前安全检查</w:t>
            </w:r>
          </w:p>
        </w:tc>
        <w:tc>
          <w:tcPr>
            <w:tcW w:w="720" w:type="dxa"/>
            <w:vAlign w:val="center"/>
          </w:tcPr>
          <w:p>
            <w:pPr>
              <w:jc w:val="center"/>
              <w:rPr>
                <w:rFonts w:ascii="宋体" w:hAnsi="宋体" w:eastAsia="宋体" w:cs="宋体"/>
                <w:szCs w:val="21"/>
              </w:rPr>
            </w:pPr>
            <w:r>
              <w:rPr>
                <w:rFonts w:hint="eastAsia" w:ascii="宋体" w:hAnsi="宋体" w:eastAsia="宋体" w:cs="宋体"/>
                <w:szCs w:val="21"/>
              </w:rPr>
              <w:t>20</w:t>
            </w:r>
          </w:p>
        </w:tc>
      </w:tr>
    </w:tbl>
    <w:p>
      <w:pPr>
        <w:rPr>
          <w:rFonts w:ascii="Times New Roman" w:hAnsi="Times New Roman" w:eastAsia="宋体" w:cs="Times New Roman"/>
        </w:rPr>
      </w:pPr>
    </w:p>
    <w:p>
      <w:pPr>
        <w:adjustRightInd w:val="0"/>
        <w:snapToGrid w:val="0"/>
        <w:spacing w:beforeLines="50" w:line="360" w:lineRule="auto"/>
        <w:ind w:firstLine="480" w:firstLineChars="150"/>
        <w:rPr>
          <w:rFonts w:ascii="黑体" w:hAnsi="黑体" w:eastAsia="黑体" w:cs="Times New Roman"/>
          <w:sz w:val="32"/>
          <w:szCs w:val="32"/>
        </w:rPr>
      </w:pPr>
      <w:r>
        <w:rPr>
          <w:rFonts w:hint="eastAsia" w:ascii="黑体" w:hAnsi="黑体" w:eastAsia="黑体" w:cs="Times New Roman"/>
          <w:sz w:val="32"/>
          <w:szCs w:val="32"/>
        </w:rPr>
        <w:t>五、教学组织与教学方法</w:t>
      </w:r>
    </w:p>
    <w:p>
      <w:pPr>
        <w:widowControl/>
        <w:spacing w:line="480" w:lineRule="atLeast"/>
        <w:ind w:firstLine="480"/>
        <w:jc w:val="left"/>
        <w:textAlignment w:val="baseline"/>
        <w:rPr>
          <w:rFonts w:ascii="宋体" w:hAnsi="宋体" w:eastAsia="宋体" w:cs="Times New Roman"/>
          <w:sz w:val="24"/>
        </w:rPr>
      </w:pPr>
      <w:r>
        <w:rPr>
          <w:rFonts w:ascii="宋体" w:hAnsi="宋体" w:eastAsia="宋体" w:cs="Times New Roman"/>
          <w:sz w:val="24"/>
        </w:rPr>
        <w:t xml:space="preserve">本课程教学中重点分析化工生产中各类危险源的特点、发生规律、控制原理，以及预防与控制措施，着重培养学生发现问题、分析问题和解决问题的能力，因此，课程的针对性很强。 </w:t>
      </w:r>
    </w:p>
    <w:p>
      <w:pPr>
        <w:widowControl/>
        <w:spacing w:line="480" w:lineRule="atLeast"/>
        <w:ind w:firstLine="480"/>
        <w:jc w:val="left"/>
        <w:textAlignment w:val="baseline"/>
        <w:rPr>
          <w:rFonts w:ascii="宋体" w:hAnsi="宋体" w:eastAsia="宋体" w:cs="Times New Roman"/>
          <w:sz w:val="24"/>
        </w:rPr>
      </w:pPr>
      <w:r>
        <w:rPr>
          <w:rFonts w:ascii="宋体" w:hAnsi="宋体" w:eastAsia="宋体" w:cs="Times New Roman"/>
          <w:sz w:val="24"/>
        </w:rPr>
        <w:t>本课程理论讲解、案例分析、情景再现、分组讨论、角色扮演、启发引导、技能操作等教学方法进行，让学生积极参与到课程的各环节，使其掌握化工职业岗位群所需的安全知识与技能，因此，本门课程的实用性很强。</w:t>
      </w:r>
    </w:p>
    <w:p>
      <w:pPr>
        <w:widowControl/>
        <w:spacing w:line="480" w:lineRule="atLeast"/>
        <w:ind w:firstLine="480"/>
        <w:jc w:val="left"/>
        <w:textAlignment w:val="baseline"/>
        <w:rPr>
          <w:rFonts w:ascii="宋体" w:hAnsi="宋体" w:eastAsia="宋体" w:cs="Times New Roman"/>
          <w:sz w:val="24"/>
        </w:rPr>
      </w:pPr>
      <w:r>
        <w:rPr>
          <w:rFonts w:ascii="宋体" w:hAnsi="宋体" w:eastAsia="宋体" w:cs="Times New Roman"/>
          <w:sz w:val="24"/>
        </w:rPr>
        <w:t xml:space="preserve">教学中要根据本课程的特点和学生的实际情况，选择适用的教学方法和教学手段，突出重点，突破难点，从多角度启发学生的思维，提高学生探究学习和自主学习的能力。 </w:t>
      </w:r>
    </w:p>
    <w:p>
      <w:pPr>
        <w:widowControl/>
        <w:spacing w:line="480" w:lineRule="atLeast"/>
        <w:ind w:firstLine="480"/>
        <w:jc w:val="left"/>
        <w:textAlignment w:val="baseline"/>
        <w:rPr>
          <w:rFonts w:ascii="宋体" w:hAnsi="宋体" w:eastAsia="宋体" w:cs="Times New Roman"/>
          <w:sz w:val="24"/>
        </w:rPr>
      </w:pPr>
      <w:r>
        <w:rPr>
          <w:rFonts w:hint="eastAsia" w:ascii="宋体" w:hAnsi="宋体" w:eastAsia="宋体" w:cs="Times New Roman"/>
          <w:sz w:val="24"/>
        </w:rPr>
        <w:t>1.</w:t>
      </w:r>
      <w:r>
        <w:rPr>
          <w:rFonts w:ascii="宋体" w:hAnsi="宋体" w:eastAsia="宋体" w:cs="Times New Roman"/>
          <w:sz w:val="24"/>
        </w:rPr>
        <w:t xml:space="preserve">根据职业教育的培养目标和学生的知识水平，注重基本技能和岗位实践技能的培养，加强学生的素质教育，淡化过深的理论知识。应加强学生自学能力的培养。 </w:t>
      </w:r>
    </w:p>
    <w:p>
      <w:pPr>
        <w:widowControl/>
        <w:spacing w:line="480" w:lineRule="atLeast"/>
        <w:ind w:firstLine="480"/>
        <w:jc w:val="left"/>
        <w:textAlignment w:val="baseline"/>
        <w:rPr>
          <w:rFonts w:ascii="宋体" w:hAnsi="宋体" w:eastAsia="宋体" w:cs="Times New Roman"/>
          <w:sz w:val="24"/>
        </w:rPr>
      </w:pPr>
      <w:r>
        <w:rPr>
          <w:rFonts w:hint="eastAsia" w:ascii="宋体" w:hAnsi="宋体" w:eastAsia="宋体" w:cs="Times New Roman"/>
          <w:sz w:val="24"/>
        </w:rPr>
        <w:t>2.</w:t>
      </w:r>
      <w:r>
        <w:rPr>
          <w:rFonts w:ascii="宋体" w:hAnsi="宋体" w:eastAsia="宋体" w:cs="Times New Roman"/>
          <w:sz w:val="24"/>
        </w:rPr>
        <w:t xml:space="preserve"> 充分利于现代教育技术，在教学中采用动画、视频、演示等多种形式的多媒体教学手段，使教学内容直观形象，充分调动学生的眼、耳、手，教学不枯燥，教学效果直观。利用网络将课堂教学延伸到课外，充分利用网络资源进行学习。 </w:t>
      </w:r>
    </w:p>
    <w:p>
      <w:pPr>
        <w:widowControl/>
        <w:spacing w:line="480" w:lineRule="atLeast"/>
        <w:ind w:firstLine="480"/>
        <w:jc w:val="left"/>
        <w:textAlignment w:val="baseline"/>
        <w:rPr>
          <w:rFonts w:ascii="宋体" w:hAnsi="宋体" w:eastAsia="宋体" w:cs="Times New Roman"/>
          <w:sz w:val="24"/>
        </w:rPr>
      </w:pPr>
      <w:r>
        <w:rPr>
          <w:rFonts w:hint="eastAsia" w:ascii="宋体" w:hAnsi="宋体" w:eastAsia="宋体" w:cs="Times New Roman"/>
          <w:sz w:val="24"/>
        </w:rPr>
        <w:t>3.</w:t>
      </w:r>
      <w:r>
        <w:rPr>
          <w:rFonts w:ascii="宋体" w:hAnsi="宋体" w:eastAsia="宋体" w:cs="Times New Roman"/>
          <w:sz w:val="24"/>
        </w:rPr>
        <w:t xml:space="preserve">设计课程内容时，经常学习，不断积累，注意收集相关的技术资料，并及时将国内外最新的研究情况在教学中有选择有重点的向学生加以介绍，使教学内容跟得上时代的发展，不致于和社会脱节。 </w:t>
      </w:r>
    </w:p>
    <w:p>
      <w:pPr>
        <w:widowControl/>
        <w:spacing w:line="480" w:lineRule="atLeast"/>
        <w:ind w:firstLine="480"/>
        <w:jc w:val="left"/>
        <w:textAlignment w:val="baseline"/>
        <w:rPr>
          <w:rFonts w:ascii="宋体" w:hAnsi="宋体" w:eastAsia="宋体" w:cs="Times New Roman"/>
          <w:sz w:val="24"/>
        </w:rPr>
      </w:pPr>
      <w:r>
        <w:rPr>
          <w:rFonts w:hint="eastAsia" w:ascii="宋体" w:hAnsi="宋体" w:eastAsia="宋体" w:cs="Times New Roman"/>
          <w:sz w:val="24"/>
        </w:rPr>
        <w:t>4.</w:t>
      </w:r>
      <w:r>
        <w:rPr>
          <w:rFonts w:ascii="宋体" w:hAnsi="宋体" w:eastAsia="宋体" w:cs="Times New Roman"/>
          <w:sz w:val="24"/>
        </w:rPr>
        <w:t xml:space="preserve">采用启发式、互动式、讨论式、发散性思维等教学方法，充分调动学生的积极性，激发学生的学习兴趣，对教学难点单元组织课题组教师集体备课。  </w:t>
      </w:r>
    </w:p>
    <w:p>
      <w:pPr>
        <w:widowControl/>
        <w:spacing w:line="480" w:lineRule="atLeast"/>
        <w:ind w:firstLine="480"/>
        <w:jc w:val="left"/>
        <w:textAlignment w:val="baseline"/>
        <w:rPr>
          <w:rFonts w:ascii="宋体" w:hAnsi="宋体" w:eastAsia="宋体" w:cs="Times New Roman"/>
          <w:sz w:val="24"/>
        </w:rPr>
      </w:pPr>
    </w:p>
    <w:p>
      <w:pPr>
        <w:adjustRightInd w:val="0"/>
        <w:snapToGrid w:val="0"/>
        <w:spacing w:beforeLines="50" w:line="360" w:lineRule="auto"/>
        <w:ind w:firstLine="480" w:firstLineChars="150"/>
        <w:rPr>
          <w:rFonts w:ascii="黑体" w:hAnsi="黑体" w:eastAsia="黑体" w:cs="Times New Roman"/>
          <w:sz w:val="32"/>
          <w:szCs w:val="32"/>
        </w:rPr>
      </w:pPr>
      <w:r>
        <w:rPr>
          <w:rFonts w:hint="eastAsia" w:ascii="黑体" w:hAnsi="黑体" w:eastAsia="黑体" w:cs="Times New Roman"/>
          <w:sz w:val="32"/>
          <w:szCs w:val="32"/>
        </w:rPr>
        <w:t>六、考核标准与成绩评定方法</w:t>
      </w:r>
    </w:p>
    <w:p>
      <w:pPr>
        <w:widowControl/>
        <w:spacing w:line="480" w:lineRule="atLeast"/>
        <w:ind w:firstLine="480"/>
        <w:jc w:val="left"/>
        <w:textAlignment w:val="baseline"/>
        <w:rPr>
          <w:rFonts w:ascii="宋体" w:hAnsi="宋体" w:eastAsia="宋体" w:cs="Times New Roman"/>
          <w:sz w:val="24"/>
        </w:rPr>
      </w:pPr>
      <w:r>
        <w:rPr>
          <w:rFonts w:ascii="宋体" w:hAnsi="宋体" w:eastAsia="宋体" w:cs="Times New Roman"/>
          <w:sz w:val="24"/>
        </w:rPr>
        <w:t xml:space="preserve">(1) 评价原则 </w:t>
      </w:r>
    </w:p>
    <w:p>
      <w:pPr>
        <w:widowControl/>
        <w:spacing w:line="480" w:lineRule="atLeast"/>
        <w:ind w:firstLine="480"/>
        <w:jc w:val="left"/>
        <w:textAlignment w:val="baseline"/>
        <w:rPr>
          <w:rFonts w:ascii="宋体" w:hAnsi="宋体" w:eastAsia="宋体" w:cs="Times New Roman"/>
          <w:sz w:val="24"/>
        </w:rPr>
      </w:pPr>
      <w:r>
        <w:rPr>
          <w:rFonts w:ascii="宋体" w:hAnsi="宋体" w:eastAsia="宋体" w:cs="Times New Roman"/>
          <w:sz w:val="24"/>
        </w:rPr>
        <w:t xml:space="preserve">坚持理论知识与实践知识综合评价的原则，突出能力评价优先地位的原则，重点过程评价原则，采取多种方式评价原则，学生自评与其他评价结合的原则等。 </w:t>
      </w:r>
    </w:p>
    <w:p>
      <w:pPr>
        <w:widowControl/>
        <w:spacing w:line="480" w:lineRule="atLeast"/>
        <w:ind w:firstLine="480"/>
        <w:jc w:val="left"/>
        <w:textAlignment w:val="baseline"/>
        <w:rPr>
          <w:rFonts w:ascii="宋体" w:hAnsi="宋体" w:eastAsia="宋体" w:cs="Times New Roman"/>
          <w:sz w:val="24"/>
        </w:rPr>
      </w:pPr>
      <w:r>
        <w:rPr>
          <w:rFonts w:ascii="宋体" w:hAnsi="宋体" w:eastAsia="宋体" w:cs="Times New Roman"/>
          <w:sz w:val="24"/>
        </w:rPr>
        <w:t xml:space="preserve">本课程的评价主要考虑课堂教学情况、回答问题情况、完成作业情况、实验实训操作情况和完成报告情况等综合考评。 </w:t>
      </w:r>
    </w:p>
    <w:p>
      <w:pPr>
        <w:widowControl/>
        <w:spacing w:line="480" w:lineRule="atLeast"/>
        <w:ind w:firstLine="480"/>
        <w:jc w:val="left"/>
        <w:textAlignment w:val="baseline"/>
        <w:rPr>
          <w:rFonts w:ascii="宋体" w:hAnsi="宋体" w:eastAsia="宋体" w:cs="Times New Roman"/>
          <w:sz w:val="24"/>
        </w:rPr>
      </w:pPr>
      <w:r>
        <w:rPr>
          <w:rFonts w:ascii="宋体" w:hAnsi="宋体" w:eastAsia="宋体" w:cs="Times New Roman"/>
          <w:sz w:val="24"/>
        </w:rPr>
        <w:t>评价途径包括自我评价、学生互评、小组评价、教师评价等，主要由教师进行评定。</w:t>
      </w:r>
    </w:p>
    <w:p>
      <w:pPr>
        <w:widowControl/>
        <w:spacing w:line="480" w:lineRule="atLeast"/>
        <w:ind w:firstLine="480"/>
        <w:jc w:val="left"/>
        <w:textAlignment w:val="baseline"/>
        <w:rPr>
          <w:rFonts w:ascii="宋体" w:hAnsi="宋体" w:eastAsia="宋体" w:cs="Times New Roman"/>
          <w:sz w:val="24"/>
        </w:rPr>
      </w:pPr>
      <w:r>
        <w:rPr>
          <w:rFonts w:ascii="宋体" w:hAnsi="宋体" w:eastAsia="宋体" w:cs="Times New Roman"/>
          <w:sz w:val="24"/>
        </w:rPr>
        <w:t xml:space="preserve">(2) 评价方法 </w:t>
      </w:r>
    </w:p>
    <w:p>
      <w:pPr>
        <w:widowControl/>
        <w:spacing w:line="480" w:lineRule="atLeast"/>
        <w:ind w:firstLine="480"/>
        <w:jc w:val="left"/>
        <w:textAlignment w:val="baseline"/>
        <w:rPr>
          <w:rFonts w:ascii="宋体" w:hAnsi="宋体" w:eastAsia="宋体" w:cs="Times New Roman"/>
          <w:sz w:val="24"/>
        </w:rPr>
      </w:pPr>
      <w:r>
        <w:rPr>
          <w:rFonts w:ascii="宋体" w:hAnsi="宋体" w:eastAsia="宋体" w:cs="Times New Roman"/>
          <w:sz w:val="24"/>
        </w:rPr>
        <w:t xml:space="preserve">打破传统的单一闭卷考试的模式，对学生的成绩实施了多元化的评价。在评价过程中注意内容多元化、角度立体化、过程动态化、主体互动化，不仅考察学生掌握书本知识程度，而且全面评价学生应用知识能力、创新意识、创新能力等综合素质。采取以下方式来评价学生成绩： </w:t>
      </w:r>
    </w:p>
    <w:p>
      <w:pPr>
        <w:widowControl/>
        <w:spacing w:line="480" w:lineRule="atLeast"/>
        <w:ind w:firstLine="480"/>
        <w:jc w:val="left"/>
        <w:textAlignment w:val="baseline"/>
        <w:rPr>
          <w:rFonts w:ascii="宋体" w:hAnsi="宋体" w:eastAsia="宋体" w:cs="Times New Roman"/>
          <w:sz w:val="24"/>
        </w:rPr>
      </w:pPr>
      <w:r>
        <w:rPr>
          <w:rFonts w:ascii="宋体" w:hAnsi="宋体" w:eastAsia="宋体" w:cs="Times New Roman"/>
          <w:sz w:val="24"/>
        </w:rPr>
        <w:t xml:space="preserve">总成绩 = 期末考试成绩（60%）+平时成绩（40%） </w:t>
      </w:r>
    </w:p>
    <w:p>
      <w:pPr>
        <w:widowControl/>
        <w:spacing w:line="480" w:lineRule="atLeast"/>
        <w:ind w:firstLine="480"/>
        <w:jc w:val="left"/>
        <w:textAlignment w:val="baseline"/>
        <w:rPr>
          <w:rFonts w:ascii="宋体" w:hAnsi="宋体" w:eastAsia="宋体" w:cs="Times New Roman"/>
          <w:sz w:val="24"/>
        </w:rPr>
      </w:pPr>
      <w:r>
        <w:rPr>
          <w:rFonts w:ascii="宋体" w:hAnsi="宋体" w:eastAsia="宋体" w:cs="Times New Roman"/>
          <w:sz w:val="24"/>
        </w:rPr>
        <w:t>其中：期末考试采用开卷形式，严格按照各项考试规范进行。平时成绩的构成方式为：平时成绩=期中考试（50%）+平时作业（30%）+考勤（10%）+课堂表现（10%）</w:t>
      </w:r>
    </w:p>
    <w:p>
      <w:pPr>
        <w:adjustRightInd w:val="0"/>
        <w:snapToGrid w:val="0"/>
        <w:spacing w:beforeLines="50" w:line="360" w:lineRule="auto"/>
        <w:ind w:firstLine="480" w:firstLineChars="150"/>
        <w:rPr>
          <w:rFonts w:ascii="黑体" w:hAnsi="黑体" w:eastAsia="黑体" w:cs="Times New Roman"/>
          <w:sz w:val="32"/>
          <w:szCs w:val="32"/>
        </w:rPr>
      </w:pPr>
      <w:r>
        <w:rPr>
          <w:rFonts w:hint="eastAsia" w:ascii="黑体" w:hAnsi="黑体" w:eastAsia="黑体" w:cs="Times New Roman"/>
          <w:sz w:val="32"/>
          <w:szCs w:val="32"/>
        </w:rPr>
        <w:t>七、教学建议</w:t>
      </w:r>
    </w:p>
    <w:p>
      <w:pPr>
        <w:spacing w:line="360" w:lineRule="auto"/>
        <w:rPr>
          <w:rFonts w:ascii="宋体" w:hAnsi="宋体" w:eastAsia="宋体" w:cs="Times New Roman"/>
          <w:sz w:val="24"/>
        </w:rPr>
      </w:pPr>
      <w:r>
        <w:rPr>
          <w:rFonts w:hint="eastAsia" w:ascii="宋体" w:hAnsi="宋体" w:eastAsia="宋体" w:cs="Times New Roman"/>
          <w:sz w:val="24"/>
        </w:rPr>
        <w:t xml:space="preserve">    适当的运用现代化教学手段，激发学生的学习兴趣；重视网络教学资源；侧重理论联系实际的实践性环节和教学方式灵活、多样的教学改革和研究思想；建立教学资源库；重视对实验室的建设和投入，加强校内校外实训基地建设；积极利用数字图书馆、电子期刊、电子书籍，使教学内容更多元化，拓展学生的知识和能力。</w:t>
      </w:r>
    </w:p>
    <w:p>
      <w:pPr>
        <w:adjustRightInd w:val="0"/>
        <w:snapToGrid w:val="0"/>
        <w:spacing w:beforeLines="50" w:line="360" w:lineRule="auto"/>
        <w:ind w:firstLine="480" w:firstLineChars="150"/>
        <w:rPr>
          <w:rFonts w:ascii="黑体" w:hAnsi="黑体" w:eastAsia="黑体" w:cs="Times New Roman"/>
          <w:sz w:val="32"/>
          <w:szCs w:val="32"/>
        </w:rPr>
      </w:pPr>
      <w:r>
        <w:rPr>
          <w:rFonts w:hint="eastAsia" w:ascii="黑体" w:hAnsi="黑体" w:eastAsia="黑体" w:cs="Times New Roman"/>
          <w:sz w:val="32"/>
          <w:szCs w:val="32"/>
        </w:rPr>
        <w:t>八、选用教材标准及推荐教材和参考用书（或课程网站）</w:t>
      </w:r>
    </w:p>
    <w:p>
      <w:pPr>
        <w:spacing w:line="360" w:lineRule="auto"/>
        <w:ind w:firstLine="480" w:firstLineChars="200"/>
        <w:rPr>
          <w:rFonts w:ascii="宋体" w:hAnsi="宋体" w:eastAsia="宋体" w:cs="Times New Roman"/>
          <w:sz w:val="24"/>
        </w:rPr>
      </w:pPr>
      <w:r>
        <w:rPr>
          <w:rFonts w:ascii="宋体" w:hAnsi="宋体" w:eastAsia="宋体" w:cs="Times New Roman"/>
          <w:sz w:val="24"/>
        </w:rPr>
        <w:t>1.《化工安全技术》 刘景良 主编 化学工业出版社</w:t>
      </w:r>
      <w:r>
        <w:rPr>
          <w:rFonts w:ascii="宋体" w:hAnsi="宋体" w:eastAsia="宋体" w:cs="Times New Roman"/>
          <w:sz w:val="24"/>
        </w:rPr>
        <w:br w:type="textWrapping"/>
      </w:r>
      <w:r>
        <w:rPr>
          <w:rFonts w:ascii="宋体" w:hAnsi="宋体" w:eastAsia="宋体" w:cs="Times New Roman"/>
          <w:sz w:val="24"/>
        </w:rPr>
        <w:t>　　2.《化工安全工程概论》，许文编，化学工业出版社，2002年7月第1次印刷；</w:t>
      </w:r>
    </w:p>
    <w:p>
      <w:pPr>
        <w:spacing w:line="360" w:lineRule="auto"/>
        <w:ind w:firstLine="480" w:firstLineChars="200"/>
        <w:rPr>
          <w:rFonts w:ascii="宋体" w:hAnsi="宋体" w:eastAsia="宋体" w:cs="Times New Roman"/>
          <w:sz w:val="24"/>
        </w:rPr>
      </w:pPr>
      <w:r>
        <w:rPr>
          <w:rFonts w:ascii="宋体" w:hAnsi="宋体" w:eastAsia="宋体" w:cs="Times New Roman"/>
          <w:sz w:val="24"/>
        </w:rPr>
        <w:t>3.</w:t>
      </w:r>
      <w:r>
        <w:rPr>
          <w:rFonts w:hint="eastAsia" w:ascii="宋体" w:hAnsi="宋体" w:eastAsia="宋体" w:cs="Times New Roman"/>
          <w:sz w:val="24"/>
        </w:rPr>
        <w:t>《</w:t>
      </w:r>
      <w:r>
        <w:rPr>
          <w:rFonts w:ascii="宋体" w:hAnsi="宋体" w:eastAsia="宋体" w:cs="Times New Roman"/>
          <w:sz w:val="24"/>
        </w:rPr>
        <w:t>化工安全技术与管理》周忠元编 化学工业出版社</w:t>
      </w:r>
      <w:r>
        <w:rPr>
          <w:rFonts w:ascii="宋体" w:hAnsi="宋体" w:eastAsia="宋体" w:cs="Times New Roman"/>
          <w:sz w:val="24"/>
        </w:rPr>
        <w:br w:type="textWrapping"/>
      </w:r>
      <w:r>
        <w:rPr>
          <w:rFonts w:ascii="宋体" w:hAnsi="宋体" w:eastAsia="宋体" w:cs="Times New Roman"/>
          <w:sz w:val="24"/>
        </w:rPr>
        <w:t>　　4.《化工安全工程》，蔡凤英等编，科学出版社，2001年2月第1次印刷</w:t>
      </w:r>
      <w:r>
        <w:rPr>
          <w:rFonts w:ascii="宋体" w:hAnsi="宋体" w:eastAsia="宋体" w:cs="Times New Roman"/>
          <w:sz w:val="24"/>
        </w:rPr>
        <w:br w:type="textWrapping"/>
      </w:r>
      <w:r>
        <w:rPr>
          <w:rFonts w:ascii="宋体" w:hAnsi="宋体" w:eastAsia="宋体" w:cs="Times New Roman"/>
          <w:sz w:val="24"/>
        </w:rPr>
        <w:t>　　5.《化工厂系统安全工程》宋建池 范秀山等主编 化学工业出版社</w:t>
      </w:r>
    </w:p>
    <w:p>
      <w:pPr>
        <w:spacing w:line="360" w:lineRule="auto"/>
        <w:ind w:firstLine="480" w:firstLineChars="200"/>
        <w:rPr>
          <w:rFonts w:ascii="宋体" w:hAnsi="宋体" w:eastAsia="宋体" w:cs="Times New Roman"/>
          <w:sz w:val="24"/>
        </w:rPr>
      </w:pPr>
      <w:r>
        <w:rPr>
          <w:rFonts w:ascii="宋体" w:hAnsi="宋体" w:eastAsia="宋体" w:cs="Times New Roman"/>
          <w:sz w:val="24"/>
        </w:rPr>
        <w:t xml:space="preserve">化工论坛：http://www.ccebbs.com/ </w:t>
      </w:r>
    </w:p>
    <w:p>
      <w:pPr>
        <w:spacing w:line="360" w:lineRule="auto"/>
        <w:ind w:firstLine="480" w:firstLineChars="200"/>
        <w:rPr>
          <w:rFonts w:ascii="宋体" w:hAnsi="宋体" w:eastAsia="宋体" w:cs="Times New Roman"/>
          <w:sz w:val="24"/>
        </w:rPr>
      </w:pPr>
      <w:r>
        <w:rPr>
          <w:rFonts w:ascii="宋体" w:hAnsi="宋体" w:eastAsia="宋体" w:cs="Times New Roman"/>
          <w:sz w:val="24"/>
        </w:rPr>
        <w:t xml:space="preserve">中国高校化学化工课程网：http://chem.cncourse.com/ </w:t>
      </w:r>
    </w:p>
    <w:p>
      <w:pPr>
        <w:spacing w:line="360" w:lineRule="auto"/>
        <w:ind w:firstLine="480" w:firstLineChars="200"/>
        <w:rPr>
          <w:rFonts w:ascii="宋体" w:hAnsi="宋体" w:eastAsia="宋体" w:cs="Times New Roman"/>
          <w:sz w:val="24"/>
        </w:rPr>
      </w:pPr>
      <w:r>
        <w:rPr>
          <w:rFonts w:ascii="宋体" w:hAnsi="宋体" w:eastAsia="宋体" w:cs="Times New Roman"/>
          <w:sz w:val="24"/>
        </w:rPr>
        <w:t xml:space="preserve">石油大学《石油化工安全技术》网络课程：http://ycjy.jpu.edu.cn/aq/ </w:t>
      </w:r>
    </w:p>
    <w:p>
      <w:pPr>
        <w:pStyle w:val="3"/>
        <w:ind w:firstLine="472" w:firstLineChars="147"/>
      </w:pPr>
      <w:bookmarkStart w:id="88" w:name="_Toc22654"/>
      <w:bookmarkStart w:id="89" w:name="_Toc17278763"/>
      <w:bookmarkStart w:id="90" w:name="_Toc10186"/>
      <w:bookmarkStart w:id="91" w:name="_Toc10439"/>
      <w:bookmarkStart w:id="92" w:name="_Toc361913080"/>
      <w:r>
        <w:rPr>
          <w:rFonts w:hint="eastAsia"/>
        </w:rPr>
        <w:t>《化工设备基础》核心课程标准</w:t>
      </w:r>
      <w:bookmarkEnd w:id="88"/>
      <w:bookmarkEnd w:id="89"/>
      <w:bookmarkEnd w:id="90"/>
    </w:p>
    <w:tbl>
      <w:tblPr>
        <w:tblStyle w:val="18"/>
        <w:tblW w:w="8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3274"/>
        <w:gridCol w:w="1620"/>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vAlign w:val="center"/>
          </w:tcPr>
          <w:p>
            <w:pPr>
              <w:spacing w:line="360" w:lineRule="auto"/>
              <w:jc w:val="center"/>
              <w:rPr>
                <w:rFonts w:ascii="Times New Roman" w:hAnsi="Times New Roman" w:eastAsia="宋体" w:cs="Times New Roman"/>
                <w:szCs w:val="21"/>
              </w:rPr>
            </w:pPr>
            <w:bookmarkStart w:id="93" w:name="_Toc4192"/>
            <w:r>
              <w:rPr>
                <w:rFonts w:ascii="Times New Roman" w:hAnsi="宋体" w:eastAsia="宋体" w:cs="Times New Roman"/>
                <w:szCs w:val="21"/>
              </w:rPr>
              <w:t>课程编码</w:t>
            </w:r>
          </w:p>
        </w:tc>
        <w:tc>
          <w:tcPr>
            <w:tcW w:w="3274" w:type="dxa"/>
            <w:vAlign w:val="center"/>
          </w:tcPr>
          <w:p>
            <w:pPr>
              <w:spacing w:line="36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1003045</w:t>
            </w:r>
          </w:p>
        </w:tc>
        <w:tc>
          <w:tcPr>
            <w:tcW w:w="1620"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课程类别</w:t>
            </w:r>
          </w:p>
        </w:tc>
        <w:tc>
          <w:tcPr>
            <w:tcW w:w="199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专业</w:t>
            </w:r>
            <w:r>
              <w:rPr>
                <w:rFonts w:hint="eastAsia" w:ascii="Times New Roman" w:hAnsi="宋体" w:eastAsia="宋体" w:cs="Times New Roman"/>
                <w:szCs w:val="21"/>
              </w:rPr>
              <w:t>（技能）课程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计划学时</w:t>
            </w:r>
          </w:p>
        </w:tc>
        <w:tc>
          <w:tcPr>
            <w:tcW w:w="3274" w:type="dxa"/>
            <w:vAlign w:val="center"/>
          </w:tcPr>
          <w:p>
            <w:pPr>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64</w:t>
            </w:r>
          </w:p>
        </w:tc>
        <w:tc>
          <w:tcPr>
            <w:tcW w:w="1620"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课程类型</w:t>
            </w:r>
          </w:p>
        </w:tc>
        <w:tc>
          <w:tcPr>
            <w:tcW w:w="1994" w:type="dxa"/>
            <w:vAlign w:val="center"/>
          </w:tcPr>
          <w:p>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适用专业</w:t>
            </w:r>
          </w:p>
        </w:tc>
        <w:tc>
          <w:tcPr>
            <w:tcW w:w="327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应用化工技术</w:t>
            </w:r>
          </w:p>
        </w:tc>
        <w:tc>
          <w:tcPr>
            <w:tcW w:w="1620"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课程性质</w:t>
            </w:r>
          </w:p>
        </w:tc>
        <w:tc>
          <w:tcPr>
            <w:tcW w:w="199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专业必修课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33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开课学期</w:t>
            </w:r>
          </w:p>
        </w:tc>
        <w:tc>
          <w:tcPr>
            <w:tcW w:w="327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第</w:t>
            </w:r>
            <w:r>
              <w:rPr>
                <w:rFonts w:hint="eastAsia" w:ascii="Times New Roman" w:hAnsi="Times New Roman" w:eastAsia="宋体" w:cs="Times New Roman"/>
                <w:szCs w:val="21"/>
              </w:rPr>
              <w:t>3</w:t>
            </w:r>
            <w:r>
              <w:rPr>
                <w:rFonts w:ascii="Times New Roman" w:hAnsi="宋体" w:eastAsia="宋体" w:cs="Times New Roman"/>
                <w:szCs w:val="21"/>
              </w:rPr>
              <w:t>学期</w:t>
            </w:r>
          </w:p>
        </w:tc>
        <w:tc>
          <w:tcPr>
            <w:tcW w:w="1620"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学分</w:t>
            </w:r>
          </w:p>
        </w:tc>
        <w:tc>
          <w:tcPr>
            <w:tcW w:w="1994" w:type="dxa"/>
            <w:vAlign w:val="center"/>
          </w:tcPr>
          <w:p>
            <w:pPr>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先行课程</w:t>
            </w:r>
          </w:p>
        </w:tc>
        <w:tc>
          <w:tcPr>
            <w:tcW w:w="3274" w:type="dxa"/>
            <w:vAlign w:val="center"/>
          </w:tcPr>
          <w:p>
            <w:pPr>
              <w:spacing w:line="360" w:lineRule="auto"/>
              <w:jc w:val="center"/>
              <w:rPr>
                <w:rFonts w:ascii="Times New Roman" w:hAnsi="宋体" w:eastAsia="宋体" w:cs="Times New Roman"/>
                <w:szCs w:val="21"/>
              </w:rPr>
            </w:pPr>
            <w:r>
              <w:rPr>
                <w:rFonts w:ascii="Times New Roman" w:hAnsi="宋体" w:eastAsia="宋体" w:cs="Times New Roman"/>
                <w:szCs w:val="21"/>
              </w:rPr>
              <w:t>基础化学，化工仪表及自动化</w:t>
            </w:r>
          </w:p>
          <w:p>
            <w:pPr>
              <w:spacing w:line="360" w:lineRule="auto"/>
              <w:jc w:val="center"/>
              <w:rPr>
                <w:rFonts w:ascii="Times New Roman" w:hAnsi="Times New Roman" w:eastAsia="宋体" w:cs="Times New Roman"/>
                <w:szCs w:val="21"/>
              </w:rPr>
            </w:pPr>
            <w:r>
              <w:rPr>
                <w:rFonts w:hint="eastAsia" w:ascii="Times New Roman" w:hAnsi="宋体" w:eastAsia="宋体" w:cs="Times New Roman"/>
                <w:szCs w:val="21"/>
              </w:rPr>
              <w:t>化工单元操作等</w:t>
            </w:r>
          </w:p>
        </w:tc>
        <w:tc>
          <w:tcPr>
            <w:tcW w:w="1620"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开课单位</w:t>
            </w:r>
          </w:p>
        </w:tc>
        <w:tc>
          <w:tcPr>
            <w:tcW w:w="1994" w:type="dxa"/>
            <w:vAlign w:val="center"/>
          </w:tcPr>
          <w:p>
            <w:pPr>
              <w:spacing w:line="360" w:lineRule="auto"/>
              <w:jc w:val="center"/>
              <w:rPr>
                <w:rFonts w:ascii="Times New Roman" w:hAnsi="Times New Roman" w:eastAsia="宋体" w:cs="Times New Roman"/>
                <w:szCs w:val="21"/>
              </w:rPr>
            </w:pPr>
            <w:r>
              <w:rPr>
                <w:rFonts w:hint="eastAsia" w:ascii="Times New Roman" w:hAnsi="宋体" w:eastAsia="宋体" w:cs="Times New Roman"/>
                <w:szCs w:val="21"/>
              </w:rPr>
              <w:t>化工系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平行课程</w:t>
            </w:r>
          </w:p>
        </w:tc>
        <w:tc>
          <w:tcPr>
            <w:tcW w:w="3274" w:type="dxa"/>
            <w:vAlign w:val="center"/>
          </w:tcPr>
          <w:p>
            <w:pPr>
              <w:widowControl/>
              <w:jc w:val="center"/>
              <w:rPr>
                <w:rFonts w:ascii="Times New Roman" w:hAnsi="Times New Roman" w:eastAsia="宋体" w:cs="Times New Roman"/>
                <w:szCs w:val="21"/>
              </w:rPr>
            </w:pPr>
            <w:r>
              <w:rPr>
                <w:rFonts w:ascii="Times New Roman" w:hAnsi="Times New Roman" w:eastAsia="宋体" w:cs="Times New Roman"/>
                <w:szCs w:val="21"/>
              </w:rPr>
              <w:t>化工制图与</w:t>
            </w:r>
            <w:r>
              <w:rPr>
                <w:rFonts w:hint="eastAsia" w:ascii="Times New Roman" w:hAnsi="Times New Roman" w:eastAsia="宋体" w:cs="Times New Roman"/>
                <w:szCs w:val="21"/>
              </w:rPr>
              <w:t>CAD等</w:t>
            </w:r>
          </w:p>
        </w:tc>
        <w:tc>
          <w:tcPr>
            <w:tcW w:w="1620"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考核类型</w:t>
            </w:r>
          </w:p>
        </w:tc>
        <w:tc>
          <w:tcPr>
            <w:tcW w:w="199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考试</w:t>
            </w:r>
            <w:r>
              <w:rPr>
                <w:rFonts w:hint="eastAsia" w:ascii="Times New Roman" w:hAnsi="宋体" w:eastAsia="宋体" w:cs="Times New Roman"/>
                <w:szCs w:val="21"/>
              </w:rPr>
              <w:t>+</w:t>
            </w:r>
            <w:r>
              <w:rPr>
                <w:rFonts w:ascii="Times New Roman" w:hAnsi="宋体" w:eastAsia="宋体" w:cs="Times New Roman"/>
                <w:szCs w:val="21"/>
              </w:rPr>
              <w:t>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后继课程</w:t>
            </w:r>
          </w:p>
        </w:tc>
        <w:tc>
          <w:tcPr>
            <w:tcW w:w="6888" w:type="dxa"/>
            <w:gridSpan w:val="3"/>
            <w:vAlign w:val="center"/>
          </w:tcPr>
          <w:p>
            <w:pPr>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无机化工生产技术、煤气化工艺等</w:t>
            </w:r>
          </w:p>
        </w:tc>
      </w:tr>
    </w:tbl>
    <w:p>
      <w:pPr>
        <w:adjustRightInd w:val="0"/>
        <w:snapToGrid w:val="0"/>
        <w:spacing w:beforeLines="50" w:line="360" w:lineRule="auto"/>
        <w:ind w:firstLine="640" w:firstLineChars="200"/>
        <w:rPr>
          <w:rFonts w:ascii="黑体" w:hAnsi="黑体" w:eastAsia="黑体" w:cs="Times New Roman"/>
          <w:sz w:val="32"/>
          <w:szCs w:val="32"/>
        </w:rPr>
      </w:pPr>
      <w:r>
        <w:rPr>
          <w:rFonts w:hint="eastAsia" w:ascii="黑体" w:hAnsi="黑体" w:eastAsia="黑体" w:cs="Times New Roman"/>
          <w:sz w:val="32"/>
          <w:szCs w:val="32"/>
        </w:rPr>
        <w:t>一、课程性质与定位</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 xml:space="preserve">《化工设备基础》是针对应用化工技术专业就业面向化工生产装置操作与维护岗、化工生产工艺运行控制岗以及车间技术、管理岗的专业核心课程。任务是培养学生能够安全使用化工设备，正确维护和保养化工设备的意识，掌握典型化工设备的故障诊断及故障处理的技能；在此基础上利用常见的CAD软件，培养学生阅读和绘制化工专业图样的能力，主要包括化工工艺图和化工设备图两部分，同时，它也是学生完成课程设计和毕业设计不可缺少的基础。 </w:t>
      </w:r>
    </w:p>
    <w:p>
      <w:pPr>
        <w:spacing w:line="360" w:lineRule="auto"/>
        <w:ind w:firstLine="480" w:firstLineChars="200"/>
        <w:rPr>
          <w:rFonts w:ascii="宋体" w:hAnsi="宋体" w:eastAsia="宋体" w:cs="Times New Roman"/>
          <w:bCs/>
          <w:sz w:val="24"/>
        </w:rPr>
      </w:pPr>
      <w:r>
        <w:rPr>
          <w:rFonts w:hint="eastAsia" w:ascii="宋体" w:hAnsi="宋体" w:eastAsia="宋体" w:cs="Times New Roman"/>
          <w:sz w:val="24"/>
        </w:rPr>
        <w:t>本课程的前导课程包括《大学数学》、《基础化学》、《化工单元操作》、《化工仪表自动化》等，平行课程有《</w:t>
      </w:r>
      <w:r>
        <w:rPr>
          <w:rFonts w:ascii="宋体" w:hAnsi="宋体" w:eastAsia="宋体" w:cs="Times New Roman"/>
          <w:sz w:val="24"/>
        </w:rPr>
        <w:t>化工制图与</w:t>
      </w:r>
      <w:r>
        <w:rPr>
          <w:rFonts w:hint="eastAsia" w:ascii="宋体" w:hAnsi="宋体" w:eastAsia="宋体" w:cs="Times New Roman"/>
          <w:sz w:val="24"/>
        </w:rPr>
        <w:t>CAD》、《化工单元操作》，后续课程为《无机化工生产技术》、《顶岗实习》、《毕业设计</w:t>
      </w:r>
      <w:r>
        <w:rPr>
          <w:rFonts w:hint="eastAsia" w:ascii="楷体_GB2312" w:hAnsi="Times New Roman" w:eastAsia="楷体_GB2312" w:cs="Times New Roman"/>
          <w:sz w:val="24"/>
        </w:rPr>
        <w:t>》。</w:t>
      </w:r>
    </w:p>
    <w:p>
      <w:pPr>
        <w:adjustRightInd w:val="0"/>
        <w:snapToGrid w:val="0"/>
        <w:spacing w:beforeLines="50" w:line="360" w:lineRule="auto"/>
        <w:ind w:firstLine="480" w:firstLineChars="150"/>
        <w:rPr>
          <w:rFonts w:ascii="黑体" w:hAnsi="黑体" w:eastAsia="黑体" w:cs="Times New Roman"/>
          <w:sz w:val="32"/>
          <w:szCs w:val="32"/>
        </w:rPr>
      </w:pPr>
      <w:r>
        <w:rPr>
          <w:rFonts w:hint="eastAsia" w:ascii="黑体" w:hAnsi="黑体" w:eastAsia="黑体" w:cs="Times New Roman"/>
          <w:sz w:val="32"/>
          <w:szCs w:val="32"/>
        </w:rPr>
        <w:t>二、课程设计理念</w:t>
      </w:r>
    </w:p>
    <w:p>
      <w:pPr>
        <w:spacing w:line="360" w:lineRule="auto"/>
        <w:ind w:firstLine="480" w:firstLineChars="200"/>
        <w:rPr>
          <w:rFonts w:ascii="宋体" w:hAnsi="宋体" w:eastAsia="宋体" w:cs="Times New Roman"/>
          <w:bCs/>
          <w:sz w:val="24"/>
        </w:rPr>
      </w:pPr>
      <w:r>
        <w:rPr>
          <w:rFonts w:hint="eastAsia" w:ascii="宋体" w:hAnsi="宋体" w:eastAsia="宋体" w:cs="Times New Roman"/>
          <w:sz w:val="24"/>
        </w:rPr>
        <w:t>针对本课程实践性、实用性强的特点，我们以化工生产技术的发展为依托，以行业、企业的需求为前提，以学生职业技能培养和职业素质养成为主线，主动适应化工行业发展的需要，努力探索职业教育与终身学习对接；教学过程与生产过程对接；专业课程内容与职业标准对接；学历证书与职业资格证书对接；专业与产业、企业、岗位对接等五个对接。在教学内容的选取上以培养高技能型专业人才为出发，以满足岗位职业技能需求为目标，以工作任务为基础，以实践带理论为模式，以真实的工作为依托，以学生为中心，以自主学习为切入点，以考核方式改革为手段，以兴趣小组活动为载体来设计教学过程。本课程主要采用任务驱动教学法，按照典型工作任务对应的职业能力为培养重点，充分体现职业性和实践性的要求，参照国家相应的职业资格标准，通过岗位调研，与企业共同确定岗位，按岗位能力确定岗位人才培养规格，确定人才培养目标。按职业岗位工作过程的完整性配置课程、构建课程体系，按典型工作任务需求选择课程内容，课程内容反映职业标准。</w:t>
      </w:r>
    </w:p>
    <w:p>
      <w:pPr>
        <w:adjustRightInd w:val="0"/>
        <w:snapToGrid w:val="0"/>
        <w:spacing w:beforeLines="50" w:line="360" w:lineRule="auto"/>
        <w:ind w:firstLine="480" w:firstLineChars="150"/>
        <w:rPr>
          <w:rFonts w:ascii="黑体" w:hAnsi="黑体" w:eastAsia="黑体" w:cs="Times New Roman"/>
          <w:sz w:val="32"/>
          <w:szCs w:val="32"/>
        </w:rPr>
      </w:pPr>
      <w:r>
        <w:rPr>
          <w:rFonts w:hint="eastAsia" w:ascii="黑体" w:hAnsi="黑体" w:eastAsia="黑体" w:cs="Times New Roman"/>
          <w:sz w:val="32"/>
          <w:szCs w:val="32"/>
        </w:rPr>
        <w:t>三、课程目标</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本课程是以化工生产过程为导向，以典型工作任务为载体，以职业素质培养为目的，以学生为主体，通过学习和教学做有机结合来组织教学，使学生在完成某项工作任务的同时能正确掌握化工设备维护与检修的基本知识和基本技能，能熟练使用常见的维修工具，正确阅读化工专业图样，达到职业资格的要求。同时，培养学生具有诚实、守信、肯干、敬业、善于与人沟通和合作的职业品质，提高发现问题、分析问题和解决问题的能力，为培养高技能专门人才奠定基础。</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1.专业能力</w:t>
      </w:r>
    </w:p>
    <w:tbl>
      <w:tblPr>
        <w:tblStyle w:val="1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60" w:lineRule="auto"/>
              <w:rPr>
                <w:rFonts w:ascii="Times New Roman" w:hAnsi="Times New Roman" w:eastAsia="宋体" w:cs="Times New Roman"/>
                <w:szCs w:val="21"/>
              </w:rPr>
            </w:pPr>
            <w:r>
              <w:rPr>
                <w:rFonts w:ascii="Times New Roman" w:hAnsi="宋体" w:eastAsia="宋体" w:cs="Times New Roman"/>
                <w:szCs w:val="21"/>
              </w:rPr>
              <w:t>（</w:t>
            </w:r>
            <w:r>
              <w:rPr>
                <w:rFonts w:ascii="Times New Roman" w:hAnsi="Times New Roman" w:eastAsia="宋体" w:cs="Times New Roman"/>
                <w:szCs w:val="21"/>
              </w:rPr>
              <w:t>1</w:t>
            </w:r>
            <w:r>
              <w:rPr>
                <w:rFonts w:ascii="Times New Roman" w:hAnsi="宋体" w:eastAsia="宋体" w:cs="Times New Roman"/>
                <w:szCs w:val="21"/>
              </w:rPr>
              <w:t>）能够安全正确的操作使用化工设备；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60" w:lineRule="auto"/>
              <w:rPr>
                <w:rFonts w:ascii="Times New Roman" w:hAnsi="Times New Roman" w:eastAsia="宋体" w:cs="Times New Roman"/>
                <w:szCs w:val="21"/>
              </w:rPr>
            </w:pPr>
            <w:r>
              <w:rPr>
                <w:rFonts w:ascii="Times New Roman" w:hAnsi="宋体" w:eastAsia="宋体" w:cs="Times New Roman"/>
                <w:szCs w:val="21"/>
              </w:rPr>
              <w:t>（</w:t>
            </w:r>
            <w:r>
              <w:rPr>
                <w:rFonts w:ascii="Times New Roman" w:hAnsi="Times New Roman" w:eastAsia="宋体" w:cs="Times New Roman"/>
                <w:szCs w:val="21"/>
              </w:rPr>
              <w:t>2</w:t>
            </w:r>
            <w:r>
              <w:rPr>
                <w:rFonts w:ascii="Times New Roman" w:hAnsi="宋体" w:eastAsia="宋体" w:cs="Times New Roman"/>
                <w:szCs w:val="21"/>
              </w:rPr>
              <w:t>）能够对化工设备进行日常维护管理；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60" w:lineRule="auto"/>
              <w:rPr>
                <w:rFonts w:ascii="Times New Roman" w:hAnsi="Times New Roman" w:eastAsia="宋体" w:cs="Times New Roman"/>
                <w:szCs w:val="21"/>
              </w:rPr>
            </w:pPr>
            <w:r>
              <w:rPr>
                <w:rFonts w:ascii="Times New Roman" w:hAnsi="宋体" w:eastAsia="宋体" w:cs="Times New Roman"/>
                <w:szCs w:val="21"/>
              </w:rPr>
              <w:t>（</w:t>
            </w:r>
            <w:r>
              <w:rPr>
                <w:rFonts w:ascii="Times New Roman" w:hAnsi="Times New Roman" w:eastAsia="宋体" w:cs="Times New Roman"/>
                <w:szCs w:val="21"/>
              </w:rPr>
              <w:t>3</w:t>
            </w:r>
            <w:r>
              <w:rPr>
                <w:rFonts w:ascii="Times New Roman" w:hAnsi="宋体" w:eastAsia="宋体" w:cs="Times New Roman"/>
                <w:szCs w:val="21"/>
              </w:rPr>
              <w:t>）能独立诊断化工设备中常见的故障现象；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60" w:lineRule="auto"/>
              <w:rPr>
                <w:rFonts w:ascii="Times New Roman" w:hAnsi="Times New Roman" w:eastAsia="宋体" w:cs="Times New Roman"/>
                <w:szCs w:val="21"/>
              </w:rPr>
            </w:pPr>
            <w:r>
              <w:rPr>
                <w:rFonts w:ascii="Times New Roman" w:hAnsi="宋体" w:eastAsia="宋体" w:cs="Times New Roman"/>
                <w:szCs w:val="21"/>
              </w:rPr>
              <w:t>（</w:t>
            </w:r>
            <w:r>
              <w:rPr>
                <w:rFonts w:ascii="Times New Roman" w:hAnsi="Times New Roman" w:eastAsia="宋体" w:cs="Times New Roman"/>
                <w:szCs w:val="21"/>
              </w:rPr>
              <w:t>4</w:t>
            </w:r>
            <w:r>
              <w:rPr>
                <w:rFonts w:ascii="Times New Roman" w:hAnsi="宋体" w:eastAsia="宋体" w:cs="Times New Roman"/>
                <w:szCs w:val="21"/>
              </w:rPr>
              <w:t>）能够熟练使用常见的化工设备检修工具；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60" w:lineRule="auto"/>
              <w:rPr>
                <w:rFonts w:ascii="Times New Roman" w:hAnsi="Times New Roman" w:eastAsia="宋体" w:cs="Times New Roman"/>
                <w:szCs w:val="21"/>
              </w:rPr>
            </w:pPr>
            <w:r>
              <w:rPr>
                <w:rFonts w:ascii="Times New Roman" w:hAnsi="宋体" w:eastAsia="宋体" w:cs="Times New Roman"/>
                <w:szCs w:val="21"/>
              </w:rPr>
              <w:t>（</w:t>
            </w:r>
            <w:r>
              <w:rPr>
                <w:rFonts w:ascii="Times New Roman" w:hAnsi="Times New Roman" w:eastAsia="宋体" w:cs="Times New Roman"/>
                <w:szCs w:val="21"/>
              </w:rPr>
              <w:t>5</w:t>
            </w:r>
            <w:r>
              <w:rPr>
                <w:rFonts w:ascii="Times New Roman" w:hAnsi="宋体" w:eastAsia="宋体" w:cs="Times New Roman"/>
                <w:szCs w:val="21"/>
              </w:rPr>
              <w:t>）能快速、准确地阅读和理解化工设备图；</w:t>
            </w:r>
          </w:p>
        </w:tc>
      </w:tr>
    </w:tbl>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2.方法能力</w:t>
      </w:r>
    </w:p>
    <w:tbl>
      <w:tblPr>
        <w:tblStyle w:val="1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60" w:lineRule="auto"/>
              <w:rPr>
                <w:rFonts w:ascii="Times New Roman" w:hAnsi="Times New Roman" w:eastAsia="宋体" w:cs="Times New Roman"/>
                <w:szCs w:val="21"/>
              </w:rPr>
            </w:pPr>
            <w:r>
              <w:rPr>
                <w:rFonts w:ascii="Times New Roman" w:hAnsi="宋体" w:eastAsia="宋体" w:cs="Times New Roman"/>
                <w:szCs w:val="21"/>
              </w:rPr>
              <w:t>（</w:t>
            </w:r>
            <w:r>
              <w:rPr>
                <w:rFonts w:ascii="Times New Roman" w:hAnsi="Times New Roman" w:eastAsia="宋体" w:cs="Times New Roman"/>
                <w:szCs w:val="21"/>
              </w:rPr>
              <w:t>1</w:t>
            </w:r>
            <w:r>
              <w:rPr>
                <w:rFonts w:ascii="Times New Roman" w:hAnsi="宋体" w:eastAsia="宋体" w:cs="Times New Roman"/>
                <w:szCs w:val="21"/>
              </w:rPr>
              <w:t>）具有自主学习新知识、新技术的能力；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60" w:lineRule="auto"/>
              <w:rPr>
                <w:rFonts w:ascii="Times New Roman" w:hAnsi="Times New Roman" w:eastAsia="宋体" w:cs="Times New Roman"/>
                <w:szCs w:val="21"/>
              </w:rPr>
            </w:pPr>
            <w:r>
              <w:rPr>
                <w:rFonts w:ascii="Times New Roman" w:hAnsi="宋体" w:eastAsia="宋体" w:cs="Times New Roman"/>
                <w:szCs w:val="21"/>
              </w:rPr>
              <w:t>（</w:t>
            </w:r>
            <w:r>
              <w:rPr>
                <w:rFonts w:ascii="Times New Roman" w:hAnsi="Times New Roman" w:eastAsia="宋体" w:cs="Times New Roman"/>
                <w:szCs w:val="21"/>
              </w:rPr>
              <w:t>2</w:t>
            </w:r>
            <w:r>
              <w:rPr>
                <w:rFonts w:ascii="Times New Roman" w:hAnsi="宋体" w:eastAsia="宋体" w:cs="Times New Roman"/>
                <w:szCs w:val="21"/>
              </w:rPr>
              <w:t>）具有通过各种资源查找所需信息的能力；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60" w:lineRule="auto"/>
              <w:rPr>
                <w:rFonts w:ascii="Times New Roman" w:hAnsi="Times New Roman" w:eastAsia="宋体" w:cs="Times New Roman"/>
                <w:szCs w:val="21"/>
              </w:rPr>
            </w:pPr>
            <w:r>
              <w:rPr>
                <w:rFonts w:ascii="Times New Roman" w:hAnsi="宋体" w:eastAsia="宋体" w:cs="Times New Roman"/>
                <w:szCs w:val="21"/>
              </w:rPr>
              <w:t>（</w:t>
            </w:r>
            <w:r>
              <w:rPr>
                <w:rFonts w:ascii="Times New Roman" w:hAnsi="Times New Roman" w:eastAsia="宋体" w:cs="Times New Roman"/>
                <w:szCs w:val="21"/>
              </w:rPr>
              <w:t>3</w:t>
            </w:r>
            <w:r>
              <w:rPr>
                <w:rFonts w:ascii="Times New Roman" w:hAnsi="宋体" w:eastAsia="宋体" w:cs="Times New Roman"/>
                <w:szCs w:val="21"/>
              </w:rPr>
              <w:t>）具有独立制定工作计划并实施的能力；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60" w:lineRule="auto"/>
              <w:rPr>
                <w:rFonts w:ascii="Times New Roman" w:hAnsi="Times New Roman" w:eastAsia="宋体" w:cs="Times New Roman"/>
                <w:szCs w:val="21"/>
              </w:rPr>
            </w:pPr>
            <w:r>
              <w:rPr>
                <w:rFonts w:ascii="Times New Roman" w:hAnsi="宋体" w:eastAsia="宋体" w:cs="Times New Roman"/>
                <w:szCs w:val="21"/>
              </w:rPr>
              <w:t>（</w:t>
            </w:r>
            <w:r>
              <w:rPr>
                <w:rFonts w:ascii="Times New Roman" w:hAnsi="Times New Roman" w:eastAsia="宋体" w:cs="Times New Roman"/>
                <w:szCs w:val="21"/>
              </w:rPr>
              <w:t>4</w:t>
            </w:r>
            <w:r>
              <w:rPr>
                <w:rFonts w:ascii="Times New Roman" w:hAnsi="宋体" w:eastAsia="宋体" w:cs="Times New Roman"/>
                <w:szCs w:val="21"/>
              </w:rPr>
              <w:t>）具有独立进行调查、对比、分析的能力；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60" w:lineRule="auto"/>
              <w:rPr>
                <w:rFonts w:ascii="Times New Roman" w:hAnsi="Times New Roman" w:eastAsia="宋体" w:cs="Times New Roman"/>
                <w:szCs w:val="21"/>
              </w:rPr>
            </w:pPr>
            <w:r>
              <w:rPr>
                <w:rFonts w:ascii="Times New Roman" w:hAnsi="宋体" w:eastAsia="宋体" w:cs="Times New Roman"/>
                <w:szCs w:val="21"/>
              </w:rPr>
              <w:t>（</w:t>
            </w:r>
            <w:r>
              <w:rPr>
                <w:rFonts w:ascii="Times New Roman" w:hAnsi="Times New Roman" w:eastAsia="宋体" w:cs="Times New Roman"/>
                <w:szCs w:val="21"/>
              </w:rPr>
              <w:t>5</w:t>
            </w:r>
            <w:r>
              <w:rPr>
                <w:rFonts w:ascii="Times New Roman" w:hAnsi="宋体" w:eastAsia="宋体" w:cs="Times New Roman"/>
                <w:szCs w:val="21"/>
              </w:rPr>
              <w:t>）具有不断积累经验，归纳知识，从个案中寻找共性的能力。</w:t>
            </w:r>
          </w:p>
        </w:tc>
      </w:tr>
    </w:tbl>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3.社会能力</w:t>
      </w:r>
    </w:p>
    <w:tbl>
      <w:tblPr>
        <w:tblStyle w:val="1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60" w:lineRule="auto"/>
              <w:rPr>
                <w:rFonts w:ascii="Times New Roman" w:hAnsi="Times New Roman" w:eastAsia="宋体" w:cs="Times New Roman"/>
                <w:szCs w:val="21"/>
              </w:rPr>
            </w:pPr>
            <w:r>
              <w:rPr>
                <w:rFonts w:ascii="Times New Roman" w:hAnsi="宋体" w:eastAsia="宋体" w:cs="Times New Roman"/>
                <w:szCs w:val="21"/>
              </w:rPr>
              <w:t>（</w:t>
            </w:r>
            <w:r>
              <w:rPr>
                <w:rFonts w:ascii="Times New Roman" w:hAnsi="Times New Roman" w:eastAsia="宋体" w:cs="Times New Roman"/>
                <w:szCs w:val="21"/>
              </w:rPr>
              <w:t>1</w:t>
            </w:r>
            <w:r>
              <w:rPr>
                <w:rFonts w:ascii="Times New Roman" w:hAnsi="宋体" w:eastAsia="宋体" w:cs="Times New Roman"/>
                <w:szCs w:val="21"/>
              </w:rPr>
              <w:t>）具备良好的职业道德和职业素养；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60" w:lineRule="auto"/>
              <w:rPr>
                <w:rFonts w:ascii="Times New Roman" w:hAnsi="Times New Roman" w:eastAsia="宋体" w:cs="Times New Roman"/>
                <w:szCs w:val="21"/>
              </w:rPr>
            </w:pPr>
            <w:r>
              <w:rPr>
                <w:rFonts w:ascii="Times New Roman" w:hAnsi="宋体" w:eastAsia="宋体" w:cs="Times New Roman"/>
                <w:szCs w:val="21"/>
              </w:rPr>
              <w:t>（</w:t>
            </w:r>
            <w:r>
              <w:rPr>
                <w:rFonts w:ascii="Times New Roman" w:hAnsi="Times New Roman" w:eastAsia="宋体" w:cs="Times New Roman"/>
                <w:szCs w:val="21"/>
              </w:rPr>
              <w:t>2</w:t>
            </w:r>
            <w:r>
              <w:rPr>
                <w:rFonts w:ascii="Times New Roman" w:hAnsi="宋体" w:eastAsia="宋体" w:cs="Times New Roman"/>
                <w:szCs w:val="21"/>
              </w:rPr>
              <w:t>）具备良好的沟通能力及团队协作精神；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60" w:lineRule="auto"/>
              <w:rPr>
                <w:rFonts w:ascii="Times New Roman" w:hAnsi="Times New Roman" w:eastAsia="宋体" w:cs="Times New Roman"/>
                <w:szCs w:val="21"/>
              </w:rPr>
            </w:pPr>
            <w:r>
              <w:rPr>
                <w:rFonts w:ascii="Times New Roman" w:hAnsi="宋体" w:eastAsia="宋体" w:cs="Times New Roman"/>
                <w:szCs w:val="21"/>
              </w:rPr>
              <w:t>（</w:t>
            </w:r>
            <w:r>
              <w:rPr>
                <w:rFonts w:ascii="Times New Roman" w:hAnsi="Times New Roman" w:eastAsia="宋体" w:cs="Times New Roman"/>
                <w:szCs w:val="21"/>
              </w:rPr>
              <w:t>3</w:t>
            </w:r>
            <w:r>
              <w:rPr>
                <w:rFonts w:ascii="Times New Roman" w:hAnsi="宋体" w:eastAsia="宋体" w:cs="Times New Roman"/>
                <w:szCs w:val="21"/>
              </w:rPr>
              <w:t>）具有良好的心理素质和吃苦耐劳的精神；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60" w:lineRule="auto"/>
              <w:rPr>
                <w:rFonts w:ascii="Times New Roman" w:hAnsi="Times New Roman" w:eastAsia="宋体" w:cs="Times New Roman"/>
                <w:szCs w:val="21"/>
              </w:rPr>
            </w:pPr>
            <w:r>
              <w:rPr>
                <w:rFonts w:ascii="Times New Roman" w:hAnsi="宋体" w:eastAsia="宋体" w:cs="Times New Roman"/>
                <w:szCs w:val="21"/>
              </w:rPr>
              <w:t>（</w:t>
            </w:r>
            <w:r>
              <w:rPr>
                <w:rFonts w:ascii="Times New Roman" w:hAnsi="Times New Roman" w:eastAsia="宋体" w:cs="Times New Roman"/>
                <w:szCs w:val="21"/>
              </w:rPr>
              <w:t>4</w:t>
            </w:r>
            <w:r>
              <w:rPr>
                <w:rFonts w:ascii="Times New Roman" w:hAnsi="宋体" w:eastAsia="宋体" w:cs="Times New Roman"/>
                <w:szCs w:val="21"/>
              </w:rPr>
              <w:t>）具备较强的环保意识和安全意识</w:t>
            </w:r>
            <w:r>
              <w:rPr>
                <w:rFonts w:hint="eastAsia" w:ascii="Times New Roman" w:hAnsi="宋体" w:eastAsia="宋体"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60" w:lineRule="auto"/>
              <w:rPr>
                <w:rFonts w:ascii="Times New Roman" w:hAnsi="Times New Roman" w:eastAsia="宋体" w:cs="Times New Roman"/>
                <w:szCs w:val="21"/>
              </w:rPr>
            </w:pPr>
            <w:r>
              <w:rPr>
                <w:rFonts w:ascii="Times New Roman" w:hAnsi="宋体" w:eastAsia="宋体" w:cs="Times New Roman"/>
                <w:szCs w:val="21"/>
              </w:rPr>
              <w:t>（</w:t>
            </w:r>
            <w:r>
              <w:rPr>
                <w:rFonts w:ascii="Times New Roman" w:hAnsi="Times New Roman" w:eastAsia="宋体" w:cs="Times New Roman"/>
                <w:szCs w:val="21"/>
              </w:rPr>
              <w:t>5</w:t>
            </w:r>
            <w:r>
              <w:rPr>
                <w:rFonts w:ascii="Times New Roman" w:hAnsi="宋体" w:eastAsia="宋体" w:cs="Times New Roman"/>
                <w:szCs w:val="21"/>
              </w:rPr>
              <w:t>）具备分析问题、解决问题的能力</w:t>
            </w:r>
            <w:r>
              <w:rPr>
                <w:rFonts w:hint="eastAsia" w:ascii="Times New Roman" w:hAnsi="宋体" w:eastAsia="宋体" w:cs="Times New Roman"/>
                <w:szCs w:val="21"/>
              </w:rPr>
              <w:t>。</w:t>
            </w:r>
          </w:p>
        </w:tc>
      </w:tr>
    </w:tbl>
    <w:p>
      <w:pPr>
        <w:adjustRightInd w:val="0"/>
        <w:snapToGrid w:val="0"/>
        <w:spacing w:beforeLines="50" w:line="360" w:lineRule="auto"/>
        <w:ind w:firstLine="480" w:firstLineChars="150"/>
        <w:rPr>
          <w:rFonts w:ascii="黑体" w:hAnsi="黑体" w:eastAsia="黑体" w:cs="Times New Roman"/>
          <w:sz w:val="32"/>
          <w:szCs w:val="32"/>
        </w:rPr>
      </w:pPr>
      <w:r>
        <w:rPr>
          <w:rFonts w:hint="eastAsia" w:ascii="黑体" w:hAnsi="黑体" w:eastAsia="黑体" w:cs="Times New Roman"/>
          <w:sz w:val="32"/>
          <w:szCs w:val="32"/>
        </w:rPr>
        <w:t>四、课程教学内容及学时分配</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根据专业需求和企业的具体情况，将本课程须学习掌握的相关内容进行整合序化。整合序化以岗位任务分析为依据，以能力为主线，以工作任务为载体，遵循学生职业成长规律，把技能训练和知识的掌握贯穿于项目教学中，课程教学尽可能与职业资格取证培训相融合，更加注重学生在工作过程中获取知识和岗位能力的培养。具体内容详见表4.3：</w:t>
      </w:r>
    </w:p>
    <w:p>
      <w:pPr>
        <w:adjustRightInd w:val="0"/>
        <w:snapToGrid w:val="0"/>
        <w:spacing w:beforeLines="50" w:afterLines="50" w:line="360" w:lineRule="auto"/>
        <w:jc w:val="center"/>
        <w:rPr>
          <w:rFonts w:ascii="宋体" w:hAnsi="宋体" w:eastAsia="宋体" w:cs="Times New Roman"/>
          <w:sz w:val="24"/>
        </w:rPr>
      </w:pPr>
      <w:r>
        <w:rPr>
          <w:rFonts w:hint="eastAsia" w:ascii="宋体" w:hAnsi="宋体" w:eastAsia="宋体" w:cs="Times New Roman"/>
          <w:sz w:val="24"/>
        </w:rPr>
        <w:t>表4.6《化工设备基础》教学内容安排</w:t>
      </w:r>
    </w:p>
    <w:tbl>
      <w:tblPr>
        <w:tblStyle w:val="18"/>
        <w:tblW w:w="8857"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5"/>
        <w:gridCol w:w="4140"/>
        <w:gridCol w:w="2812"/>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right"/>
        </w:trPr>
        <w:tc>
          <w:tcPr>
            <w:tcW w:w="1185" w:type="dxa"/>
            <w:vAlign w:val="center"/>
          </w:tcPr>
          <w:p>
            <w:pPr>
              <w:jc w:val="center"/>
              <w:rPr>
                <w:rFonts w:cs="Times New Roman" w:asciiTheme="minorEastAsia" w:hAnsiTheme="minorEastAsia"/>
                <w:b/>
                <w:bCs/>
                <w:szCs w:val="21"/>
              </w:rPr>
            </w:pPr>
            <w:r>
              <w:rPr>
                <w:rFonts w:cs="Times New Roman" w:asciiTheme="minorEastAsia" w:hAnsiTheme="minorEastAsia"/>
                <w:b/>
                <w:bCs/>
                <w:szCs w:val="21"/>
              </w:rPr>
              <w:t>项目任务</w:t>
            </w:r>
          </w:p>
        </w:tc>
        <w:tc>
          <w:tcPr>
            <w:tcW w:w="4140" w:type="dxa"/>
            <w:vAlign w:val="center"/>
          </w:tcPr>
          <w:p>
            <w:pPr>
              <w:ind w:firstLine="422" w:firstLineChars="200"/>
              <w:jc w:val="center"/>
              <w:rPr>
                <w:rFonts w:cs="Times New Roman" w:asciiTheme="minorEastAsia" w:hAnsiTheme="minorEastAsia"/>
                <w:b/>
                <w:bCs/>
                <w:szCs w:val="21"/>
              </w:rPr>
            </w:pPr>
            <w:r>
              <w:rPr>
                <w:rFonts w:cs="Times New Roman" w:asciiTheme="minorEastAsia" w:hAnsiTheme="minorEastAsia"/>
                <w:b/>
                <w:bCs/>
                <w:szCs w:val="21"/>
              </w:rPr>
              <w:t>学习情境描述及目标</w:t>
            </w:r>
          </w:p>
        </w:tc>
        <w:tc>
          <w:tcPr>
            <w:tcW w:w="2812" w:type="dxa"/>
            <w:vAlign w:val="center"/>
          </w:tcPr>
          <w:p>
            <w:pPr>
              <w:ind w:firstLine="422" w:firstLineChars="200"/>
              <w:jc w:val="center"/>
              <w:rPr>
                <w:rFonts w:cs="Times New Roman" w:asciiTheme="minorEastAsia" w:hAnsiTheme="minorEastAsia"/>
                <w:b/>
                <w:bCs/>
                <w:szCs w:val="21"/>
              </w:rPr>
            </w:pPr>
            <w:r>
              <w:rPr>
                <w:rFonts w:cs="Times New Roman" w:asciiTheme="minorEastAsia" w:hAnsiTheme="minorEastAsia"/>
                <w:b/>
                <w:bCs/>
                <w:szCs w:val="21"/>
              </w:rPr>
              <w:t>学习内容</w:t>
            </w:r>
          </w:p>
        </w:tc>
        <w:tc>
          <w:tcPr>
            <w:tcW w:w="720" w:type="dxa"/>
            <w:vAlign w:val="center"/>
          </w:tcPr>
          <w:p>
            <w:pPr>
              <w:jc w:val="center"/>
              <w:rPr>
                <w:rFonts w:cs="Times New Roman" w:asciiTheme="minorEastAsia" w:hAnsiTheme="minorEastAsia"/>
                <w:b/>
                <w:bCs/>
                <w:szCs w:val="21"/>
              </w:rPr>
            </w:pPr>
            <w:r>
              <w:rPr>
                <w:rFonts w:cs="Times New Roman" w:asciiTheme="minorEastAsia" w:hAnsiTheme="minorEastAsia"/>
                <w:b/>
                <w:bCs/>
                <w:szCs w:val="21"/>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185" w:type="dxa"/>
            <w:vAlign w:val="center"/>
          </w:tcPr>
          <w:p>
            <w:pPr>
              <w:rPr>
                <w:rFonts w:cs="Times New Roman" w:asciiTheme="minorEastAsia" w:hAnsiTheme="minorEastAsia"/>
                <w:szCs w:val="21"/>
              </w:rPr>
            </w:pPr>
            <w:r>
              <w:rPr>
                <w:rFonts w:cs="Times New Roman" w:asciiTheme="minorEastAsia" w:hAnsiTheme="minorEastAsia"/>
                <w:szCs w:val="21"/>
              </w:rPr>
              <w:t>化工设备认知</w:t>
            </w:r>
          </w:p>
        </w:tc>
        <w:tc>
          <w:tcPr>
            <w:tcW w:w="4140" w:type="dxa"/>
            <w:vAlign w:val="center"/>
          </w:tcPr>
          <w:p>
            <w:pPr>
              <w:ind w:firstLine="420" w:firstLineChars="200"/>
              <w:rPr>
                <w:rFonts w:cs="Times New Roman" w:asciiTheme="minorEastAsia" w:hAnsiTheme="minorEastAsia"/>
                <w:szCs w:val="21"/>
              </w:rPr>
            </w:pPr>
            <w:r>
              <w:rPr>
                <w:rFonts w:cs="Times New Roman" w:asciiTheme="minorEastAsia" w:hAnsiTheme="minorEastAsia"/>
                <w:szCs w:val="21"/>
              </w:rPr>
              <w:t>化工设备是实现化工生产过程的重要工具，没有相应的设备，任何化工生产过程都无法实现。</w:t>
            </w:r>
          </w:p>
          <w:p>
            <w:pPr>
              <w:rPr>
                <w:rFonts w:cs="Times New Roman" w:asciiTheme="minorEastAsia" w:hAnsiTheme="minorEastAsia"/>
                <w:szCs w:val="21"/>
              </w:rPr>
            </w:pPr>
            <w:r>
              <w:rPr>
                <w:rFonts w:cs="Times New Roman" w:asciiTheme="minorEastAsia" w:hAnsiTheme="minorEastAsia"/>
                <w:szCs w:val="21"/>
              </w:rPr>
              <w:t>1、了解化工设备的分类及应用</w:t>
            </w:r>
            <w:r>
              <w:rPr>
                <w:rFonts w:hint="eastAsia" w:cs="Times New Roman" w:asciiTheme="minorEastAsia" w:hAnsiTheme="minorEastAsia"/>
                <w:szCs w:val="21"/>
              </w:rPr>
              <w:t>；</w:t>
            </w:r>
          </w:p>
          <w:p>
            <w:pPr>
              <w:rPr>
                <w:rFonts w:cs="Times New Roman" w:asciiTheme="minorEastAsia" w:hAnsiTheme="minorEastAsia"/>
                <w:szCs w:val="21"/>
              </w:rPr>
            </w:pPr>
            <w:r>
              <w:rPr>
                <w:rFonts w:cs="Times New Roman" w:asciiTheme="minorEastAsia" w:hAnsiTheme="minorEastAsia"/>
                <w:szCs w:val="21"/>
              </w:rPr>
              <w:t>2、了解化工设备常用材料性能</w:t>
            </w:r>
            <w:r>
              <w:rPr>
                <w:rFonts w:hint="eastAsia" w:cs="Times New Roman" w:asciiTheme="minorEastAsia" w:hAnsiTheme="minorEastAsia"/>
                <w:szCs w:val="21"/>
              </w:rPr>
              <w:t>。</w:t>
            </w:r>
          </w:p>
        </w:tc>
        <w:tc>
          <w:tcPr>
            <w:tcW w:w="2812" w:type="dxa"/>
            <w:vAlign w:val="center"/>
          </w:tcPr>
          <w:p>
            <w:pPr>
              <w:rPr>
                <w:rFonts w:cs="Times New Roman" w:asciiTheme="minorEastAsia" w:hAnsiTheme="minorEastAsia"/>
                <w:szCs w:val="21"/>
              </w:rPr>
            </w:pPr>
            <w:r>
              <w:rPr>
                <w:rFonts w:cs="Times New Roman" w:asciiTheme="minorEastAsia" w:hAnsiTheme="minorEastAsia"/>
                <w:szCs w:val="21"/>
              </w:rPr>
              <w:t>1、化工设备的特点及基本要求；</w:t>
            </w:r>
          </w:p>
          <w:p>
            <w:pPr>
              <w:rPr>
                <w:rFonts w:cs="Times New Roman" w:asciiTheme="minorEastAsia" w:hAnsiTheme="minorEastAsia"/>
                <w:szCs w:val="21"/>
              </w:rPr>
            </w:pPr>
            <w:r>
              <w:rPr>
                <w:rFonts w:cs="Times New Roman" w:asciiTheme="minorEastAsia" w:hAnsiTheme="minorEastAsia"/>
                <w:szCs w:val="21"/>
              </w:rPr>
              <w:t>2、化工设备常用材料性能及分类</w:t>
            </w:r>
            <w:r>
              <w:rPr>
                <w:rFonts w:hint="eastAsia" w:cs="Times New Roman" w:asciiTheme="minorEastAsia" w:hAnsiTheme="minorEastAsia"/>
                <w:szCs w:val="21"/>
              </w:rPr>
              <w:t>。</w:t>
            </w:r>
          </w:p>
        </w:tc>
        <w:tc>
          <w:tcPr>
            <w:tcW w:w="720" w:type="dxa"/>
            <w:vAlign w:val="center"/>
          </w:tcPr>
          <w:p>
            <w:pPr>
              <w:jc w:val="center"/>
              <w:rPr>
                <w:rFonts w:cs="Times New Roman" w:asciiTheme="minorEastAsia" w:hAnsiTheme="minorEastAsia"/>
                <w:szCs w:val="21"/>
              </w:rPr>
            </w:pPr>
            <w:r>
              <w:rPr>
                <w:rFonts w:hint="eastAsia" w:cs="Times New Roman" w:asciiTheme="minorEastAsia" w:hAnsiTheme="minorEastAsia"/>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9" w:hRule="atLeast"/>
          <w:jc w:val="right"/>
        </w:trPr>
        <w:tc>
          <w:tcPr>
            <w:tcW w:w="1185" w:type="dxa"/>
            <w:vAlign w:val="center"/>
          </w:tcPr>
          <w:p>
            <w:pPr>
              <w:rPr>
                <w:rFonts w:cs="Times New Roman" w:asciiTheme="minorEastAsia" w:hAnsiTheme="minorEastAsia"/>
                <w:szCs w:val="21"/>
              </w:rPr>
            </w:pPr>
            <w:r>
              <w:rPr>
                <w:rFonts w:cs="Times New Roman" w:asciiTheme="minorEastAsia" w:hAnsiTheme="minorEastAsia"/>
                <w:szCs w:val="21"/>
              </w:rPr>
              <w:t>单体贮槽安全评价</w:t>
            </w:r>
          </w:p>
        </w:tc>
        <w:tc>
          <w:tcPr>
            <w:tcW w:w="4140" w:type="dxa"/>
            <w:vAlign w:val="center"/>
          </w:tcPr>
          <w:p>
            <w:pPr>
              <w:ind w:firstLine="420" w:firstLineChars="200"/>
              <w:rPr>
                <w:rFonts w:cs="Times New Roman" w:asciiTheme="minorEastAsia" w:hAnsiTheme="minorEastAsia"/>
                <w:szCs w:val="21"/>
              </w:rPr>
            </w:pPr>
            <w:r>
              <w:rPr>
                <w:rFonts w:cs="Times New Roman" w:asciiTheme="minorEastAsia" w:hAnsiTheme="minorEastAsia"/>
                <w:szCs w:val="21"/>
              </w:rPr>
              <w:t>拟设定某化工厂在大修期间对氨合成工段液氨贮槽安全性进行评估，设计的子任务为</w:t>
            </w:r>
            <w:r>
              <w:rPr>
                <w:rFonts w:hint="eastAsia" w:cs="Times New Roman" w:asciiTheme="minorEastAsia" w:hAnsiTheme="minorEastAsia"/>
                <w:szCs w:val="21"/>
              </w:rPr>
              <w:t>“</w:t>
            </w:r>
            <w:r>
              <w:rPr>
                <w:rFonts w:cs="Times New Roman" w:asciiTheme="minorEastAsia" w:hAnsiTheme="minorEastAsia"/>
                <w:szCs w:val="21"/>
              </w:rPr>
              <w:t>单体贮槽强度校核</w:t>
            </w:r>
            <w:r>
              <w:rPr>
                <w:rFonts w:hint="eastAsia" w:cs="Times New Roman" w:asciiTheme="minorEastAsia" w:hAnsiTheme="minorEastAsia"/>
                <w:szCs w:val="21"/>
              </w:rPr>
              <w:t>”</w:t>
            </w:r>
            <w:r>
              <w:rPr>
                <w:rFonts w:cs="Times New Roman" w:asciiTheme="minorEastAsia" w:hAnsiTheme="minorEastAsia"/>
                <w:szCs w:val="21"/>
              </w:rPr>
              <w:t>、</w:t>
            </w:r>
            <w:r>
              <w:rPr>
                <w:rFonts w:hint="eastAsia" w:cs="Times New Roman" w:asciiTheme="minorEastAsia" w:hAnsiTheme="minorEastAsia"/>
                <w:szCs w:val="21"/>
              </w:rPr>
              <w:t>“</w:t>
            </w:r>
            <w:r>
              <w:rPr>
                <w:rFonts w:cs="Times New Roman" w:asciiTheme="minorEastAsia" w:hAnsiTheme="minorEastAsia"/>
                <w:szCs w:val="21"/>
              </w:rPr>
              <w:t>单体贮槽压力试验</w:t>
            </w:r>
            <w:r>
              <w:rPr>
                <w:rFonts w:hint="eastAsia" w:cs="Times New Roman" w:asciiTheme="minorEastAsia" w:hAnsiTheme="minorEastAsia"/>
                <w:szCs w:val="21"/>
              </w:rPr>
              <w:t>”</w:t>
            </w:r>
            <w:r>
              <w:rPr>
                <w:rFonts w:cs="Times New Roman" w:asciiTheme="minorEastAsia" w:hAnsiTheme="minorEastAsia"/>
                <w:szCs w:val="21"/>
              </w:rPr>
              <w:t>和</w:t>
            </w:r>
            <w:r>
              <w:rPr>
                <w:rFonts w:hint="eastAsia" w:cs="Times New Roman" w:asciiTheme="minorEastAsia" w:hAnsiTheme="minorEastAsia"/>
                <w:szCs w:val="21"/>
              </w:rPr>
              <w:t>“</w:t>
            </w:r>
            <w:r>
              <w:rPr>
                <w:rFonts w:cs="Times New Roman" w:asciiTheme="minorEastAsia" w:hAnsiTheme="minorEastAsia"/>
                <w:szCs w:val="21"/>
              </w:rPr>
              <w:t>单体贮槽图的阅读</w:t>
            </w:r>
            <w:r>
              <w:rPr>
                <w:rFonts w:hint="eastAsia" w:cs="Times New Roman" w:asciiTheme="minorEastAsia" w:hAnsiTheme="minorEastAsia"/>
                <w:szCs w:val="21"/>
              </w:rPr>
              <w:t>”。</w:t>
            </w:r>
          </w:p>
          <w:p>
            <w:pPr>
              <w:rPr>
                <w:rFonts w:cs="Times New Roman" w:asciiTheme="minorEastAsia" w:hAnsiTheme="minorEastAsia"/>
                <w:szCs w:val="21"/>
              </w:rPr>
            </w:pPr>
            <w:r>
              <w:rPr>
                <w:rFonts w:cs="Times New Roman" w:asciiTheme="minorEastAsia" w:hAnsiTheme="minorEastAsia"/>
                <w:szCs w:val="21"/>
              </w:rPr>
              <w:t>1、能根据设备壁厚校核压力容器强度</w:t>
            </w:r>
            <w:r>
              <w:rPr>
                <w:rFonts w:hint="eastAsia" w:cs="Times New Roman" w:asciiTheme="minorEastAsia" w:hAnsiTheme="minorEastAsia"/>
                <w:szCs w:val="21"/>
              </w:rPr>
              <w:t>；</w:t>
            </w:r>
          </w:p>
          <w:p>
            <w:pPr>
              <w:rPr>
                <w:rFonts w:cs="Times New Roman" w:asciiTheme="minorEastAsia" w:hAnsiTheme="minorEastAsia"/>
                <w:szCs w:val="21"/>
              </w:rPr>
            </w:pPr>
            <w:r>
              <w:rPr>
                <w:rFonts w:cs="Times New Roman" w:asciiTheme="minorEastAsia" w:hAnsiTheme="minorEastAsia"/>
                <w:szCs w:val="21"/>
              </w:rPr>
              <w:t>2、能够根据工艺参数计算试验压力</w:t>
            </w:r>
            <w:r>
              <w:rPr>
                <w:rFonts w:hint="eastAsia" w:cs="Times New Roman" w:asciiTheme="minorEastAsia" w:hAnsiTheme="minorEastAsia"/>
                <w:szCs w:val="21"/>
              </w:rPr>
              <w:t>；</w:t>
            </w:r>
          </w:p>
          <w:p>
            <w:pPr>
              <w:rPr>
                <w:rFonts w:cs="Times New Roman" w:asciiTheme="minorEastAsia" w:hAnsiTheme="minorEastAsia"/>
                <w:szCs w:val="21"/>
              </w:rPr>
            </w:pPr>
            <w:r>
              <w:rPr>
                <w:rFonts w:cs="Times New Roman" w:asciiTheme="minorEastAsia" w:hAnsiTheme="minorEastAsia"/>
                <w:szCs w:val="21"/>
              </w:rPr>
              <w:t>3、能够对压力容器附件日常维护</w:t>
            </w:r>
            <w:r>
              <w:rPr>
                <w:rFonts w:hint="eastAsia" w:cs="Times New Roman" w:asciiTheme="minorEastAsia" w:hAnsiTheme="minorEastAsia"/>
                <w:szCs w:val="21"/>
              </w:rPr>
              <w:t>；</w:t>
            </w:r>
          </w:p>
          <w:p>
            <w:pPr>
              <w:rPr>
                <w:rFonts w:cs="Times New Roman" w:asciiTheme="minorEastAsia" w:hAnsiTheme="minorEastAsia"/>
                <w:szCs w:val="21"/>
              </w:rPr>
            </w:pPr>
            <w:r>
              <w:rPr>
                <w:rFonts w:cs="Times New Roman" w:asciiTheme="minorEastAsia" w:hAnsiTheme="minorEastAsia"/>
                <w:szCs w:val="21"/>
              </w:rPr>
              <w:t>4、掌握压力容器附件选用原则</w:t>
            </w:r>
            <w:r>
              <w:rPr>
                <w:rFonts w:hint="eastAsia" w:cs="Times New Roman" w:asciiTheme="minorEastAsia" w:hAnsiTheme="minorEastAsia"/>
                <w:szCs w:val="21"/>
              </w:rPr>
              <w:t>。</w:t>
            </w:r>
          </w:p>
        </w:tc>
        <w:tc>
          <w:tcPr>
            <w:tcW w:w="2812" w:type="dxa"/>
            <w:vAlign w:val="center"/>
          </w:tcPr>
          <w:p>
            <w:pPr>
              <w:rPr>
                <w:rFonts w:cs="Times New Roman" w:asciiTheme="minorEastAsia" w:hAnsiTheme="minorEastAsia"/>
                <w:szCs w:val="21"/>
              </w:rPr>
            </w:pPr>
            <w:r>
              <w:rPr>
                <w:rFonts w:cs="Times New Roman" w:asciiTheme="minorEastAsia" w:hAnsiTheme="minorEastAsia"/>
                <w:szCs w:val="21"/>
              </w:rPr>
              <w:t>1、压力容器的结构与分类</w:t>
            </w:r>
            <w:r>
              <w:rPr>
                <w:rFonts w:hint="eastAsia" w:cs="Times New Roman" w:asciiTheme="minorEastAsia" w:hAnsiTheme="minorEastAsia"/>
                <w:szCs w:val="21"/>
              </w:rPr>
              <w:t>；</w:t>
            </w:r>
          </w:p>
          <w:p>
            <w:pPr>
              <w:rPr>
                <w:rFonts w:cs="Times New Roman" w:asciiTheme="minorEastAsia" w:hAnsiTheme="minorEastAsia"/>
                <w:szCs w:val="21"/>
              </w:rPr>
            </w:pPr>
            <w:r>
              <w:rPr>
                <w:rFonts w:cs="Times New Roman" w:asciiTheme="minorEastAsia" w:hAnsiTheme="minorEastAsia"/>
                <w:szCs w:val="21"/>
              </w:rPr>
              <w:t>2、化工设备强度计算基础</w:t>
            </w:r>
            <w:r>
              <w:rPr>
                <w:rFonts w:hint="eastAsia" w:cs="Times New Roman" w:asciiTheme="minorEastAsia" w:hAnsiTheme="minorEastAsia"/>
                <w:szCs w:val="21"/>
              </w:rPr>
              <w:t>；</w:t>
            </w:r>
          </w:p>
          <w:p>
            <w:pPr>
              <w:rPr>
                <w:rFonts w:cs="Times New Roman" w:asciiTheme="minorEastAsia" w:hAnsiTheme="minorEastAsia"/>
                <w:szCs w:val="21"/>
              </w:rPr>
            </w:pPr>
            <w:r>
              <w:rPr>
                <w:rFonts w:cs="Times New Roman" w:asciiTheme="minorEastAsia" w:hAnsiTheme="minorEastAsia"/>
                <w:szCs w:val="21"/>
              </w:rPr>
              <w:t>3、内压薄壁容器壁厚计算与强度校核</w:t>
            </w:r>
            <w:r>
              <w:rPr>
                <w:rFonts w:hint="eastAsia" w:cs="Times New Roman" w:asciiTheme="minorEastAsia" w:hAnsiTheme="minorEastAsia"/>
                <w:szCs w:val="21"/>
              </w:rPr>
              <w:t>；</w:t>
            </w:r>
          </w:p>
          <w:p>
            <w:pPr>
              <w:rPr>
                <w:rFonts w:cs="Times New Roman" w:asciiTheme="minorEastAsia" w:hAnsiTheme="minorEastAsia"/>
                <w:szCs w:val="21"/>
              </w:rPr>
            </w:pPr>
            <w:r>
              <w:rPr>
                <w:rFonts w:cs="Times New Roman" w:asciiTheme="minorEastAsia" w:hAnsiTheme="minorEastAsia"/>
                <w:szCs w:val="21"/>
              </w:rPr>
              <w:t>4、压力容器封头选用</w:t>
            </w:r>
            <w:r>
              <w:rPr>
                <w:rFonts w:hint="eastAsia" w:cs="Times New Roman" w:asciiTheme="minorEastAsia" w:hAnsiTheme="minorEastAsia"/>
                <w:szCs w:val="21"/>
              </w:rPr>
              <w:t>；</w:t>
            </w:r>
          </w:p>
          <w:p>
            <w:pPr>
              <w:rPr>
                <w:rFonts w:cs="Times New Roman" w:asciiTheme="minorEastAsia" w:hAnsiTheme="minorEastAsia"/>
                <w:szCs w:val="21"/>
              </w:rPr>
            </w:pPr>
            <w:r>
              <w:rPr>
                <w:rFonts w:cs="Times New Roman" w:asciiTheme="minorEastAsia" w:hAnsiTheme="minorEastAsia"/>
                <w:szCs w:val="21"/>
              </w:rPr>
              <w:t>5、压力容器压力实验</w:t>
            </w:r>
            <w:r>
              <w:rPr>
                <w:rFonts w:hint="eastAsia" w:cs="Times New Roman" w:asciiTheme="minorEastAsia" w:hAnsiTheme="minorEastAsia"/>
                <w:szCs w:val="21"/>
              </w:rPr>
              <w:t>；</w:t>
            </w:r>
          </w:p>
          <w:p>
            <w:pPr>
              <w:rPr>
                <w:rFonts w:cs="Times New Roman" w:asciiTheme="minorEastAsia" w:hAnsiTheme="minorEastAsia"/>
                <w:szCs w:val="21"/>
              </w:rPr>
            </w:pPr>
            <w:r>
              <w:rPr>
                <w:rFonts w:cs="Times New Roman" w:asciiTheme="minorEastAsia" w:hAnsiTheme="minorEastAsia"/>
                <w:szCs w:val="21"/>
              </w:rPr>
              <w:t>6、压力容器零部件选用</w:t>
            </w:r>
            <w:r>
              <w:rPr>
                <w:rFonts w:hint="eastAsia" w:cs="Times New Roman" w:asciiTheme="minorEastAsia" w:hAnsiTheme="minorEastAsia"/>
                <w:szCs w:val="21"/>
              </w:rPr>
              <w:t>；</w:t>
            </w:r>
          </w:p>
          <w:p>
            <w:pPr>
              <w:rPr>
                <w:rFonts w:cs="Times New Roman" w:asciiTheme="minorEastAsia" w:hAnsiTheme="minorEastAsia"/>
                <w:szCs w:val="21"/>
              </w:rPr>
            </w:pPr>
            <w:r>
              <w:rPr>
                <w:rFonts w:cs="Times New Roman" w:asciiTheme="minorEastAsia" w:hAnsiTheme="minorEastAsia"/>
                <w:szCs w:val="21"/>
              </w:rPr>
              <w:t>7、封头、法兰及接管的绘制</w:t>
            </w:r>
            <w:r>
              <w:rPr>
                <w:rFonts w:hint="eastAsia" w:cs="Times New Roman" w:asciiTheme="minorEastAsia" w:hAnsiTheme="minorEastAsia"/>
                <w:szCs w:val="21"/>
              </w:rPr>
              <w:t>；</w:t>
            </w:r>
          </w:p>
          <w:p>
            <w:pPr>
              <w:rPr>
                <w:rFonts w:cs="Times New Roman" w:asciiTheme="minorEastAsia" w:hAnsiTheme="minorEastAsia"/>
                <w:szCs w:val="21"/>
              </w:rPr>
            </w:pPr>
            <w:r>
              <w:rPr>
                <w:rFonts w:cs="Times New Roman" w:asciiTheme="minorEastAsia" w:hAnsiTheme="minorEastAsia"/>
                <w:szCs w:val="21"/>
              </w:rPr>
              <w:t>8、化工容器的绘制</w:t>
            </w:r>
            <w:r>
              <w:rPr>
                <w:rFonts w:hint="eastAsia" w:cs="Times New Roman" w:asciiTheme="minorEastAsia" w:hAnsiTheme="minorEastAsia"/>
                <w:szCs w:val="21"/>
              </w:rPr>
              <w:t>。</w:t>
            </w:r>
          </w:p>
        </w:tc>
        <w:tc>
          <w:tcPr>
            <w:tcW w:w="720" w:type="dxa"/>
            <w:vAlign w:val="center"/>
          </w:tcPr>
          <w:p>
            <w:pPr>
              <w:jc w:val="center"/>
              <w:rPr>
                <w:rFonts w:cs="Times New Roman" w:asciiTheme="minorEastAsia" w:hAnsiTheme="minorEastAsia"/>
                <w:szCs w:val="21"/>
              </w:rPr>
            </w:pPr>
            <w:r>
              <w:rPr>
                <w:rFonts w:hint="eastAsia" w:cs="Times New Roman" w:asciiTheme="minorEastAsia" w:hAnsiTheme="minorEastAsia"/>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185" w:type="dxa"/>
            <w:vAlign w:val="center"/>
          </w:tcPr>
          <w:p>
            <w:pPr>
              <w:rPr>
                <w:rFonts w:cs="Times New Roman" w:asciiTheme="minorEastAsia" w:hAnsiTheme="minorEastAsia"/>
                <w:szCs w:val="21"/>
              </w:rPr>
            </w:pPr>
            <w:r>
              <w:rPr>
                <w:rFonts w:cs="Times New Roman" w:asciiTheme="minorEastAsia" w:hAnsiTheme="minorEastAsia"/>
                <w:szCs w:val="21"/>
              </w:rPr>
              <w:t>换热器的选用与维护</w:t>
            </w:r>
          </w:p>
        </w:tc>
        <w:tc>
          <w:tcPr>
            <w:tcW w:w="4140" w:type="dxa"/>
            <w:vAlign w:val="center"/>
          </w:tcPr>
          <w:p>
            <w:pPr>
              <w:ind w:firstLine="420" w:firstLineChars="200"/>
              <w:rPr>
                <w:rFonts w:cs="Times New Roman" w:asciiTheme="minorEastAsia" w:hAnsiTheme="minorEastAsia"/>
                <w:szCs w:val="21"/>
              </w:rPr>
            </w:pPr>
            <w:r>
              <w:rPr>
                <w:rFonts w:cs="Times New Roman" w:asciiTheme="minorEastAsia" w:hAnsiTheme="minorEastAsia"/>
                <w:szCs w:val="21"/>
              </w:rPr>
              <w:t>某新建化工厂购买空气干燥装置的预热器，在车间技术人员的组织下进行学习，本情景可以分为</w:t>
            </w:r>
            <w:r>
              <w:rPr>
                <w:rFonts w:hint="eastAsia" w:cs="Times New Roman" w:asciiTheme="minorEastAsia" w:hAnsiTheme="minorEastAsia"/>
                <w:szCs w:val="21"/>
              </w:rPr>
              <w:t>“</w:t>
            </w:r>
            <w:r>
              <w:rPr>
                <w:rFonts w:cs="Times New Roman" w:asciiTheme="minorEastAsia" w:hAnsiTheme="minorEastAsia"/>
                <w:szCs w:val="21"/>
              </w:rPr>
              <w:t>认识换热器内部构造</w:t>
            </w:r>
            <w:r>
              <w:rPr>
                <w:rFonts w:hint="eastAsia" w:cs="Times New Roman" w:asciiTheme="minorEastAsia" w:hAnsiTheme="minorEastAsia"/>
                <w:szCs w:val="21"/>
              </w:rPr>
              <w:t>”</w:t>
            </w:r>
            <w:r>
              <w:rPr>
                <w:rFonts w:cs="Times New Roman" w:asciiTheme="minorEastAsia" w:hAnsiTheme="minorEastAsia"/>
                <w:szCs w:val="21"/>
              </w:rPr>
              <w:t>、</w:t>
            </w:r>
            <w:r>
              <w:rPr>
                <w:rFonts w:hint="eastAsia" w:cs="Times New Roman" w:asciiTheme="minorEastAsia" w:hAnsiTheme="minorEastAsia"/>
                <w:szCs w:val="21"/>
              </w:rPr>
              <w:t>“</w:t>
            </w:r>
            <w:r>
              <w:rPr>
                <w:rFonts w:cs="Times New Roman" w:asciiTheme="minorEastAsia" w:hAnsiTheme="minorEastAsia"/>
                <w:szCs w:val="21"/>
              </w:rPr>
              <w:t>换热器的选用与日常维护</w:t>
            </w:r>
            <w:r>
              <w:rPr>
                <w:rFonts w:hint="eastAsia" w:cs="Times New Roman" w:asciiTheme="minorEastAsia" w:hAnsiTheme="minorEastAsia"/>
                <w:szCs w:val="21"/>
              </w:rPr>
              <w:t>”</w:t>
            </w:r>
            <w:r>
              <w:rPr>
                <w:rFonts w:cs="Times New Roman" w:asciiTheme="minorEastAsia" w:hAnsiTheme="minorEastAsia"/>
                <w:szCs w:val="21"/>
              </w:rPr>
              <w:t>和</w:t>
            </w:r>
            <w:r>
              <w:rPr>
                <w:rFonts w:hint="eastAsia" w:cs="Times New Roman" w:asciiTheme="minorEastAsia" w:hAnsiTheme="minorEastAsia"/>
                <w:szCs w:val="21"/>
              </w:rPr>
              <w:t>“</w:t>
            </w:r>
            <w:r>
              <w:rPr>
                <w:rFonts w:cs="Times New Roman" w:asciiTheme="minorEastAsia" w:hAnsiTheme="minorEastAsia"/>
                <w:szCs w:val="21"/>
              </w:rPr>
              <w:t>热交换设备绘制</w:t>
            </w:r>
            <w:r>
              <w:rPr>
                <w:rFonts w:hint="eastAsia" w:cs="Times New Roman" w:asciiTheme="minorEastAsia" w:hAnsiTheme="minorEastAsia"/>
                <w:szCs w:val="21"/>
              </w:rPr>
              <w:t>”</w:t>
            </w:r>
            <w:r>
              <w:rPr>
                <w:rFonts w:cs="Times New Roman" w:asciiTheme="minorEastAsia" w:hAnsiTheme="minorEastAsia"/>
                <w:szCs w:val="21"/>
              </w:rPr>
              <w:t>三个子任务。</w:t>
            </w:r>
          </w:p>
          <w:p>
            <w:pPr>
              <w:rPr>
                <w:rFonts w:cs="Times New Roman" w:asciiTheme="minorEastAsia" w:hAnsiTheme="minorEastAsia"/>
                <w:szCs w:val="21"/>
              </w:rPr>
            </w:pPr>
            <w:r>
              <w:rPr>
                <w:rFonts w:cs="Times New Roman" w:asciiTheme="minorEastAsia" w:hAnsiTheme="minorEastAsia"/>
                <w:szCs w:val="21"/>
              </w:rPr>
              <w:t>1、换热器日常维护；</w:t>
            </w:r>
          </w:p>
          <w:p>
            <w:pPr>
              <w:rPr>
                <w:rFonts w:cs="Times New Roman" w:asciiTheme="minorEastAsia" w:hAnsiTheme="minorEastAsia"/>
                <w:szCs w:val="21"/>
              </w:rPr>
            </w:pPr>
            <w:r>
              <w:rPr>
                <w:rFonts w:cs="Times New Roman" w:asciiTheme="minorEastAsia" w:hAnsiTheme="minorEastAsia"/>
                <w:szCs w:val="21"/>
              </w:rPr>
              <w:t>2、换热器的选用原则；</w:t>
            </w:r>
          </w:p>
          <w:p>
            <w:pPr>
              <w:rPr>
                <w:rFonts w:cs="Times New Roman" w:asciiTheme="minorEastAsia" w:hAnsiTheme="minorEastAsia"/>
                <w:szCs w:val="21"/>
              </w:rPr>
            </w:pPr>
            <w:r>
              <w:rPr>
                <w:rFonts w:cs="Times New Roman" w:asciiTheme="minorEastAsia" w:hAnsiTheme="minorEastAsia"/>
                <w:szCs w:val="21"/>
              </w:rPr>
              <w:t>3、换热器结构及工作过程；</w:t>
            </w:r>
          </w:p>
          <w:p>
            <w:pPr>
              <w:rPr>
                <w:rFonts w:cs="Times New Roman" w:asciiTheme="minorEastAsia" w:hAnsiTheme="minorEastAsia"/>
                <w:szCs w:val="21"/>
              </w:rPr>
            </w:pPr>
            <w:r>
              <w:rPr>
                <w:rFonts w:cs="Times New Roman" w:asciiTheme="minorEastAsia" w:hAnsiTheme="minorEastAsia"/>
                <w:szCs w:val="21"/>
              </w:rPr>
              <w:t>4、绘制无相变换热器。</w:t>
            </w:r>
          </w:p>
        </w:tc>
        <w:tc>
          <w:tcPr>
            <w:tcW w:w="2812" w:type="dxa"/>
            <w:vAlign w:val="center"/>
          </w:tcPr>
          <w:p>
            <w:pPr>
              <w:rPr>
                <w:rFonts w:cs="Times New Roman" w:asciiTheme="minorEastAsia" w:hAnsiTheme="minorEastAsia"/>
                <w:szCs w:val="21"/>
              </w:rPr>
            </w:pPr>
            <w:r>
              <w:rPr>
                <w:rFonts w:cs="Times New Roman" w:asciiTheme="minorEastAsia" w:hAnsiTheme="minorEastAsia"/>
                <w:szCs w:val="21"/>
              </w:rPr>
              <w:t>1、换热器结构分类</w:t>
            </w:r>
            <w:r>
              <w:rPr>
                <w:rFonts w:hint="eastAsia" w:cs="Times New Roman" w:asciiTheme="minorEastAsia" w:hAnsiTheme="minorEastAsia"/>
                <w:szCs w:val="21"/>
              </w:rPr>
              <w:t>；</w:t>
            </w:r>
          </w:p>
          <w:p>
            <w:pPr>
              <w:rPr>
                <w:rFonts w:cs="Times New Roman" w:asciiTheme="minorEastAsia" w:hAnsiTheme="minorEastAsia"/>
                <w:szCs w:val="21"/>
              </w:rPr>
            </w:pPr>
            <w:r>
              <w:rPr>
                <w:rFonts w:cs="Times New Roman" w:asciiTheme="minorEastAsia" w:hAnsiTheme="minorEastAsia"/>
                <w:szCs w:val="21"/>
              </w:rPr>
              <w:t>2、管壳式换热器结构</w:t>
            </w:r>
            <w:r>
              <w:rPr>
                <w:rFonts w:hint="eastAsia" w:cs="Times New Roman" w:asciiTheme="minorEastAsia" w:hAnsiTheme="minorEastAsia"/>
                <w:szCs w:val="21"/>
              </w:rPr>
              <w:t>；</w:t>
            </w:r>
          </w:p>
          <w:p>
            <w:pPr>
              <w:rPr>
                <w:rFonts w:cs="Times New Roman" w:asciiTheme="minorEastAsia" w:hAnsiTheme="minorEastAsia"/>
                <w:szCs w:val="21"/>
              </w:rPr>
            </w:pPr>
            <w:r>
              <w:rPr>
                <w:rFonts w:cs="Times New Roman" w:asciiTheme="minorEastAsia" w:hAnsiTheme="minorEastAsia"/>
                <w:szCs w:val="21"/>
              </w:rPr>
              <w:t>3、管壳式换热器零部件的作用</w:t>
            </w:r>
            <w:r>
              <w:rPr>
                <w:rFonts w:hint="eastAsia" w:cs="Times New Roman" w:asciiTheme="minorEastAsia" w:hAnsiTheme="minorEastAsia"/>
                <w:szCs w:val="21"/>
              </w:rPr>
              <w:t>；</w:t>
            </w:r>
          </w:p>
          <w:p>
            <w:pPr>
              <w:rPr>
                <w:rFonts w:cs="Times New Roman" w:asciiTheme="minorEastAsia" w:hAnsiTheme="minorEastAsia"/>
                <w:szCs w:val="21"/>
              </w:rPr>
            </w:pPr>
            <w:r>
              <w:rPr>
                <w:rFonts w:cs="Times New Roman" w:asciiTheme="minorEastAsia" w:hAnsiTheme="minorEastAsia"/>
                <w:szCs w:val="21"/>
              </w:rPr>
              <w:t>4、管壳式换热器的标准与选用清洗</w:t>
            </w:r>
            <w:r>
              <w:rPr>
                <w:rFonts w:hint="eastAsia" w:cs="Times New Roman" w:asciiTheme="minorEastAsia" w:hAnsiTheme="minorEastAsia"/>
                <w:szCs w:val="21"/>
              </w:rPr>
              <w:t>。</w:t>
            </w:r>
          </w:p>
        </w:tc>
        <w:tc>
          <w:tcPr>
            <w:tcW w:w="720" w:type="dxa"/>
            <w:vAlign w:val="center"/>
          </w:tcPr>
          <w:p>
            <w:pPr>
              <w:jc w:val="center"/>
              <w:rPr>
                <w:rFonts w:cs="Times New Roman" w:asciiTheme="minorEastAsia" w:hAnsiTheme="minorEastAsia"/>
                <w:szCs w:val="21"/>
              </w:rPr>
            </w:pPr>
            <w:r>
              <w:rPr>
                <w:rFonts w:hint="eastAsia" w:cs="Times New Roman" w:asciiTheme="minorEastAsia" w:hAnsiTheme="minorEastAsia"/>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185" w:type="dxa"/>
            <w:vAlign w:val="center"/>
          </w:tcPr>
          <w:p>
            <w:pPr>
              <w:rPr>
                <w:rFonts w:cs="Times New Roman" w:asciiTheme="minorEastAsia" w:hAnsiTheme="minorEastAsia"/>
                <w:szCs w:val="21"/>
              </w:rPr>
            </w:pPr>
            <w:r>
              <w:rPr>
                <w:rFonts w:cs="Times New Roman" w:asciiTheme="minorEastAsia" w:hAnsiTheme="minorEastAsia"/>
                <w:szCs w:val="21"/>
              </w:rPr>
              <w:t>塔设备的结构与维护</w:t>
            </w:r>
          </w:p>
        </w:tc>
        <w:tc>
          <w:tcPr>
            <w:tcW w:w="4140" w:type="dxa"/>
            <w:vAlign w:val="center"/>
          </w:tcPr>
          <w:p>
            <w:pPr>
              <w:ind w:firstLine="420" w:firstLineChars="200"/>
              <w:rPr>
                <w:rFonts w:cs="Times New Roman" w:asciiTheme="minorEastAsia" w:hAnsiTheme="minorEastAsia"/>
                <w:szCs w:val="21"/>
              </w:rPr>
            </w:pPr>
            <w:r>
              <w:rPr>
                <w:rFonts w:cs="Times New Roman" w:asciiTheme="minorEastAsia" w:hAnsiTheme="minorEastAsia"/>
                <w:szCs w:val="21"/>
              </w:rPr>
              <w:t>某化工厂洗涤塔出现塔顶温度下降，塔釜液面上升、压力升高的现象，初步判断为淹塔，通过调整进料量和回流量对淹塔现象无明显改善，说明洗涤塔存在故障，需要停车检修，在车间技术人员的组织下进行停车检修，本情景分为</w:t>
            </w:r>
            <w:r>
              <w:rPr>
                <w:rFonts w:hint="eastAsia" w:cs="Times New Roman" w:asciiTheme="minorEastAsia" w:hAnsiTheme="minorEastAsia"/>
                <w:szCs w:val="21"/>
              </w:rPr>
              <w:t>“</w:t>
            </w:r>
            <w:r>
              <w:rPr>
                <w:rFonts w:cs="Times New Roman" w:asciiTheme="minorEastAsia" w:hAnsiTheme="minorEastAsia"/>
                <w:szCs w:val="21"/>
              </w:rPr>
              <w:t>认识塔内部构造</w:t>
            </w:r>
            <w:r>
              <w:rPr>
                <w:rFonts w:hint="eastAsia" w:cs="Times New Roman" w:asciiTheme="minorEastAsia" w:hAnsiTheme="minorEastAsia"/>
                <w:szCs w:val="21"/>
              </w:rPr>
              <w:t>”</w:t>
            </w:r>
            <w:r>
              <w:rPr>
                <w:rFonts w:cs="Times New Roman" w:asciiTheme="minorEastAsia" w:hAnsiTheme="minorEastAsia"/>
                <w:szCs w:val="21"/>
              </w:rPr>
              <w:t>、</w:t>
            </w:r>
            <w:r>
              <w:rPr>
                <w:rFonts w:hint="eastAsia" w:cs="Times New Roman" w:asciiTheme="minorEastAsia" w:hAnsiTheme="minorEastAsia"/>
                <w:szCs w:val="21"/>
              </w:rPr>
              <w:t>“</w:t>
            </w:r>
            <w:r>
              <w:rPr>
                <w:rFonts w:cs="Times New Roman" w:asciiTheme="minorEastAsia" w:hAnsiTheme="minorEastAsia"/>
                <w:szCs w:val="21"/>
              </w:rPr>
              <w:t>板式塔器维护与检修</w:t>
            </w:r>
            <w:r>
              <w:rPr>
                <w:rFonts w:hint="eastAsia" w:cs="Times New Roman" w:asciiTheme="minorEastAsia" w:hAnsiTheme="minorEastAsia"/>
                <w:szCs w:val="21"/>
              </w:rPr>
              <w:t>”</w:t>
            </w:r>
            <w:r>
              <w:rPr>
                <w:rFonts w:cs="Times New Roman" w:asciiTheme="minorEastAsia" w:hAnsiTheme="minorEastAsia"/>
                <w:szCs w:val="21"/>
              </w:rPr>
              <w:t>和</w:t>
            </w:r>
            <w:r>
              <w:rPr>
                <w:rFonts w:hint="eastAsia" w:cs="Times New Roman" w:asciiTheme="minorEastAsia" w:hAnsiTheme="minorEastAsia"/>
                <w:szCs w:val="21"/>
              </w:rPr>
              <w:t>“</w:t>
            </w:r>
            <w:r>
              <w:rPr>
                <w:rFonts w:cs="Times New Roman" w:asciiTheme="minorEastAsia" w:hAnsiTheme="minorEastAsia"/>
                <w:szCs w:val="21"/>
              </w:rPr>
              <w:t>塔总装配图的绘制</w:t>
            </w:r>
            <w:r>
              <w:rPr>
                <w:rFonts w:hint="eastAsia" w:cs="Times New Roman" w:asciiTheme="minorEastAsia" w:hAnsiTheme="minorEastAsia"/>
                <w:szCs w:val="21"/>
              </w:rPr>
              <w:t>”</w:t>
            </w:r>
            <w:r>
              <w:rPr>
                <w:rFonts w:cs="Times New Roman" w:asciiTheme="minorEastAsia" w:hAnsiTheme="minorEastAsia"/>
                <w:szCs w:val="21"/>
              </w:rPr>
              <w:t>。</w:t>
            </w:r>
          </w:p>
          <w:p>
            <w:pPr>
              <w:rPr>
                <w:rFonts w:cs="Times New Roman" w:asciiTheme="minorEastAsia" w:hAnsiTheme="minorEastAsia"/>
                <w:szCs w:val="21"/>
              </w:rPr>
            </w:pPr>
            <w:r>
              <w:rPr>
                <w:rFonts w:cs="Times New Roman" w:asciiTheme="minorEastAsia" w:hAnsiTheme="minorEastAsia"/>
                <w:szCs w:val="21"/>
              </w:rPr>
              <w:t>1、判断塔设备故障原因；</w:t>
            </w:r>
          </w:p>
          <w:p>
            <w:pPr>
              <w:rPr>
                <w:rFonts w:cs="Times New Roman" w:asciiTheme="minorEastAsia" w:hAnsiTheme="minorEastAsia"/>
                <w:szCs w:val="21"/>
              </w:rPr>
            </w:pPr>
            <w:r>
              <w:rPr>
                <w:rFonts w:cs="Times New Roman" w:asciiTheme="minorEastAsia" w:hAnsiTheme="minorEastAsia"/>
                <w:szCs w:val="21"/>
              </w:rPr>
              <w:t>2、板式塔和填料塔的结构及工作过程；</w:t>
            </w:r>
          </w:p>
          <w:p>
            <w:pPr>
              <w:rPr>
                <w:rFonts w:cs="Times New Roman" w:asciiTheme="minorEastAsia" w:hAnsiTheme="minorEastAsia"/>
                <w:szCs w:val="21"/>
              </w:rPr>
            </w:pPr>
            <w:r>
              <w:rPr>
                <w:rFonts w:cs="Times New Roman" w:asciiTheme="minorEastAsia" w:hAnsiTheme="minorEastAsia"/>
                <w:szCs w:val="21"/>
              </w:rPr>
              <w:t>3、塔设备日常维护</w:t>
            </w:r>
            <w:r>
              <w:rPr>
                <w:rFonts w:hint="eastAsia" w:cs="Times New Roman" w:asciiTheme="minorEastAsia" w:hAnsiTheme="minorEastAsia"/>
                <w:szCs w:val="21"/>
              </w:rPr>
              <w:t>。</w:t>
            </w:r>
          </w:p>
        </w:tc>
        <w:tc>
          <w:tcPr>
            <w:tcW w:w="2812" w:type="dxa"/>
            <w:vAlign w:val="center"/>
          </w:tcPr>
          <w:p>
            <w:pPr>
              <w:rPr>
                <w:rFonts w:cs="Times New Roman" w:asciiTheme="minorEastAsia" w:hAnsiTheme="minorEastAsia"/>
                <w:szCs w:val="21"/>
              </w:rPr>
            </w:pPr>
            <w:r>
              <w:rPr>
                <w:rFonts w:cs="Times New Roman" w:asciiTheme="minorEastAsia" w:hAnsiTheme="minorEastAsia"/>
                <w:szCs w:val="21"/>
              </w:rPr>
              <w:t>1、塔设备结构分类</w:t>
            </w:r>
            <w:r>
              <w:rPr>
                <w:rFonts w:hint="eastAsia" w:cs="Times New Roman" w:asciiTheme="minorEastAsia" w:hAnsiTheme="minorEastAsia"/>
                <w:szCs w:val="21"/>
              </w:rPr>
              <w:t>；</w:t>
            </w:r>
          </w:p>
          <w:p>
            <w:pPr>
              <w:rPr>
                <w:rFonts w:cs="Times New Roman" w:asciiTheme="minorEastAsia" w:hAnsiTheme="minorEastAsia"/>
                <w:szCs w:val="21"/>
              </w:rPr>
            </w:pPr>
            <w:r>
              <w:rPr>
                <w:rFonts w:cs="Times New Roman" w:asciiTheme="minorEastAsia" w:hAnsiTheme="minorEastAsia"/>
                <w:szCs w:val="21"/>
              </w:rPr>
              <w:t>2、填料塔和板式塔选用条件</w:t>
            </w:r>
            <w:r>
              <w:rPr>
                <w:rFonts w:hint="eastAsia" w:cs="Times New Roman" w:asciiTheme="minorEastAsia" w:hAnsiTheme="minorEastAsia"/>
                <w:szCs w:val="21"/>
              </w:rPr>
              <w:t>；</w:t>
            </w:r>
          </w:p>
          <w:p>
            <w:pPr>
              <w:rPr>
                <w:rFonts w:cs="Times New Roman" w:asciiTheme="minorEastAsia" w:hAnsiTheme="minorEastAsia"/>
                <w:szCs w:val="21"/>
              </w:rPr>
            </w:pPr>
            <w:r>
              <w:rPr>
                <w:rFonts w:cs="Times New Roman" w:asciiTheme="minorEastAsia" w:hAnsiTheme="minorEastAsia"/>
                <w:szCs w:val="21"/>
              </w:rPr>
              <w:t>3、塔设备内部构件</w:t>
            </w:r>
            <w:r>
              <w:rPr>
                <w:rFonts w:hint="eastAsia" w:cs="Times New Roman" w:asciiTheme="minorEastAsia" w:hAnsiTheme="minorEastAsia"/>
                <w:szCs w:val="21"/>
              </w:rPr>
              <w:t>；</w:t>
            </w:r>
          </w:p>
          <w:p>
            <w:pPr>
              <w:rPr>
                <w:rFonts w:cs="Times New Roman" w:asciiTheme="minorEastAsia" w:hAnsiTheme="minorEastAsia"/>
                <w:szCs w:val="21"/>
              </w:rPr>
            </w:pPr>
            <w:r>
              <w:rPr>
                <w:rFonts w:cs="Times New Roman" w:asciiTheme="minorEastAsia" w:hAnsiTheme="minorEastAsia"/>
                <w:szCs w:val="21"/>
              </w:rPr>
              <w:t>4、塔设备的清洗</w:t>
            </w:r>
            <w:r>
              <w:rPr>
                <w:rFonts w:hint="eastAsia" w:cs="Times New Roman" w:asciiTheme="minorEastAsia" w:hAnsiTheme="minorEastAsia"/>
                <w:szCs w:val="21"/>
              </w:rPr>
              <w:t>；</w:t>
            </w:r>
          </w:p>
          <w:p>
            <w:pPr>
              <w:rPr>
                <w:rFonts w:cs="Times New Roman" w:asciiTheme="minorEastAsia" w:hAnsiTheme="minorEastAsia"/>
                <w:szCs w:val="21"/>
              </w:rPr>
            </w:pPr>
            <w:r>
              <w:rPr>
                <w:rFonts w:cs="Times New Roman" w:asciiTheme="minorEastAsia" w:hAnsiTheme="minorEastAsia"/>
                <w:szCs w:val="21"/>
              </w:rPr>
              <w:t>5、塔设备常见故障及原因</w:t>
            </w:r>
            <w:r>
              <w:rPr>
                <w:rFonts w:hint="eastAsia" w:cs="Times New Roman" w:asciiTheme="minorEastAsia" w:hAnsiTheme="minorEastAsia"/>
                <w:szCs w:val="21"/>
              </w:rPr>
              <w:t>。</w:t>
            </w:r>
          </w:p>
        </w:tc>
        <w:tc>
          <w:tcPr>
            <w:tcW w:w="720" w:type="dxa"/>
            <w:vAlign w:val="center"/>
          </w:tcPr>
          <w:p>
            <w:pPr>
              <w:jc w:val="center"/>
              <w:rPr>
                <w:rFonts w:cs="Times New Roman" w:asciiTheme="minorEastAsia" w:hAnsiTheme="minorEastAsia"/>
                <w:szCs w:val="21"/>
              </w:rPr>
            </w:pPr>
            <w:r>
              <w:rPr>
                <w:rFonts w:hint="eastAsia" w:cs="Times New Roman" w:asciiTheme="minorEastAsia" w:hAnsiTheme="minorEastAsia"/>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185" w:type="dxa"/>
            <w:vAlign w:val="center"/>
          </w:tcPr>
          <w:p>
            <w:pPr>
              <w:rPr>
                <w:rFonts w:cs="Times New Roman" w:asciiTheme="minorEastAsia" w:hAnsiTheme="minorEastAsia"/>
                <w:szCs w:val="21"/>
              </w:rPr>
            </w:pPr>
            <w:r>
              <w:rPr>
                <w:rFonts w:cs="Times New Roman" w:asciiTheme="minorEastAsia" w:hAnsiTheme="minorEastAsia"/>
                <w:szCs w:val="21"/>
              </w:rPr>
              <w:t>反应设备的认知与维护保养</w:t>
            </w:r>
          </w:p>
        </w:tc>
        <w:tc>
          <w:tcPr>
            <w:tcW w:w="4140" w:type="dxa"/>
            <w:vAlign w:val="center"/>
          </w:tcPr>
          <w:p>
            <w:pPr>
              <w:rPr>
                <w:rFonts w:cs="Times New Roman" w:asciiTheme="minorEastAsia" w:hAnsiTheme="minorEastAsia"/>
                <w:szCs w:val="21"/>
              </w:rPr>
            </w:pPr>
            <w:r>
              <w:rPr>
                <w:rFonts w:cs="Times New Roman" w:asciiTheme="minorEastAsia" w:hAnsiTheme="minorEastAsia"/>
                <w:szCs w:val="21"/>
              </w:rPr>
              <w:t>1、能理解反应设备的安全操作规程；</w:t>
            </w:r>
          </w:p>
          <w:p>
            <w:pPr>
              <w:rPr>
                <w:rFonts w:cs="Times New Roman" w:asciiTheme="minorEastAsia" w:hAnsiTheme="minorEastAsia"/>
                <w:szCs w:val="21"/>
              </w:rPr>
            </w:pPr>
            <w:r>
              <w:rPr>
                <w:rFonts w:cs="Times New Roman" w:asciiTheme="minorEastAsia" w:hAnsiTheme="minorEastAsia"/>
                <w:szCs w:val="21"/>
              </w:rPr>
              <w:t>2、能够正确认知反应设备；</w:t>
            </w:r>
          </w:p>
          <w:p>
            <w:pPr>
              <w:rPr>
                <w:rFonts w:cs="Times New Roman" w:asciiTheme="minorEastAsia" w:hAnsiTheme="minorEastAsia"/>
                <w:szCs w:val="21"/>
              </w:rPr>
            </w:pPr>
            <w:r>
              <w:rPr>
                <w:rFonts w:cs="Times New Roman" w:asciiTheme="minorEastAsia" w:hAnsiTheme="minorEastAsia"/>
                <w:szCs w:val="21"/>
              </w:rPr>
              <w:t>3、能够正确、安全地操作反应设备；</w:t>
            </w:r>
          </w:p>
          <w:p>
            <w:pPr>
              <w:rPr>
                <w:rFonts w:cs="Times New Roman" w:asciiTheme="minorEastAsia" w:hAnsiTheme="minorEastAsia"/>
                <w:szCs w:val="21"/>
              </w:rPr>
            </w:pPr>
            <w:r>
              <w:rPr>
                <w:rFonts w:cs="Times New Roman" w:asciiTheme="minorEastAsia" w:hAnsiTheme="minorEastAsia"/>
                <w:szCs w:val="21"/>
              </w:rPr>
              <w:t>4、掌握设备的日常维护保养手段；</w:t>
            </w:r>
          </w:p>
          <w:p>
            <w:pPr>
              <w:rPr>
                <w:rFonts w:cs="Times New Roman" w:asciiTheme="minorEastAsia" w:hAnsiTheme="minorEastAsia"/>
                <w:szCs w:val="21"/>
              </w:rPr>
            </w:pPr>
            <w:r>
              <w:rPr>
                <w:rFonts w:cs="Times New Roman" w:asciiTheme="minorEastAsia" w:hAnsiTheme="minorEastAsia"/>
                <w:szCs w:val="21"/>
              </w:rPr>
              <w:t>5、掌握常见反应设备故障现象及原因。</w:t>
            </w:r>
          </w:p>
        </w:tc>
        <w:tc>
          <w:tcPr>
            <w:tcW w:w="2812" w:type="dxa"/>
            <w:vAlign w:val="center"/>
          </w:tcPr>
          <w:p>
            <w:pPr>
              <w:rPr>
                <w:rFonts w:cs="Times New Roman" w:asciiTheme="minorEastAsia" w:hAnsiTheme="minorEastAsia"/>
                <w:szCs w:val="21"/>
              </w:rPr>
            </w:pPr>
            <w:r>
              <w:rPr>
                <w:rFonts w:cs="Times New Roman" w:asciiTheme="minorEastAsia" w:hAnsiTheme="minorEastAsia"/>
                <w:szCs w:val="21"/>
              </w:rPr>
              <w:t>1、反应设备的分类及特点</w:t>
            </w:r>
            <w:r>
              <w:rPr>
                <w:rFonts w:hint="eastAsia" w:cs="Times New Roman" w:asciiTheme="minorEastAsia" w:hAnsiTheme="minorEastAsia"/>
                <w:szCs w:val="21"/>
              </w:rPr>
              <w:t>；</w:t>
            </w:r>
          </w:p>
          <w:p>
            <w:pPr>
              <w:rPr>
                <w:rFonts w:cs="Times New Roman" w:asciiTheme="minorEastAsia" w:hAnsiTheme="minorEastAsia"/>
                <w:szCs w:val="21"/>
              </w:rPr>
            </w:pPr>
            <w:r>
              <w:rPr>
                <w:rFonts w:cs="Times New Roman" w:asciiTheme="minorEastAsia" w:hAnsiTheme="minorEastAsia"/>
                <w:szCs w:val="21"/>
              </w:rPr>
              <w:t>2、搅拌反应器的结构及工作过程</w:t>
            </w:r>
            <w:r>
              <w:rPr>
                <w:rFonts w:hint="eastAsia" w:cs="Times New Roman" w:asciiTheme="minorEastAsia" w:hAnsiTheme="minorEastAsia"/>
                <w:szCs w:val="21"/>
              </w:rPr>
              <w:t>；</w:t>
            </w:r>
          </w:p>
          <w:p>
            <w:pPr>
              <w:rPr>
                <w:rFonts w:cs="Times New Roman" w:asciiTheme="minorEastAsia" w:hAnsiTheme="minorEastAsia"/>
                <w:szCs w:val="21"/>
              </w:rPr>
            </w:pPr>
            <w:r>
              <w:rPr>
                <w:rFonts w:cs="Times New Roman" w:asciiTheme="minorEastAsia" w:hAnsiTheme="minorEastAsia"/>
                <w:szCs w:val="21"/>
              </w:rPr>
              <w:t>3、搅拌反应器的安全操作规程</w:t>
            </w:r>
            <w:r>
              <w:rPr>
                <w:rFonts w:hint="eastAsia" w:cs="Times New Roman" w:asciiTheme="minorEastAsia" w:hAnsiTheme="minorEastAsia"/>
                <w:szCs w:val="21"/>
              </w:rPr>
              <w:t>；</w:t>
            </w:r>
          </w:p>
          <w:p>
            <w:pPr>
              <w:rPr>
                <w:rFonts w:cs="Times New Roman" w:asciiTheme="minorEastAsia" w:hAnsiTheme="minorEastAsia"/>
                <w:szCs w:val="21"/>
              </w:rPr>
            </w:pPr>
            <w:r>
              <w:rPr>
                <w:rFonts w:cs="Times New Roman" w:asciiTheme="minorEastAsia" w:hAnsiTheme="minorEastAsia"/>
                <w:szCs w:val="21"/>
              </w:rPr>
              <w:t>4、搅拌反应器的日常维护、保养</w:t>
            </w:r>
            <w:r>
              <w:rPr>
                <w:rFonts w:hint="eastAsia" w:cs="Times New Roman" w:asciiTheme="minorEastAsia" w:hAnsiTheme="minorEastAsia"/>
                <w:szCs w:val="21"/>
              </w:rPr>
              <w:t>；</w:t>
            </w:r>
          </w:p>
          <w:p>
            <w:pPr>
              <w:rPr>
                <w:rFonts w:cs="Times New Roman" w:asciiTheme="minorEastAsia" w:hAnsiTheme="minorEastAsia"/>
                <w:szCs w:val="21"/>
              </w:rPr>
            </w:pPr>
            <w:r>
              <w:rPr>
                <w:rFonts w:cs="Times New Roman" w:asciiTheme="minorEastAsia" w:hAnsiTheme="minorEastAsia"/>
                <w:szCs w:val="21"/>
              </w:rPr>
              <w:t>5、搅拌反应器故障处理手段</w:t>
            </w:r>
            <w:r>
              <w:rPr>
                <w:rFonts w:hint="eastAsia" w:cs="Times New Roman" w:asciiTheme="minorEastAsia" w:hAnsiTheme="minorEastAsia"/>
                <w:szCs w:val="21"/>
              </w:rPr>
              <w:t>。</w:t>
            </w:r>
          </w:p>
        </w:tc>
        <w:tc>
          <w:tcPr>
            <w:tcW w:w="720" w:type="dxa"/>
            <w:vAlign w:val="center"/>
          </w:tcPr>
          <w:p>
            <w:pPr>
              <w:jc w:val="center"/>
              <w:rPr>
                <w:rFonts w:cs="Times New Roman" w:asciiTheme="minorEastAsia" w:hAnsiTheme="minorEastAsia"/>
                <w:szCs w:val="21"/>
              </w:rPr>
            </w:pPr>
            <w:r>
              <w:rPr>
                <w:rFonts w:hint="eastAsia" w:cs="Times New Roman" w:asciiTheme="minorEastAsia" w:hAnsiTheme="minorEastAsia"/>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185" w:type="dxa"/>
            <w:vAlign w:val="center"/>
          </w:tcPr>
          <w:p>
            <w:pPr>
              <w:rPr>
                <w:rFonts w:cs="Times New Roman" w:asciiTheme="minorEastAsia" w:hAnsiTheme="minorEastAsia"/>
                <w:szCs w:val="21"/>
              </w:rPr>
            </w:pPr>
            <w:r>
              <w:rPr>
                <w:rFonts w:cs="Times New Roman" w:asciiTheme="minorEastAsia" w:hAnsiTheme="minorEastAsia"/>
                <w:szCs w:val="21"/>
              </w:rPr>
              <w:t>化工管路维护与检修</w:t>
            </w:r>
          </w:p>
        </w:tc>
        <w:tc>
          <w:tcPr>
            <w:tcW w:w="4140" w:type="dxa"/>
            <w:vAlign w:val="center"/>
          </w:tcPr>
          <w:p>
            <w:pPr>
              <w:ind w:firstLine="420" w:firstLineChars="200"/>
              <w:jc w:val="center"/>
              <w:rPr>
                <w:rFonts w:cs="Times New Roman" w:asciiTheme="minorEastAsia" w:hAnsiTheme="minorEastAsia"/>
                <w:szCs w:val="21"/>
              </w:rPr>
            </w:pPr>
          </w:p>
          <w:p>
            <w:pPr>
              <w:ind w:firstLine="420" w:firstLineChars="200"/>
              <w:rPr>
                <w:rFonts w:cs="Times New Roman" w:asciiTheme="minorEastAsia" w:hAnsiTheme="minorEastAsia"/>
                <w:szCs w:val="21"/>
              </w:rPr>
            </w:pPr>
            <w:r>
              <w:rPr>
                <w:rFonts w:cs="Times New Roman" w:asciiTheme="minorEastAsia" w:hAnsiTheme="minorEastAsia"/>
                <w:szCs w:val="21"/>
              </w:rPr>
              <w:t>某化工厂在输送物料管线上的不锈钢截止阀关闭不严，从而导致泄漏，需要停车检修，在车间技术人员的组织下进行停车检修，本情景可以分为</w:t>
            </w:r>
            <w:r>
              <w:rPr>
                <w:rFonts w:hint="eastAsia" w:cs="Times New Roman" w:asciiTheme="minorEastAsia" w:hAnsiTheme="minorEastAsia"/>
                <w:szCs w:val="21"/>
              </w:rPr>
              <w:t>“</w:t>
            </w:r>
            <w:r>
              <w:rPr>
                <w:rFonts w:cs="Times New Roman" w:asciiTheme="minorEastAsia" w:hAnsiTheme="minorEastAsia"/>
                <w:szCs w:val="21"/>
              </w:rPr>
              <w:t>认识管路元件</w:t>
            </w:r>
            <w:r>
              <w:rPr>
                <w:rFonts w:hint="eastAsia" w:cs="Times New Roman" w:asciiTheme="minorEastAsia" w:hAnsiTheme="minorEastAsia"/>
                <w:szCs w:val="21"/>
              </w:rPr>
              <w:t>”</w:t>
            </w:r>
            <w:r>
              <w:rPr>
                <w:rFonts w:cs="Times New Roman" w:asciiTheme="minorEastAsia" w:hAnsiTheme="minorEastAsia"/>
                <w:szCs w:val="21"/>
              </w:rPr>
              <w:t>、</w:t>
            </w:r>
            <w:r>
              <w:rPr>
                <w:rFonts w:hint="eastAsia" w:cs="Times New Roman" w:asciiTheme="minorEastAsia" w:hAnsiTheme="minorEastAsia"/>
                <w:szCs w:val="21"/>
              </w:rPr>
              <w:t>“</w:t>
            </w:r>
            <w:r>
              <w:rPr>
                <w:rFonts w:cs="Times New Roman" w:asciiTheme="minorEastAsia" w:hAnsiTheme="minorEastAsia"/>
                <w:szCs w:val="21"/>
              </w:rPr>
              <w:t>管件检修与维护</w:t>
            </w:r>
            <w:r>
              <w:rPr>
                <w:rFonts w:hint="eastAsia" w:cs="Times New Roman" w:asciiTheme="minorEastAsia" w:hAnsiTheme="minorEastAsia"/>
                <w:szCs w:val="21"/>
              </w:rPr>
              <w:t>”</w:t>
            </w:r>
            <w:r>
              <w:rPr>
                <w:rFonts w:cs="Times New Roman" w:asciiTheme="minorEastAsia" w:hAnsiTheme="minorEastAsia"/>
                <w:szCs w:val="21"/>
              </w:rPr>
              <w:t>和</w:t>
            </w:r>
            <w:r>
              <w:rPr>
                <w:rFonts w:hint="eastAsia" w:cs="Times New Roman" w:asciiTheme="minorEastAsia" w:hAnsiTheme="minorEastAsia"/>
                <w:szCs w:val="21"/>
              </w:rPr>
              <w:t>“</w:t>
            </w:r>
            <w:r>
              <w:rPr>
                <w:rFonts w:cs="Times New Roman" w:asciiTheme="minorEastAsia" w:hAnsiTheme="minorEastAsia"/>
                <w:szCs w:val="21"/>
              </w:rPr>
              <w:t>化工管路布置图的绘制</w:t>
            </w:r>
            <w:r>
              <w:rPr>
                <w:rFonts w:hint="eastAsia" w:cs="Times New Roman" w:asciiTheme="minorEastAsia" w:hAnsiTheme="minorEastAsia"/>
                <w:szCs w:val="21"/>
              </w:rPr>
              <w:t>”</w:t>
            </w:r>
            <w:r>
              <w:rPr>
                <w:rFonts w:cs="Times New Roman" w:asciiTheme="minorEastAsia" w:hAnsiTheme="minorEastAsia"/>
                <w:szCs w:val="21"/>
              </w:rPr>
              <w:t>。</w:t>
            </w:r>
          </w:p>
          <w:p>
            <w:pPr>
              <w:rPr>
                <w:rFonts w:cs="Times New Roman" w:asciiTheme="minorEastAsia" w:hAnsiTheme="minorEastAsia"/>
                <w:szCs w:val="21"/>
              </w:rPr>
            </w:pPr>
            <w:r>
              <w:rPr>
                <w:rFonts w:cs="Times New Roman" w:asciiTheme="minorEastAsia" w:hAnsiTheme="minorEastAsia"/>
                <w:szCs w:val="21"/>
              </w:rPr>
              <w:t>1、了解管道与阀门的作用；</w:t>
            </w:r>
          </w:p>
          <w:p>
            <w:pPr>
              <w:rPr>
                <w:rFonts w:cs="Times New Roman" w:asciiTheme="minorEastAsia" w:hAnsiTheme="minorEastAsia"/>
                <w:szCs w:val="21"/>
              </w:rPr>
            </w:pPr>
            <w:r>
              <w:rPr>
                <w:rFonts w:cs="Times New Roman" w:asciiTheme="minorEastAsia" w:hAnsiTheme="minorEastAsia"/>
                <w:szCs w:val="21"/>
              </w:rPr>
              <w:t>2、掌握管道及连接方式的特点；</w:t>
            </w:r>
          </w:p>
          <w:p>
            <w:pPr>
              <w:rPr>
                <w:rFonts w:cs="Times New Roman" w:asciiTheme="minorEastAsia" w:hAnsiTheme="minorEastAsia"/>
                <w:szCs w:val="21"/>
              </w:rPr>
            </w:pPr>
            <w:r>
              <w:rPr>
                <w:rFonts w:cs="Times New Roman" w:asciiTheme="minorEastAsia" w:hAnsiTheme="minorEastAsia"/>
                <w:szCs w:val="21"/>
              </w:rPr>
              <w:t>3、了解管道安装的基本原则；</w:t>
            </w:r>
          </w:p>
          <w:p>
            <w:pPr>
              <w:rPr>
                <w:rFonts w:cs="Times New Roman" w:asciiTheme="minorEastAsia" w:hAnsiTheme="minorEastAsia"/>
                <w:szCs w:val="21"/>
              </w:rPr>
            </w:pPr>
            <w:r>
              <w:rPr>
                <w:rFonts w:cs="Times New Roman" w:asciiTheme="minorEastAsia" w:hAnsiTheme="minorEastAsia"/>
                <w:szCs w:val="21"/>
              </w:rPr>
              <w:t>4、根据工艺要求正确选用管道阀门；</w:t>
            </w:r>
          </w:p>
          <w:p>
            <w:pPr>
              <w:rPr>
                <w:rFonts w:cs="Times New Roman" w:asciiTheme="minorEastAsia" w:hAnsiTheme="minorEastAsia"/>
                <w:szCs w:val="21"/>
              </w:rPr>
            </w:pPr>
            <w:r>
              <w:rPr>
                <w:rFonts w:cs="Times New Roman" w:asciiTheme="minorEastAsia" w:hAnsiTheme="minorEastAsia"/>
                <w:szCs w:val="21"/>
              </w:rPr>
              <w:t>5、掌握阀门等附件的维护及维修；</w:t>
            </w:r>
          </w:p>
          <w:p>
            <w:pPr>
              <w:rPr>
                <w:rFonts w:cs="Times New Roman" w:asciiTheme="minorEastAsia" w:hAnsiTheme="minorEastAsia"/>
                <w:szCs w:val="21"/>
              </w:rPr>
            </w:pPr>
            <w:r>
              <w:rPr>
                <w:rFonts w:cs="Times New Roman" w:asciiTheme="minorEastAsia" w:hAnsiTheme="minorEastAsia"/>
                <w:szCs w:val="21"/>
              </w:rPr>
              <w:t>6、能阅读化工管路布置图。</w:t>
            </w:r>
          </w:p>
        </w:tc>
        <w:tc>
          <w:tcPr>
            <w:tcW w:w="2812" w:type="dxa"/>
            <w:vAlign w:val="center"/>
          </w:tcPr>
          <w:p>
            <w:pPr>
              <w:rPr>
                <w:rFonts w:cs="Times New Roman" w:asciiTheme="minorEastAsia" w:hAnsiTheme="minorEastAsia"/>
                <w:szCs w:val="21"/>
              </w:rPr>
            </w:pPr>
            <w:r>
              <w:rPr>
                <w:rFonts w:cs="Times New Roman" w:asciiTheme="minorEastAsia" w:hAnsiTheme="minorEastAsia"/>
                <w:szCs w:val="21"/>
              </w:rPr>
              <w:t>1、管道的连接方式</w:t>
            </w:r>
            <w:r>
              <w:rPr>
                <w:rFonts w:hint="eastAsia" w:cs="Times New Roman" w:asciiTheme="minorEastAsia" w:hAnsiTheme="minorEastAsia"/>
                <w:szCs w:val="21"/>
              </w:rPr>
              <w:t>；</w:t>
            </w:r>
          </w:p>
          <w:p>
            <w:pPr>
              <w:rPr>
                <w:rFonts w:cs="Times New Roman" w:asciiTheme="minorEastAsia" w:hAnsiTheme="minorEastAsia"/>
                <w:szCs w:val="21"/>
              </w:rPr>
            </w:pPr>
            <w:r>
              <w:rPr>
                <w:rFonts w:cs="Times New Roman" w:asciiTheme="minorEastAsia" w:hAnsiTheme="minorEastAsia"/>
                <w:szCs w:val="21"/>
              </w:rPr>
              <w:t>2、阀门的种类及选用</w:t>
            </w:r>
            <w:r>
              <w:rPr>
                <w:rFonts w:hint="eastAsia" w:cs="Times New Roman" w:asciiTheme="minorEastAsia" w:hAnsiTheme="minorEastAsia"/>
                <w:szCs w:val="21"/>
              </w:rPr>
              <w:t>；</w:t>
            </w:r>
          </w:p>
          <w:p>
            <w:pPr>
              <w:rPr>
                <w:rFonts w:cs="Times New Roman" w:asciiTheme="minorEastAsia" w:hAnsiTheme="minorEastAsia"/>
                <w:szCs w:val="21"/>
              </w:rPr>
            </w:pPr>
            <w:r>
              <w:rPr>
                <w:rFonts w:cs="Times New Roman" w:asciiTheme="minorEastAsia" w:hAnsiTheme="minorEastAsia"/>
                <w:szCs w:val="21"/>
              </w:rPr>
              <w:t>3、化工管路的维护及维修</w:t>
            </w:r>
            <w:r>
              <w:rPr>
                <w:rFonts w:hint="eastAsia" w:cs="Times New Roman" w:asciiTheme="minorEastAsia" w:hAnsiTheme="minorEastAsia"/>
                <w:szCs w:val="21"/>
              </w:rPr>
              <w:t>；</w:t>
            </w:r>
          </w:p>
          <w:p>
            <w:pPr>
              <w:rPr>
                <w:rFonts w:cs="Times New Roman" w:asciiTheme="minorEastAsia" w:hAnsiTheme="minorEastAsia"/>
                <w:szCs w:val="21"/>
              </w:rPr>
            </w:pPr>
            <w:r>
              <w:rPr>
                <w:rFonts w:cs="Times New Roman" w:asciiTheme="minorEastAsia" w:hAnsiTheme="minorEastAsia"/>
                <w:szCs w:val="21"/>
              </w:rPr>
              <w:t>4、化工管路的检修步骤</w:t>
            </w:r>
            <w:r>
              <w:rPr>
                <w:rFonts w:hint="eastAsia" w:cs="Times New Roman" w:asciiTheme="minorEastAsia" w:hAnsiTheme="minorEastAsia"/>
                <w:szCs w:val="21"/>
              </w:rPr>
              <w:t>；</w:t>
            </w:r>
          </w:p>
          <w:p>
            <w:pPr>
              <w:rPr>
                <w:rFonts w:cs="Times New Roman" w:asciiTheme="minorEastAsia" w:hAnsiTheme="minorEastAsia"/>
                <w:szCs w:val="21"/>
              </w:rPr>
            </w:pPr>
            <w:r>
              <w:rPr>
                <w:rFonts w:cs="Times New Roman" w:asciiTheme="minorEastAsia" w:hAnsiTheme="minorEastAsia"/>
                <w:szCs w:val="21"/>
              </w:rPr>
              <w:t>5、化工管路的阀门安装与拆卸步骤</w:t>
            </w:r>
            <w:r>
              <w:rPr>
                <w:rFonts w:hint="eastAsia" w:cs="Times New Roman" w:asciiTheme="minorEastAsia" w:hAnsiTheme="minorEastAsia"/>
                <w:szCs w:val="21"/>
              </w:rPr>
              <w:t>；</w:t>
            </w:r>
          </w:p>
          <w:p>
            <w:pPr>
              <w:rPr>
                <w:rFonts w:cs="Times New Roman" w:asciiTheme="minorEastAsia" w:hAnsiTheme="minorEastAsia"/>
                <w:szCs w:val="21"/>
              </w:rPr>
            </w:pPr>
            <w:r>
              <w:rPr>
                <w:rFonts w:cs="Times New Roman" w:asciiTheme="minorEastAsia" w:hAnsiTheme="minorEastAsia"/>
                <w:szCs w:val="21"/>
              </w:rPr>
              <w:t>6、阀门的使用与维护</w:t>
            </w:r>
            <w:r>
              <w:rPr>
                <w:rFonts w:hint="eastAsia" w:cs="Times New Roman" w:asciiTheme="minorEastAsia" w:hAnsiTheme="minorEastAsia"/>
                <w:szCs w:val="21"/>
              </w:rPr>
              <w:t>。</w:t>
            </w:r>
          </w:p>
        </w:tc>
        <w:tc>
          <w:tcPr>
            <w:tcW w:w="720" w:type="dxa"/>
            <w:vAlign w:val="center"/>
          </w:tcPr>
          <w:p>
            <w:pPr>
              <w:jc w:val="center"/>
              <w:rPr>
                <w:rFonts w:cs="Times New Roman" w:asciiTheme="minorEastAsia" w:hAnsiTheme="minorEastAsia"/>
                <w:szCs w:val="21"/>
              </w:rPr>
            </w:pPr>
            <w:r>
              <w:rPr>
                <w:rFonts w:hint="eastAsia" w:cs="Times New Roman" w:asciiTheme="minorEastAsia" w:hAnsiTheme="minorEastAsia"/>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185" w:type="dxa"/>
            <w:vAlign w:val="center"/>
          </w:tcPr>
          <w:p>
            <w:pPr>
              <w:rPr>
                <w:rFonts w:cs="Times New Roman" w:asciiTheme="minorEastAsia" w:hAnsiTheme="minorEastAsia"/>
                <w:szCs w:val="21"/>
              </w:rPr>
            </w:pPr>
            <w:r>
              <w:rPr>
                <w:rFonts w:cs="Times New Roman" w:asciiTheme="minorEastAsia" w:hAnsiTheme="minorEastAsia"/>
                <w:szCs w:val="21"/>
              </w:rPr>
              <w:t>化工用泵安全操作与维护检修</w:t>
            </w:r>
          </w:p>
        </w:tc>
        <w:tc>
          <w:tcPr>
            <w:tcW w:w="4140" w:type="dxa"/>
            <w:vAlign w:val="center"/>
          </w:tcPr>
          <w:p>
            <w:pPr>
              <w:ind w:firstLine="420" w:firstLineChars="200"/>
              <w:rPr>
                <w:rFonts w:cs="Times New Roman" w:asciiTheme="minorEastAsia" w:hAnsiTheme="minorEastAsia"/>
                <w:szCs w:val="21"/>
              </w:rPr>
            </w:pPr>
            <w:r>
              <w:rPr>
                <w:rFonts w:cs="Times New Roman" w:asciiTheme="minorEastAsia" w:hAnsiTheme="minorEastAsia"/>
                <w:szCs w:val="21"/>
              </w:rPr>
              <w:t>某化工厂离心泵轴封处泄露，初步判断是长时间使用导致机械密封磨损或者机械密封处杂质过多，从而导致泄漏，需要停车检修，在车间技术人员的组织下进行停车检修，本情景可以分为</w:t>
            </w:r>
            <w:r>
              <w:rPr>
                <w:rFonts w:hint="eastAsia" w:cs="Times New Roman" w:asciiTheme="minorEastAsia" w:hAnsiTheme="minorEastAsia"/>
                <w:szCs w:val="21"/>
              </w:rPr>
              <w:t>“</w:t>
            </w:r>
            <w:r>
              <w:rPr>
                <w:rFonts w:cs="Times New Roman" w:asciiTheme="minorEastAsia" w:hAnsiTheme="minorEastAsia"/>
                <w:szCs w:val="21"/>
              </w:rPr>
              <w:t>离心泵构造及调试</w:t>
            </w:r>
            <w:r>
              <w:rPr>
                <w:rFonts w:hint="eastAsia" w:cs="Times New Roman" w:asciiTheme="minorEastAsia" w:hAnsiTheme="minorEastAsia"/>
                <w:szCs w:val="21"/>
              </w:rPr>
              <w:t>”</w:t>
            </w:r>
            <w:r>
              <w:rPr>
                <w:rFonts w:cs="Times New Roman" w:asciiTheme="minorEastAsia" w:hAnsiTheme="minorEastAsia"/>
                <w:szCs w:val="21"/>
              </w:rPr>
              <w:t>、</w:t>
            </w:r>
            <w:r>
              <w:rPr>
                <w:rFonts w:hint="eastAsia" w:cs="Times New Roman" w:asciiTheme="minorEastAsia" w:hAnsiTheme="minorEastAsia"/>
                <w:szCs w:val="21"/>
              </w:rPr>
              <w:t>“</w:t>
            </w:r>
            <w:r>
              <w:rPr>
                <w:rFonts w:cs="Times New Roman" w:asciiTheme="minorEastAsia" w:hAnsiTheme="minorEastAsia"/>
                <w:szCs w:val="21"/>
              </w:rPr>
              <w:t>离心泵操作与维护</w:t>
            </w:r>
            <w:r>
              <w:rPr>
                <w:rFonts w:hint="eastAsia" w:cs="Times New Roman" w:asciiTheme="minorEastAsia" w:hAnsiTheme="minorEastAsia"/>
                <w:szCs w:val="21"/>
              </w:rPr>
              <w:t>”</w:t>
            </w:r>
            <w:r>
              <w:rPr>
                <w:rFonts w:cs="Times New Roman" w:asciiTheme="minorEastAsia" w:hAnsiTheme="minorEastAsia"/>
                <w:szCs w:val="21"/>
              </w:rPr>
              <w:t>两个子任务。</w:t>
            </w:r>
          </w:p>
          <w:p>
            <w:pPr>
              <w:rPr>
                <w:rFonts w:cs="Times New Roman" w:asciiTheme="minorEastAsia" w:hAnsiTheme="minorEastAsia"/>
                <w:szCs w:val="21"/>
              </w:rPr>
            </w:pPr>
            <w:r>
              <w:rPr>
                <w:rFonts w:cs="Times New Roman" w:asciiTheme="minorEastAsia" w:hAnsiTheme="minorEastAsia"/>
                <w:szCs w:val="21"/>
              </w:rPr>
              <w:t>1、了解泵的分类及结构；</w:t>
            </w:r>
          </w:p>
          <w:p>
            <w:pPr>
              <w:rPr>
                <w:rFonts w:cs="Times New Roman" w:asciiTheme="minorEastAsia" w:hAnsiTheme="minorEastAsia"/>
                <w:szCs w:val="21"/>
              </w:rPr>
            </w:pPr>
            <w:r>
              <w:rPr>
                <w:rFonts w:cs="Times New Roman" w:asciiTheme="minorEastAsia" w:hAnsiTheme="minorEastAsia"/>
                <w:szCs w:val="21"/>
              </w:rPr>
              <w:t>2、掌握离心泵的开停车规程；</w:t>
            </w:r>
          </w:p>
          <w:p>
            <w:pPr>
              <w:rPr>
                <w:rFonts w:cs="Times New Roman" w:asciiTheme="minorEastAsia" w:hAnsiTheme="minorEastAsia"/>
                <w:szCs w:val="21"/>
              </w:rPr>
            </w:pPr>
            <w:r>
              <w:rPr>
                <w:rFonts w:cs="Times New Roman" w:asciiTheme="minorEastAsia" w:hAnsiTheme="minorEastAsia"/>
                <w:szCs w:val="21"/>
              </w:rPr>
              <w:t>3、掌握离心泵日常维护与保养</w:t>
            </w:r>
            <w:r>
              <w:rPr>
                <w:rFonts w:hint="eastAsia" w:cs="Times New Roman" w:asciiTheme="minorEastAsia" w:hAnsiTheme="minorEastAsia"/>
                <w:szCs w:val="21"/>
              </w:rPr>
              <w:t>；</w:t>
            </w:r>
          </w:p>
          <w:p>
            <w:pPr>
              <w:rPr>
                <w:rFonts w:cs="Times New Roman" w:asciiTheme="minorEastAsia" w:hAnsiTheme="minorEastAsia"/>
                <w:szCs w:val="21"/>
              </w:rPr>
            </w:pPr>
            <w:r>
              <w:rPr>
                <w:rFonts w:cs="Times New Roman" w:asciiTheme="minorEastAsia" w:hAnsiTheme="minorEastAsia"/>
                <w:szCs w:val="21"/>
              </w:rPr>
              <w:t>4、掌握离心泵故障的维修方法；</w:t>
            </w:r>
          </w:p>
          <w:p>
            <w:pPr>
              <w:rPr>
                <w:rFonts w:cs="Times New Roman" w:asciiTheme="minorEastAsia" w:hAnsiTheme="minorEastAsia"/>
                <w:szCs w:val="21"/>
              </w:rPr>
            </w:pPr>
            <w:r>
              <w:rPr>
                <w:rFonts w:cs="Times New Roman" w:asciiTheme="minorEastAsia" w:hAnsiTheme="minorEastAsia"/>
                <w:szCs w:val="21"/>
              </w:rPr>
              <w:t>5、掌握离心泵安全操作规程</w:t>
            </w:r>
            <w:r>
              <w:rPr>
                <w:rFonts w:hint="eastAsia" w:cs="Times New Roman" w:asciiTheme="minorEastAsia" w:hAnsiTheme="minorEastAsia"/>
                <w:szCs w:val="21"/>
              </w:rPr>
              <w:t>。</w:t>
            </w:r>
          </w:p>
        </w:tc>
        <w:tc>
          <w:tcPr>
            <w:tcW w:w="2812" w:type="dxa"/>
            <w:vAlign w:val="center"/>
          </w:tcPr>
          <w:p>
            <w:pPr>
              <w:rPr>
                <w:rFonts w:cs="Times New Roman" w:asciiTheme="minorEastAsia" w:hAnsiTheme="minorEastAsia"/>
                <w:szCs w:val="21"/>
              </w:rPr>
            </w:pPr>
            <w:r>
              <w:rPr>
                <w:rFonts w:cs="Times New Roman" w:asciiTheme="minorEastAsia" w:hAnsiTheme="minorEastAsia"/>
                <w:szCs w:val="21"/>
              </w:rPr>
              <w:t>1、泵的分类及结构</w:t>
            </w:r>
            <w:r>
              <w:rPr>
                <w:rFonts w:hint="eastAsia" w:cs="Times New Roman" w:asciiTheme="minorEastAsia" w:hAnsiTheme="minorEastAsia"/>
                <w:szCs w:val="21"/>
              </w:rPr>
              <w:t>；</w:t>
            </w:r>
          </w:p>
          <w:p>
            <w:pPr>
              <w:rPr>
                <w:rFonts w:cs="Times New Roman" w:asciiTheme="minorEastAsia" w:hAnsiTheme="minorEastAsia"/>
                <w:szCs w:val="21"/>
              </w:rPr>
            </w:pPr>
            <w:r>
              <w:rPr>
                <w:rFonts w:cs="Times New Roman" w:asciiTheme="minorEastAsia" w:hAnsiTheme="minorEastAsia"/>
                <w:szCs w:val="21"/>
              </w:rPr>
              <w:t>2、离心泵的工作原理</w:t>
            </w:r>
            <w:r>
              <w:rPr>
                <w:rFonts w:hint="eastAsia" w:cs="Times New Roman" w:asciiTheme="minorEastAsia" w:hAnsiTheme="minorEastAsia"/>
                <w:szCs w:val="21"/>
              </w:rPr>
              <w:t>；</w:t>
            </w:r>
          </w:p>
          <w:p>
            <w:pPr>
              <w:rPr>
                <w:rFonts w:cs="Times New Roman" w:asciiTheme="minorEastAsia" w:hAnsiTheme="minorEastAsia"/>
                <w:szCs w:val="21"/>
              </w:rPr>
            </w:pPr>
            <w:r>
              <w:rPr>
                <w:rFonts w:cs="Times New Roman" w:asciiTheme="minorEastAsia" w:hAnsiTheme="minorEastAsia"/>
                <w:szCs w:val="21"/>
              </w:rPr>
              <w:t>3、离心泵的安全操作规程</w:t>
            </w:r>
            <w:r>
              <w:rPr>
                <w:rFonts w:hint="eastAsia" w:cs="Times New Roman" w:asciiTheme="minorEastAsia" w:hAnsiTheme="minorEastAsia"/>
                <w:szCs w:val="21"/>
              </w:rPr>
              <w:t>；</w:t>
            </w:r>
          </w:p>
          <w:p>
            <w:pPr>
              <w:rPr>
                <w:rFonts w:cs="Times New Roman" w:asciiTheme="minorEastAsia" w:hAnsiTheme="minorEastAsia"/>
                <w:szCs w:val="21"/>
              </w:rPr>
            </w:pPr>
            <w:r>
              <w:rPr>
                <w:rFonts w:cs="Times New Roman" w:asciiTheme="minorEastAsia" w:hAnsiTheme="minorEastAsia"/>
                <w:szCs w:val="21"/>
              </w:rPr>
              <w:t>4、离心泵的日常维护；</w:t>
            </w:r>
          </w:p>
          <w:p>
            <w:pPr>
              <w:rPr>
                <w:rFonts w:cs="Times New Roman" w:asciiTheme="minorEastAsia" w:hAnsiTheme="minorEastAsia"/>
                <w:szCs w:val="21"/>
              </w:rPr>
            </w:pPr>
            <w:r>
              <w:rPr>
                <w:rFonts w:cs="Times New Roman" w:asciiTheme="minorEastAsia" w:hAnsiTheme="minorEastAsia"/>
                <w:szCs w:val="21"/>
              </w:rPr>
              <w:t>4、离心泵的故障检修；</w:t>
            </w:r>
          </w:p>
          <w:p>
            <w:pPr>
              <w:rPr>
                <w:rFonts w:cs="Times New Roman" w:asciiTheme="minorEastAsia" w:hAnsiTheme="minorEastAsia"/>
                <w:szCs w:val="21"/>
              </w:rPr>
            </w:pPr>
            <w:r>
              <w:rPr>
                <w:rFonts w:cs="Times New Roman" w:asciiTheme="minorEastAsia" w:hAnsiTheme="minorEastAsia"/>
                <w:szCs w:val="21"/>
              </w:rPr>
              <w:t>5、离心泵的安装及调试；</w:t>
            </w:r>
          </w:p>
          <w:p>
            <w:pPr>
              <w:rPr>
                <w:rFonts w:cs="Times New Roman" w:asciiTheme="minorEastAsia" w:hAnsiTheme="minorEastAsia"/>
                <w:szCs w:val="21"/>
              </w:rPr>
            </w:pPr>
            <w:r>
              <w:rPr>
                <w:rFonts w:cs="Times New Roman" w:asciiTheme="minorEastAsia" w:hAnsiTheme="minorEastAsia"/>
                <w:szCs w:val="21"/>
              </w:rPr>
              <w:t>6、离心泵的主要零部件选用</w:t>
            </w:r>
            <w:r>
              <w:rPr>
                <w:rFonts w:hint="eastAsia" w:cs="Times New Roman" w:asciiTheme="minorEastAsia" w:hAnsiTheme="minorEastAsia"/>
                <w:szCs w:val="21"/>
              </w:rPr>
              <w:t>。</w:t>
            </w:r>
          </w:p>
        </w:tc>
        <w:tc>
          <w:tcPr>
            <w:tcW w:w="720" w:type="dxa"/>
            <w:vAlign w:val="center"/>
          </w:tcPr>
          <w:p>
            <w:pPr>
              <w:jc w:val="center"/>
              <w:rPr>
                <w:rFonts w:cs="Times New Roman" w:asciiTheme="minorEastAsia" w:hAnsiTheme="minorEastAsia"/>
                <w:szCs w:val="21"/>
              </w:rPr>
            </w:pPr>
            <w:r>
              <w:rPr>
                <w:rFonts w:hint="eastAsia" w:cs="Times New Roman" w:asciiTheme="minorEastAsia" w:hAnsiTheme="minorEastAsia"/>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185" w:type="dxa"/>
            <w:vAlign w:val="center"/>
          </w:tcPr>
          <w:p>
            <w:pPr>
              <w:rPr>
                <w:rFonts w:cs="Times New Roman" w:asciiTheme="minorEastAsia" w:hAnsiTheme="minorEastAsia"/>
                <w:szCs w:val="21"/>
              </w:rPr>
            </w:pPr>
            <w:r>
              <w:rPr>
                <w:rFonts w:cs="Times New Roman" w:asciiTheme="minorEastAsia" w:hAnsiTheme="minorEastAsia"/>
                <w:szCs w:val="21"/>
              </w:rPr>
              <w:t>化工生产设备典型事故分析</w:t>
            </w:r>
          </w:p>
        </w:tc>
        <w:tc>
          <w:tcPr>
            <w:tcW w:w="4140" w:type="dxa"/>
            <w:vAlign w:val="center"/>
          </w:tcPr>
          <w:p>
            <w:pPr>
              <w:rPr>
                <w:rFonts w:cs="Times New Roman" w:asciiTheme="minorEastAsia" w:hAnsiTheme="minorEastAsia"/>
                <w:szCs w:val="21"/>
              </w:rPr>
            </w:pPr>
            <w:r>
              <w:rPr>
                <w:rFonts w:cs="Times New Roman" w:asciiTheme="minorEastAsia" w:hAnsiTheme="minorEastAsia"/>
                <w:szCs w:val="21"/>
              </w:rPr>
              <w:t>本情境以合成氨化工厂典型生产事故为蓝本创设，共分为</w:t>
            </w:r>
            <w:r>
              <w:rPr>
                <w:rFonts w:hint="eastAsia" w:cs="Times New Roman" w:asciiTheme="minorEastAsia" w:hAnsiTheme="minorEastAsia"/>
                <w:szCs w:val="21"/>
              </w:rPr>
              <w:t>“</w:t>
            </w:r>
            <w:r>
              <w:rPr>
                <w:rFonts w:cs="Times New Roman" w:asciiTheme="minorEastAsia" w:hAnsiTheme="minorEastAsia"/>
                <w:szCs w:val="21"/>
              </w:rPr>
              <w:t>造气车间事故分析</w:t>
            </w:r>
            <w:r>
              <w:rPr>
                <w:rFonts w:hint="eastAsia" w:cs="Times New Roman" w:asciiTheme="minorEastAsia" w:hAnsiTheme="minorEastAsia"/>
                <w:szCs w:val="21"/>
              </w:rPr>
              <w:t>”</w:t>
            </w:r>
            <w:r>
              <w:rPr>
                <w:rFonts w:cs="Times New Roman" w:asciiTheme="minorEastAsia" w:hAnsiTheme="minorEastAsia"/>
                <w:szCs w:val="21"/>
              </w:rPr>
              <w:t>、</w:t>
            </w:r>
            <w:r>
              <w:rPr>
                <w:rFonts w:hint="eastAsia" w:cs="Times New Roman" w:asciiTheme="minorEastAsia" w:hAnsiTheme="minorEastAsia"/>
                <w:szCs w:val="21"/>
              </w:rPr>
              <w:t>“</w:t>
            </w:r>
            <w:r>
              <w:rPr>
                <w:rFonts w:cs="Times New Roman" w:asciiTheme="minorEastAsia" w:hAnsiTheme="minorEastAsia"/>
                <w:szCs w:val="21"/>
              </w:rPr>
              <w:t>合成车间事故分析</w:t>
            </w:r>
            <w:r>
              <w:rPr>
                <w:rFonts w:hint="eastAsia" w:cs="Times New Roman" w:asciiTheme="minorEastAsia" w:hAnsiTheme="minorEastAsia"/>
                <w:szCs w:val="21"/>
              </w:rPr>
              <w:t>”</w:t>
            </w:r>
            <w:r>
              <w:rPr>
                <w:rFonts w:cs="Times New Roman" w:asciiTheme="minorEastAsia" w:hAnsiTheme="minorEastAsia"/>
                <w:szCs w:val="21"/>
              </w:rPr>
              <w:t>、</w:t>
            </w:r>
            <w:r>
              <w:rPr>
                <w:rFonts w:hint="eastAsia" w:cs="Times New Roman" w:asciiTheme="minorEastAsia" w:hAnsiTheme="minorEastAsia"/>
                <w:szCs w:val="21"/>
              </w:rPr>
              <w:t>“</w:t>
            </w:r>
            <w:r>
              <w:rPr>
                <w:rFonts w:cs="Times New Roman" w:asciiTheme="minorEastAsia" w:hAnsiTheme="minorEastAsia"/>
                <w:szCs w:val="21"/>
              </w:rPr>
              <w:t>脱硫车间事故分析</w:t>
            </w:r>
            <w:r>
              <w:rPr>
                <w:rFonts w:hint="eastAsia" w:cs="Times New Roman" w:asciiTheme="minorEastAsia" w:hAnsiTheme="minorEastAsia"/>
                <w:szCs w:val="21"/>
              </w:rPr>
              <w:t>”</w:t>
            </w:r>
            <w:r>
              <w:rPr>
                <w:rFonts w:cs="Times New Roman" w:asciiTheme="minorEastAsia" w:hAnsiTheme="minorEastAsia"/>
                <w:szCs w:val="21"/>
              </w:rPr>
              <w:t>等三个任务。通过典型事故分析，掌握设备日常维护的基本方法，树立</w:t>
            </w:r>
            <w:r>
              <w:rPr>
                <w:rFonts w:hint="eastAsia" w:cs="Times New Roman" w:asciiTheme="minorEastAsia" w:hAnsiTheme="minorEastAsia"/>
                <w:szCs w:val="21"/>
              </w:rPr>
              <w:t>“</w:t>
            </w:r>
            <w:r>
              <w:rPr>
                <w:rFonts w:cs="Times New Roman" w:asciiTheme="minorEastAsia" w:hAnsiTheme="minorEastAsia"/>
                <w:szCs w:val="21"/>
              </w:rPr>
              <w:t>预防为主</w:t>
            </w:r>
            <w:r>
              <w:rPr>
                <w:rFonts w:hint="eastAsia" w:cs="Times New Roman" w:asciiTheme="minorEastAsia" w:hAnsiTheme="minorEastAsia"/>
                <w:szCs w:val="21"/>
              </w:rPr>
              <w:t>”</w:t>
            </w:r>
            <w:r>
              <w:rPr>
                <w:rFonts w:cs="Times New Roman" w:asciiTheme="minorEastAsia" w:hAnsiTheme="minorEastAsia"/>
                <w:szCs w:val="21"/>
              </w:rPr>
              <w:t>的安全意识。</w:t>
            </w:r>
          </w:p>
          <w:p>
            <w:pPr>
              <w:rPr>
                <w:rFonts w:cs="Times New Roman" w:asciiTheme="minorEastAsia" w:hAnsiTheme="minorEastAsia"/>
                <w:szCs w:val="21"/>
              </w:rPr>
            </w:pPr>
            <w:r>
              <w:rPr>
                <w:rFonts w:cs="Times New Roman" w:asciiTheme="minorEastAsia" w:hAnsiTheme="minorEastAsia"/>
                <w:szCs w:val="21"/>
              </w:rPr>
              <w:t>1、了解合成氨化工生产基本过程及各车间的工艺流程；</w:t>
            </w:r>
          </w:p>
          <w:p>
            <w:pPr>
              <w:rPr>
                <w:rFonts w:cs="Times New Roman" w:asciiTheme="minorEastAsia" w:hAnsiTheme="minorEastAsia"/>
                <w:szCs w:val="21"/>
              </w:rPr>
            </w:pPr>
            <w:r>
              <w:rPr>
                <w:rFonts w:cs="Times New Roman" w:asciiTheme="minorEastAsia" w:hAnsiTheme="minorEastAsia"/>
                <w:szCs w:val="21"/>
              </w:rPr>
              <w:t>2、掌握各工段之间的相互联系及作用；</w:t>
            </w:r>
          </w:p>
          <w:p>
            <w:pPr>
              <w:rPr>
                <w:rFonts w:cs="Times New Roman" w:asciiTheme="minorEastAsia" w:hAnsiTheme="minorEastAsia"/>
                <w:szCs w:val="21"/>
              </w:rPr>
            </w:pPr>
            <w:r>
              <w:rPr>
                <w:rFonts w:cs="Times New Roman" w:asciiTheme="minorEastAsia" w:hAnsiTheme="minorEastAsia"/>
                <w:szCs w:val="21"/>
              </w:rPr>
              <w:t>3、了解合成氨化工生产中所用设备种类</w:t>
            </w:r>
            <w:r>
              <w:rPr>
                <w:rFonts w:hint="eastAsia" w:cs="Times New Roman" w:asciiTheme="minorEastAsia" w:hAnsiTheme="minorEastAsia"/>
                <w:szCs w:val="21"/>
              </w:rPr>
              <w:t>。</w:t>
            </w:r>
          </w:p>
        </w:tc>
        <w:tc>
          <w:tcPr>
            <w:tcW w:w="2812" w:type="dxa"/>
            <w:vAlign w:val="center"/>
          </w:tcPr>
          <w:p>
            <w:pPr>
              <w:rPr>
                <w:rFonts w:cs="Times New Roman" w:asciiTheme="minorEastAsia" w:hAnsiTheme="minorEastAsia"/>
                <w:szCs w:val="21"/>
              </w:rPr>
            </w:pPr>
            <w:r>
              <w:rPr>
                <w:rFonts w:cs="Times New Roman" w:asciiTheme="minorEastAsia" w:hAnsiTheme="minorEastAsia"/>
                <w:szCs w:val="21"/>
              </w:rPr>
              <w:t>1、合成氨化工生产过程及装置</w:t>
            </w:r>
            <w:r>
              <w:rPr>
                <w:rFonts w:hint="eastAsia" w:cs="Times New Roman" w:asciiTheme="minorEastAsia" w:hAnsiTheme="minorEastAsia"/>
                <w:szCs w:val="21"/>
              </w:rPr>
              <w:t>；</w:t>
            </w:r>
          </w:p>
          <w:p>
            <w:pPr>
              <w:rPr>
                <w:rFonts w:cs="Times New Roman" w:asciiTheme="minorEastAsia" w:hAnsiTheme="minorEastAsia"/>
                <w:szCs w:val="21"/>
              </w:rPr>
            </w:pPr>
            <w:r>
              <w:rPr>
                <w:rFonts w:cs="Times New Roman" w:asciiTheme="minorEastAsia" w:hAnsiTheme="minorEastAsia"/>
                <w:szCs w:val="21"/>
              </w:rPr>
              <w:t>2、各工段的工艺流程</w:t>
            </w:r>
            <w:r>
              <w:rPr>
                <w:rFonts w:hint="eastAsia" w:cs="Times New Roman" w:asciiTheme="minorEastAsia" w:hAnsiTheme="minorEastAsia"/>
                <w:szCs w:val="21"/>
              </w:rPr>
              <w:t>；</w:t>
            </w:r>
          </w:p>
          <w:p>
            <w:pPr>
              <w:rPr>
                <w:rFonts w:cs="Times New Roman" w:asciiTheme="minorEastAsia" w:hAnsiTheme="minorEastAsia"/>
                <w:szCs w:val="21"/>
              </w:rPr>
            </w:pPr>
            <w:r>
              <w:rPr>
                <w:rFonts w:cs="Times New Roman" w:asciiTheme="minorEastAsia" w:hAnsiTheme="minorEastAsia"/>
                <w:szCs w:val="21"/>
              </w:rPr>
              <w:t>3、合成氨化工生产事故分析</w:t>
            </w:r>
            <w:r>
              <w:rPr>
                <w:rFonts w:hint="eastAsia" w:cs="Times New Roman" w:asciiTheme="minorEastAsia" w:hAnsiTheme="minorEastAsia"/>
                <w:szCs w:val="21"/>
              </w:rPr>
              <w:t>。</w:t>
            </w:r>
          </w:p>
        </w:tc>
        <w:tc>
          <w:tcPr>
            <w:tcW w:w="720" w:type="dxa"/>
            <w:vAlign w:val="center"/>
          </w:tcPr>
          <w:p>
            <w:pPr>
              <w:jc w:val="center"/>
              <w:rPr>
                <w:rFonts w:cs="Times New Roman" w:asciiTheme="minorEastAsia" w:hAnsiTheme="minorEastAsia"/>
                <w:szCs w:val="21"/>
              </w:rPr>
            </w:pPr>
            <w:r>
              <w:rPr>
                <w:rFonts w:hint="eastAsia" w:cs="Times New Roman" w:asciiTheme="minorEastAsia" w:hAnsiTheme="minorEastAsia"/>
                <w:szCs w:val="21"/>
              </w:rPr>
              <w:t>4</w:t>
            </w:r>
          </w:p>
        </w:tc>
      </w:tr>
    </w:tbl>
    <w:p>
      <w:pPr>
        <w:spacing w:line="360" w:lineRule="auto"/>
        <w:rPr>
          <w:rFonts w:ascii="宋体" w:hAnsi="宋体" w:eastAsia="宋体" w:cs="Times New Roman"/>
          <w:sz w:val="24"/>
        </w:rPr>
      </w:pPr>
    </w:p>
    <w:p>
      <w:pPr>
        <w:adjustRightInd w:val="0"/>
        <w:snapToGrid w:val="0"/>
        <w:spacing w:beforeLines="50" w:line="360" w:lineRule="auto"/>
        <w:ind w:firstLine="480" w:firstLineChars="150"/>
        <w:rPr>
          <w:rFonts w:ascii="黑体" w:hAnsi="黑体" w:eastAsia="黑体" w:cs="Times New Roman"/>
          <w:sz w:val="32"/>
          <w:szCs w:val="32"/>
        </w:rPr>
      </w:pPr>
      <w:r>
        <w:rPr>
          <w:rFonts w:hint="eastAsia" w:ascii="黑体" w:hAnsi="黑体" w:eastAsia="黑体" w:cs="Times New Roman"/>
          <w:sz w:val="32"/>
          <w:szCs w:val="32"/>
        </w:rPr>
        <w:t>五、教学组织与教学方法</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1.教学组织</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以“多媒体教学” 、“现场教学”为主的教学模式，将传统的课堂搬到实验、实训场所，强调“以学生为主体、以教师为主导”思想来设计教学活动，结合具体对象和模型，边讲边练、边学边做，实现了“理实一体化”教学。</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每个任务均按照“课前准备”、“典型实例分析”、“知识链接”、“任务实施”、“知识拓展”、“技能检测”六个步骤完成。在每一个步骤中，采用了项目教学法、任务驱动教学法、小组研讨法、角色扮演法等。</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2.教学方法</w:t>
      </w:r>
    </w:p>
    <w:p>
      <w:pPr>
        <w:spacing w:line="360" w:lineRule="auto"/>
        <w:ind w:firstLine="360" w:firstLineChars="150"/>
        <w:rPr>
          <w:rFonts w:ascii="宋体" w:hAnsi="宋体" w:eastAsia="宋体" w:cs="Times New Roman"/>
          <w:sz w:val="24"/>
        </w:rPr>
      </w:pPr>
      <w:r>
        <w:rPr>
          <w:rFonts w:hint="eastAsia" w:ascii="宋体" w:hAnsi="宋体" w:eastAsia="宋体" w:cs="Times New Roman"/>
          <w:sz w:val="24"/>
        </w:rPr>
        <w:t>（1）项目教学法</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按照企业的生产岗位要求，以任务驱动、项目导向的教学方法实施教学。在教学环境和氛围上营造工学结合场景，让学生感受到工作情境。在教学上突出“项目任务驱动”教学法，将“教、学、做”有机结合，采用“教师布置任务→学生了解任务→学生自主策划项目计划→师生共同分析计划→学生修订策划→投入实施训练→项目完成情况检查→教师评价、学生自评”的教学流程。</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（2）任务驱动教学法</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以学生为主体，教师引导，教师提出问题或设计出合理的学习情景，学生主动参与，整个教学过程以“导”为主而不是以“灌”为主，让学生主动解决难点问题，提高学生的积极性和主动性，增加对相关知识点的理解和掌握。</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（3）小组研讨教学法</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将学生进行分组，在教师的引导下，学生积极参与课堂讨论，从而实现教与学的互动。比如在方案的确定、工艺的制定、故障原因中，学生通过讨论，可以从别人或别的小组获取不同的知识，有助于学生思考多方面的意见，增强学生思维的灵活性，使学生更容易理解他人，提高学生交流思想、看法和协作的能力。</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（4）角色扮演法</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在角色扮演法的使用中，安排真实工作任务，教师统领全局，类似于车间管理人员，小组长管理各个岗位的具体工作，类似于企业里的班组长，教师下达任务书，再由小组长协调组内的具体分工、人员分配、工具设备使用、方案的确定等工作，使学生的实训过程与工厂的实际工作保持一致，通过不同的角色扮演，使适应企业不同的工作岗位，拓宽就业面。</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（5）现场教学法</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在实训场所、生产一线进行现场教学，理论与实践有机结合，进行一体化教学，增强学生的感性认识，建立控制系统的现场感，提高学生的理解能力，便于学生掌握较抽象的知识点。</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 xml:space="preserve">（6）案例教学法 </w:t>
      </w:r>
      <w:r>
        <w:rPr>
          <w:rFonts w:hint="eastAsia" w:ascii="宋体" w:hAnsi="宋体" w:eastAsia="宋体" w:cs="Times New Roman"/>
          <w:sz w:val="24"/>
        </w:rPr>
        <w:tab/>
      </w:r>
    </w:p>
    <w:p>
      <w:pPr>
        <w:spacing w:line="360" w:lineRule="auto"/>
        <w:rPr>
          <w:rFonts w:ascii="宋体" w:hAnsi="宋体" w:eastAsia="宋体" w:cs="Times New Roman"/>
          <w:sz w:val="24"/>
        </w:rPr>
      </w:pPr>
      <w:r>
        <w:rPr>
          <w:rFonts w:hint="eastAsia" w:ascii="宋体" w:hAnsi="宋体" w:eastAsia="宋体" w:cs="Times New Roman"/>
          <w:sz w:val="24"/>
        </w:rPr>
        <w:t xml:space="preserve">    针对工作典型案例进行教学，达到学习的内容更加贴近生产实际的目的。以学习小组为单位进行方案设计，教师对学生的设计方案进行分析、评价。通过案例分析法，可以激发学生的教师传授学中做、做中学、学生自主、育巧手、手脑并用学习，使学习任务和目标更加明确，提高了学生分析问题和解决问题的能力。</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（7）多媒体教学法</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采用电子教案、多媒体课件、仿真软件等手段充实了教学，特别是多媒体课件和仿真软件的应用，解决了在传统教学手段下很难表达的教学内容或无法观察到的现象，使其象能形象、生动、直观地显示出来，从而加深学生对问题的理解，提高学生学习的积极性。</w:t>
      </w:r>
    </w:p>
    <w:p>
      <w:pPr>
        <w:adjustRightInd w:val="0"/>
        <w:snapToGrid w:val="0"/>
        <w:spacing w:beforeLines="50" w:line="360" w:lineRule="auto"/>
        <w:ind w:firstLine="480" w:firstLineChars="150"/>
        <w:rPr>
          <w:rFonts w:ascii="黑体" w:hAnsi="黑体" w:eastAsia="黑体" w:cs="Times New Roman"/>
          <w:sz w:val="32"/>
          <w:szCs w:val="32"/>
        </w:rPr>
      </w:pPr>
      <w:r>
        <w:rPr>
          <w:rFonts w:hint="eastAsia" w:ascii="黑体" w:hAnsi="黑体" w:eastAsia="黑体" w:cs="Times New Roman"/>
          <w:sz w:val="32"/>
          <w:szCs w:val="32"/>
        </w:rPr>
        <w:t>六、考核标准与成绩评定方法</w:t>
      </w:r>
    </w:p>
    <w:p>
      <w:pPr>
        <w:spacing w:line="360" w:lineRule="auto"/>
        <w:ind w:firstLine="480" w:firstLineChars="200"/>
        <w:rPr>
          <w:rFonts w:ascii="Times New Roman" w:hAnsi="Times New Roman" w:eastAsia="宋体" w:cs="Times New Roman"/>
          <w:sz w:val="24"/>
        </w:rPr>
      </w:pPr>
      <w:r>
        <w:rPr>
          <w:rFonts w:ascii="Times New Roman" w:hAnsi="宋体" w:eastAsia="宋体" w:cs="Times New Roman"/>
          <w:sz w:val="24"/>
        </w:rPr>
        <w:t>本课程采用过程考核（任务考评）、阶段考核（情境考核）及期末考核（课程考核）相结合的考评方式，强调过程考核重要性。过程考核为开放性评价，由教师和学生共同参与考评，注重考核学生专业能力、方法能力和社会能力，鼓励同学间、小组间的相对评价和适度竞争：既着眼于对整个小组的评价，又要注意到个人在项目中所承担的角色、发挥的具体的作用及进步情况；终结考评由教师进行考评，注重考核学生专业知识掌握情况、综合技能水平和职业行动完整性。</w:t>
      </w:r>
    </w:p>
    <w:p>
      <w:pPr>
        <w:spacing w:line="360" w:lineRule="auto"/>
        <w:ind w:firstLine="480" w:firstLineChars="200"/>
        <w:rPr>
          <w:rFonts w:ascii="Times New Roman" w:hAnsi="Times New Roman" w:eastAsia="宋体" w:cs="Times New Roman"/>
          <w:sz w:val="24"/>
        </w:rPr>
      </w:pPr>
      <w:r>
        <w:rPr>
          <w:rFonts w:ascii="Times New Roman" w:hAnsi="宋体" w:eastAsia="宋体" w:cs="Times New Roman"/>
          <w:sz w:val="24"/>
        </w:rPr>
        <w:t>学生成绩组成</w:t>
      </w:r>
      <w:r>
        <w:rPr>
          <w:rFonts w:ascii="Times New Roman" w:hAnsi="Times New Roman" w:eastAsia="宋体" w:cs="Times New Roman"/>
          <w:sz w:val="24"/>
        </w:rPr>
        <w:t>=</w:t>
      </w:r>
      <w:r>
        <w:rPr>
          <w:rFonts w:ascii="Times New Roman" w:hAnsi="宋体" w:eastAsia="宋体" w:cs="Times New Roman"/>
          <w:sz w:val="24"/>
        </w:rPr>
        <w:t>过程考核成绩</w:t>
      </w:r>
      <w:r>
        <w:rPr>
          <w:rFonts w:ascii="Times New Roman" w:hAnsi="Times New Roman" w:eastAsia="宋体" w:cs="Times New Roman"/>
          <w:sz w:val="24"/>
        </w:rPr>
        <w:t>60%+</w:t>
      </w:r>
      <w:r>
        <w:rPr>
          <w:rFonts w:ascii="Times New Roman" w:hAnsi="宋体" w:eastAsia="宋体" w:cs="Times New Roman"/>
          <w:sz w:val="24"/>
        </w:rPr>
        <w:t>阶段考核</w:t>
      </w:r>
      <w:r>
        <w:rPr>
          <w:rFonts w:ascii="Times New Roman" w:hAnsi="Times New Roman" w:eastAsia="宋体" w:cs="Times New Roman"/>
          <w:sz w:val="24"/>
        </w:rPr>
        <w:t>20%+</w:t>
      </w:r>
      <w:r>
        <w:rPr>
          <w:rFonts w:ascii="Times New Roman" w:hAnsi="宋体" w:eastAsia="宋体" w:cs="Times New Roman"/>
          <w:sz w:val="24"/>
        </w:rPr>
        <w:t>期末考核</w:t>
      </w:r>
      <w:r>
        <w:rPr>
          <w:rFonts w:ascii="Times New Roman" w:hAnsi="Times New Roman" w:eastAsia="宋体" w:cs="Times New Roman"/>
          <w:sz w:val="24"/>
        </w:rPr>
        <w:t>20%</w:t>
      </w:r>
      <w:r>
        <w:rPr>
          <w:rFonts w:ascii="Times New Roman" w:hAnsi="宋体" w:eastAsia="宋体" w:cs="Times New Roman"/>
          <w:sz w:val="24"/>
        </w:rPr>
        <w:t>。过程考核由组员评价（占过程考核的</w:t>
      </w:r>
      <w:r>
        <w:rPr>
          <w:rFonts w:ascii="Times New Roman" w:hAnsi="Times New Roman" w:eastAsia="宋体" w:cs="Times New Roman"/>
          <w:sz w:val="24"/>
        </w:rPr>
        <w:t>40%</w:t>
      </w:r>
      <w:r>
        <w:rPr>
          <w:rFonts w:ascii="Times New Roman" w:hAnsi="宋体" w:eastAsia="宋体" w:cs="Times New Roman"/>
          <w:sz w:val="24"/>
        </w:rPr>
        <w:t>）和小组评价（占过程考核</w:t>
      </w:r>
      <w:r>
        <w:rPr>
          <w:rFonts w:ascii="Times New Roman" w:hAnsi="Times New Roman" w:eastAsia="宋体" w:cs="Times New Roman"/>
          <w:sz w:val="24"/>
        </w:rPr>
        <w:t>60%</w:t>
      </w:r>
      <w:r>
        <w:rPr>
          <w:rFonts w:ascii="Times New Roman" w:hAnsi="宋体" w:eastAsia="宋体" w:cs="Times New Roman"/>
          <w:sz w:val="24"/>
        </w:rPr>
        <w:t>）两部分组成。</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1</w:t>
      </w:r>
      <w:r>
        <w:rPr>
          <w:rFonts w:hint="eastAsia" w:ascii="Times New Roman" w:hAnsi="宋体" w:eastAsia="宋体" w:cs="Times New Roman"/>
          <w:sz w:val="24"/>
        </w:rPr>
        <w:t>.</w:t>
      </w:r>
      <w:r>
        <w:rPr>
          <w:rFonts w:ascii="Times New Roman" w:hAnsi="宋体" w:eastAsia="宋体" w:cs="Times New Roman"/>
          <w:sz w:val="24"/>
        </w:rPr>
        <w:t>工作任务评价（</w:t>
      </w:r>
      <w:r>
        <w:rPr>
          <w:rFonts w:ascii="Times New Roman" w:hAnsi="Times New Roman" w:eastAsia="宋体" w:cs="Times New Roman"/>
          <w:sz w:val="24"/>
        </w:rPr>
        <w:t>60%</w:t>
      </w:r>
      <w:r>
        <w:rPr>
          <w:rFonts w:ascii="Times New Roman" w:hAnsi="宋体" w:eastAsia="宋体" w:cs="Times New Roman"/>
          <w:sz w:val="24"/>
        </w:rPr>
        <w:t>）</w:t>
      </w:r>
    </w:p>
    <w:p>
      <w:pPr>
        <w:spacing w:line="360" w:lineRule="auto"/>
        <w:ind w:firstLine="480" w:firstLineChars="200"/>
        <w:rPr>
          <w:rFonts w:ascii="Times New Roman" w:hAnsi="Times New Roman" w:eastAsia="宋体" w:cs="Times New Roman"/>
          <w:sz w:val="24"/>
        </w:rPr>
      </w:pPr>
      <w:r>
        <w:rPr>
          <w:rFonts w:ascii="Times New Roman" w:hAnsi="宋体" w:eastAsia="宋体" w:cs="Times New Roman"/>
          <w:sz w:val="24"/>
        </w:rPr>
        <w:t>每一个工作任务都以工作成果及完成的任务符合度进行考核，学生完成工作任务后提出自评成绩，小组成员进行互评，教师对工作任务的成果进行逐项分析，哪些工作可以进一步改进？如何改进？并将学生的出勤、课堂纪律、团队合作等纳入考核指标，具体权重可根据工作任务的特点、内容、难度确定，工作任务考评占总成绩的</w:t>
      </w:r>
      <w:r>
        <w:rPr>
          <w:rFonts w:ascii="Times New Roman" w:hAnsi="Times New Roman" w:eastAsia="宋体" w:cs="Times New Roman"/>
          <w:sz w:val="24"/>
        </w:rPr>
        <w:t>60%</w:t>
      </w:r>
      <w:r>
        <w:rPr>
          <w:rFonts w:ascii="Times New Roman" w:hAnsi="宋体" w:eastAsia="宋体" w:cs="Times New Roman"/>
          <w:sz w:val="24"/>
        </w:rPr>
        <w:t>。</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2</w:t>
      </w:r>
      <w:r>
        <w:rPr>
          <w:rFonts w:hint="eastAsia" w:ascii="Times New Roman" w:hAnsi="宋体" w:eastAsia="宋体" w:cs="Times New Roman"/>
          <w:sz w:val="24"/>
        </w:rPr>
        <w:t>.</w:t>
      </w:r>
      <w:r>
        <w:rPr>
          <w:rFonts w:ascii="Times New Roman" w:hAnsi="宋体" w:eastAsia="宋体" w:cs="Times New Roman"/>
          <w:sz w:val="24"/>
        </w:rPr>
        <w:t>阶段评价（</w:t>
      </w:r>
      <w:r>
        <w:rPr>
          <w:rFonts w:ascii="Times New Roman" w:hAnsi="Times New Roman" w:eastAsia="宋体" w:cs="Times New Roman"/>
          <w:sz w:val="24"/>
        </w:rPr>
        <w:t>20%</w:t>
      </w:r>
      <w:r>
        <w:rPr>
          <w:rFonts w:ascii="Times New Roman" w:hAnsi="宋体" w:eastAsia="宋体" w:cs="Times New Roman"/>
          <w:sz w:val="24"/>
        </w:rPr>
        <w:t>）</w:t>
      </w:r>
    </w:p>
    <w:p>
      <w:pPr>
        <w:spacing w:line="360" w:lineRule="auto"/>
        <w:ind w:firstLine="480" w:firstLineChars="200"/>
        <w:rPr>
          <w:rFonts w:ascii="Times New Roman" w:hAnsi="Times New Roman" w:eastAsia="宋体" w:cs="Times New Roman"/>
          <w:sz w:val="24"/>
        </w:rPr>
      </w:pPr>
      <w:r>
        <w:rPr>
          <w:rFonts w:ascii="Times New Roman" w:hAnsi="宋体" w:eastAsia="宋体" w:cs="Times New Roman"/>
          <w:sz w:val="24"/>
        </w:rPr>
        <w:t>针对工作任务中的知识点进行阶段性测试，通过提炼工作任务中的重要知识点，实现知识应用中由工作知识的针对性到知识应用的普适性之间的迁移，把握应用知识的深度和广度。阶段评价由理论考试及实践考试组成，各占</w:t>
      </w:r>
      <w:r>
        <w:rPr>
          <w:rFonts w:ascii="Times New Roman" w:hAnsi="Times New Roman" w:eastAsia="宋体" w:cs="Times New Roman"/>
          <w:sz w:val="24"/>
        </w:rPr>
        <w:t>50%</w:t>
      </w:r>
      <w:r>
        <w:rPr>
          <w:rFonts w:ascii="Times New Roman" w:hAnsi="宋体" w:eastAsia="宋体" w:cs="Times New Roman"/>
          <w:sz w:val="24"/>
        </w:rPr>
        <w:t>。其中理论考试注重课程知识点的考核，实践考试包括实际动手能力，绘制化工设备图样。</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3</w:t>
      </w:r>
      <w:r>
        <w:rPr>
          <w:rFonts w:hint="eastAsia" w:ascii="Times New Roman" w:hAnsi="宋体" w:eastAsia="宋体" w:cs="Times New Roman"/>
          <w:sz w:val="24"/>
        </w:rPr>
        <w:t>.</w:t>
      </w:r>
      <w:r>
        <w:rPr>
          <w:rFonts w:ascii="Times New Roman" w:hAnsi="宋体" w:eastAsia="宋体" w:cs="Times New Roman"/>
          <w:sz w:val="24"/>
        </w:rPr>
        <w:t>期末考试综合评价（</w:t>
      </w:r>
      <w:r>
        <w:rPr>
          <w:rFonts w:ascii="Times New Roman" w:hAnsi="Times New Roman" w:eastAsia="宋体" w:cs="Times New Roman"/>
          <w:sz w:val="24"/>
        </w:rPr>
        <w:t>20%</w:t>
      </w:r>
      <w:r>
        <w:rPr>
          <w:rFonts w:ascii="Times New Roman" w:hAnsi="宋体" w:eastAsia="宋体" w:cs="Times New Roman"/>
          <w:sz w:val="24"/>
        </w:rPr>
        <w:t>）</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学习任务过程评价中，确定了知识目标考核、技能目标考核和态度目标考核三项合一的综合能力考核评价体系。依据多项工作任务的《评分标准》及学生在工作过程中的工具使用、操作技能、存在问题、阶段性作业、结果展示、讲解交流、组织纪律等进行专业能力综合考核。</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4.评价标准</w:t>
      </w:r>
    </w:p>
    <w:p>
      <w:pPr>
        <w:spacing w:line="360" w:lineRule="auto"/>
        <w:jc w:val="center"/>
        <w:rPr>
          <w:rFonts w:ascii="Times New Roman" w:hAnsi="Times New Roman" w:eastAsia="宋体" w:cs="Times New Roman"/>
          <w:sz w:val="24"/>
        </w:rPr>
      </w:pPr>
      <w:r>
        <w:rPr>
          <w:rFonts w:ascii="Times New Roman" w:hAnsi="宋体" w:eastAsia="宋体" w:cs="Times New Roman"/>
          <w:bCs/>
          <w:sz w:val="24"/>
        </w:rPr>
        <w:t>表</w:t>
      </w:r>
      <w:r>
        <w:rPr>
          <w:rFonts w:ascii="Times New Roman" w:hAnsi="Times New Roman" w:eastAsia="宋体" w:cs="Times New Roman"/>
          <w:bCs/>
          <w:sz w:val="24"/>
        </w:rPr>
        <w:t>4.</w:t>
      </w:r>
      <w:r>
        <w:rPr>
          <w:rFonts w:hint="eastAsia" w:ascii="宋体" w:hAnsi="宋体" w:eastAsia="宋体" w:cs="Times New Roman"/>
          <w:bCs/>
          <w:sz w:val="24"/>
        </w:rPr>
        <w:t>7《</w:t>
      </w:r>
      <w:r>
        <w:rPr>
          <w:rFonts w:hint="eastAsia" w:ascii="Times New Roman" w:hAnsi="Times New Roman" w:eastAsia="宋体" w:cs="Times New Roman"/>
          <w:bCs/>
          <w:sz w:val="24"/>
        </w:rPr>
        <w:t>化工设备基础</w:t>
      </w:r>
      <w:r>
        <w:rPr>
          <w:rFonts w:hint="eastAsia" w:ascii="宋体" w:hAnsi="宋体" w:eastAsia="宋体" w:cs="Times New Roman"/>
          <w:bCs/>
          <w:sz w:val="24"/>
        </w:rPr>
        <w:t>》</w:t>
      </w:r>
      <w:r>
        <w:rPr>
          <w:rFonts w:hint="eastAsia" w:ascii="Times New Roman" w:hAnsi="Times New Roman" w:eastAsia="宋体" w:cs="Times New Roman"/>
          <w:bCs/>
          <w:sz w:val="24"/>
        </w:rPr>
        <w:t>课程</w:t>
      </w:r>
      <w:r>
        <w:rPr>
          <w:rFonts w:ascii="Times New Roman" w:hAnsi="宋体" w:eastAsia="宋体" w:cs="Times New Roman"/>
          <w:bCs/>
          <w:sz w:val="24"/>
        </w:rPr>
        <w:t>学生成绩评价表</w:t>
      </w:r>
    </w:p>
    <w:tbl>
      <w:tblPr>
        <w:tblStyle w:val="1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1015"/>
        <w:gridCol w:w="50"/>
        <w:gridCol w:w="1065"/>
        <w:gridCol w:w="153"/>
        <w:gridCol w:w="912"/>
        <w:gridCol w:w="168"/>
        <w:gridCol w:w="897"/>
        <w:gridCol w:w="543"/>
        <w:gridCol w:w="522"/>
        <w:gridCol w:w="378"/>
        <w:gridCol w:w="180"/>
        <w:gridCol w:w="508"/>
        <w:gridCol w:w="392"/>
        <w:gridCol w:w="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spacing w:line="360" w:lineRule="auto"/>
              <w:rPr>
                <w:rFonts w:ascii="Times New Roman" w:hAnsi="Times New Roman" w:eastAsia="宋体" w:cs="Times New Roman"/>
                <w:szCs w:val="21"/>
              </w:rPr>
            </w:pPr>
            <w:r>
              <w:rPr>
                <w:rFonts w:ascii="Times New Roman" w:hAnsi="宋体" w:eastAsia="宋体" w:cs="Times New Roman"/>
                <w:szCs w:val="21"/>
              </w:rPr>
              <w:t>学生姓名</w:t>
            </w:r>
          </w:p>
        </w:tc>
        <w:tc>
          <w:tcPr>
            <w:tcW w:w="1065" w:type="dxa"/>
            <w:gridSpan w:val="2"/>
          </w:tcPr>
          <w:p>
            <w:pPr>
              <w:spacing w:line="360" w:lineRule="auto"/>
              <w:ind w:firstLine="420" w:firstLineChars="200"/>
              <w:rPr>
                <w:rFonts w:ascii="Times New Roman" w:hAnsi="Times New Roman" w:eastAsia="宋体" w:cs="Times New Roman"/>
                <w:szCs w:val="21"/>
              </w:rPr>
            </w:pPr>
          </w:p>
        </w:tc>
        <w:tc>
          <w:tcPr>
            <w:tcW w:w="1065" w:type="dxa"/>
          </w:tcPr>
          <w:p>
            <w:pPr>
              <w:spacing w:line="360" w:lineRule="auto"/>
              <w:rPr>
                <w:rFonts w:ascii="Times New Roman" w:hAnsi="Times New Roman" w:eastAsia="宋体" w:cs="Times New Roman"/>
                <w:szCs w:val="21"/>
              </w:rPr>
            </w:pPr>
            <w:r>
              <w:rPr>
                <w:rFonts w:ascii="Times New Roman" w:hAnsi="宋体" w:eastAsia="宋体" w:cs="Times New Roman"/>
                <w:szCs w:val="21"/>
              </w:rPr>
              <w:t>学号</w:t>
            </w:r>
          </w:p>
        </w:tc>
        <w:tc>
          <w:tcPr>
            <w:tcW w:w="1065" w:type="dxa"/>
            <w:gridSpan w:val="2"/>
          </w:tcPr>
          <w:p>
            <w:pPr>
              <w:spacing w:line="360" w:lineRule="auto"/>
              <w:ind w:firstLine="420" w:firstLineChars="200"/>
              <w:rPr>
                <w:rFonts w:ascii="Times New Roman" w:hAnsi="Times New Roman" w:eastAsia="宋体" w:cs="Times New Roman"/>
                <w:szCs w:val="21"/>
              </w:rPr>
            </w:pPr>
          </w:p>
        </w:tc>
        <w:tc>
          <w:tcPr>
            <w:tcW w:w="1065" w:type="dxa"/>
            <w:gridSpan w:val="2"/>
          </w:tcPr>
          <w:p>
            <w:pPr>
              <w:spacing w:line="360" w:lineRule="auto"/>
              <w:rPr>
                <w:rFonts w:ascii="Times New Roman" w:hAnsi="Times New Roman" w:eastAsia="宋体" w:cs="Times New Roman"/>
                <w:szCs w:val="21"/>
              </w:rPr>
            </w:pPr>
            <w:r>
              <w:rPr>
                <w:rFonts w:ascii="Times New Roman" w:hAnsi="宋体" w:eastAsia="宋体" w:cs="Times New Roman"/>
                <w:szCs w:val="21"/>
              </w:rPr>
              <w:t>小组</w:t>
            </w:r>
          </w:p>
        </w:tc>
        <w:tc>
          <w:tcPr>
            <w:tcW w:w="1065" w:type="dxa"/>
            <w:gridSpan w:val="2"/>
          </w:tcPr>
          <w:p>
            <w:pPr>
              <w:spacing w:line="360" w:lineRule="auto"/>
              <w:ind w:firstLine="420" w:firstLineChars="200"/>
              <w:rPr>
                <w:rFonts w:ascii="Times New Roman" w:hAnsi="Times New Roman" w:eastAsia="宋体" w:cs="Times New Roman"/>
                <w:szCs w:val="21"/>
              </w:rPr>
            </w:pPr>
          </w:p>
        </w:tc>
        <w:tc>
          <w:tcPr>
            <w:tcW w:w="1066" w:type="dxa"/>
            <w:gridSpan w:val="3"/>
          </w:tcPr>
          <w:p>
            <w:pPr>
              <w:spacing w:line="360" w:lineRule="auto"/>
              <w:rPr>
                <w:rFonts w:ascii="Times New Roman" w:hAnsi="Times New Roman" w:eastAsia="宋体" w:cs="Times New Roman"/>
                <w:szCs w:val="21"/>
              </w:rPr>
            </w:pPr>
            <w:r>
              <w:rPr>
                <w:rFonts w:ascii="Times New Roman" w:hAnsi="宋体" w:eastAsia="宋体" w:cs="Times New Roman"/>
                <w:szCs w:val="21"/>
              </w:rPr>
              <w:t>班级</w:t>
            </w:r>
          </w:p>
        </w:tc>
        <w:tc>
          <w:tcPr>
            <w:tcW w:w="1066" w:type="dxa"/>
            <w:gridSpan w:val="2"/>
          </w:tcPr>
          <w:p>
            <w:pPr>
              <w:spacing w:line="360" w:lineRule="auto"/>
              <w:ind w:firstLine="420" w:firstLineChars="200"/>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15"/>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工作任务评价（</w:t>
            </w:r>
            <w:r>
              <w:rPr>
                <w:rFonts w:ascii="Times New Roman" w:hAnsi="Times New Roman" w:eastAsia="宋体" w:cs="Times New Roman"/>
                <w:szCs w:val="21"/>
              </w:rPr>
              <w:t>60%</w:t>
            </w:r>
            <w:r>
              <w:rPr>
                <w:rFonts w:ascii="Times New Roman" w:hAnsi="宋体" w:eastAsia="宋体"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adjustRightInd w:val="0"/>
              <w:snapToGrid w:val="0"/>
              <w:rPr>
                <w:rFonts w:ascii="Times New Roman" w:hAnsi="Times New Roman" w:eastAsia="宋体" w:cs="Times New Roman"/>
                <w:szCs w:val="21"/>
              </w:rPr>
            </w:pPr>
            <w:r>
              <w:rPr>
                <w:rFonts w:ascii="Times New Roman" w:hAnsi="宋体" w:eastAsia="宋体" w:cs="Times New Roman"/>
                <w:szCs w:val="21"/>
              </w:rPr>
              <w:t>工作任务</w:t>
            </w:r>
          </w:p>
        </w:tc>
        <w:tc>
          <w:tcPr>
            <w:tcW w:w="1065" w:type="dxa"/>
            <w:gridSpan w:val="2"/>
            <w:vAlign w:val="center"/>
          </w:tcPr>
          <w:p>
            <w:pPr>
              <w:adjustRightInd w:val="0"/>
              <w:snapToGrid w:val="0"/>
              <w:rPr>
                <w:rFonts w:ascii="Times New Roman" w:hAnsi="Times New Roman" w:eastAsia="宋体" w:cs="Times New Roman"/>
                <w:szCs w:val="21"/>
              </w:rPr>
            </w:pPr>
            <w:r>
              <w:rPr>
                <w:rFonts w:ascii="Times New Roman" w:hAnsi="宋体" w:eastAsia="宋体" w:cs="Times New Roman"/>
                <w:szCs w:val="21"/>
              </w:rPr>
              <w:t>查阅资料</w:t>
            </w:r>
          </w:p>
          <w:p>
            <w:pPr>
              <w:adjustRightInd w:val="0"/>
              <w:snapToGrid w:val="0"/>
              <w:rPr>
                <w:rFonts w:ascii="Times New Roman" w:hAnsi="Times New Roman" w:eastAsia="宋体" w:cs="Times New Roman"/>
                <w:szCs w:val="21"/>
              </w:rPr>
            </w:pPr>
            <w:r>
              <w:rPr>
                <w:rFonts w:ascii="Times New Roman" w:hAnsi="宋体" w:eastAsia="宋体" w:cs="Times New Roman"/>
                <w:szCs w:val="21"/>
              </w:rPr>
              <w:t>（</w:t>
            </w:r>
            <w:r>
              <w:rPr>
                <w:rFonts w:ascii="Times New Roman" w:hAnsi="Times New Roman" w:eastAsia="宋体" w:cs="Times New Roman"/>
                <w:szCs w:val="21"/>
              </w:rPr>
              <w:t>10</w:t>
            </w:r>
            <w:r>
              <w:rPr>
                <w:rFonts w:ascii="Times New Roman" w:hAnsi="宋体" w:eastAsia="宋体" w:cs="Times New Roman"/>
                <w:szCs w:val="21"/>
              </w:rPr>
              <w:t>分）</w:t>
            </w:r>
          </w:p>
        </w:tc>
        <w:tc>
          <w:tcPr>
            <w:tcW w:w="1218" w:type="dxa"/>
            <w:gridSpan w:val="2"/>
            <w:vAlign w:val="center"/>
          </w:tcPr>
          <w:p>
            <w:pPr>
              <w:adjustRightInd w:val="0"/>
              <w:snapToGrid w:val="0"/>
              <w:rPr>
                <w:rFonts w:ascii="Times New Roman" w:hAnsi="Times New Roman" w:eastAsia="宋体" w:cs="Times New Roman"/>
                <w:szCs w:val="21"/>
              </w:rPr>
            </w:pPr>
            <w:r>
              <w:rPr>
                <w:rFonts w:ascii="Times New Roman" w:hAnsi="宋体" w:eastAsia="宋体" w:cs="Times New Roman"/>
                <w:szCs w:val="21"/>
              </w:rPr>
              <w:t>知识点训练（</w:t>
            </w:r>
            <w:r>
              <w:rPr>
                <w:rFonts w:ascii="Times New Roman" w:hAnsi="Times New Roman" w:eastAsia="宋体" w:cs="Times New Roman"/>
                <w:szCs w:val="21"/>
              </w:rPr>
              <w:t>10</w:t>
            </w:r>
            <w:r>
              <w:rPr>
                <w:rFonts w:ascii="Times New Roman" w:hAnsi="宋体" w:eastAsia="宋体" w:cs="Times New Roman"/>
                <w:szCs w:val="21"/>
              </w:rPr>
              <w:t>分）</w:t>
            </w:r>
          </w:p>
        </w:tc>
        <w:tc>
          <w:tcPr>
            <w:tcW w:w="1080" w:type="dxa"/>
            <w:gridSpan w:val="2"/>
            <w:vAlign w:val="center"/>
          </w:tcPr>
          <w:p>
            <w:pPr>
              <w:adjustRightInd w:val="0"/>
              <w:snapToGrid w:val="0"/>
              <w:rPr>
                <w:rFonts w:ascii="Times New Roman" w:hAnsi="Times New Roman" w:eastAsia="宋体" w:cs="Times New Roman"/>
                <w:szCs w:val="21"/>
              </w:rPr>
            </w:pPr>
            <w:r>
              <w:rPr>
                <w:rFonts w:ascii="Times New Roman" w:hAnsi="宋体" w:eastAsia="宋体" w:cs="Times New Roman"/>
                <w:szCs w:val="21"/>
              </w:rPr>
              <w:t>计划方案拟定（</w:t>
            </w:r>
            <w:r>
              <w:rPr>
                <w:rFonts w:ascii="Times New Roman" w:hAnsi="Times New Roman" w:eastAsia="宋体" w:cs="Times New Roman"/>
                <w:szCs w:val="21"/>
              </w:rPr>
              <w:t>10</w:t>
            </w:r>
            <w:r>
              <w:rPr>
                <w:rFonts w:ascii="Times New Roman" w:hAnsi="宋体" w:eastAsia="宋体" w:cs="Times New Roman"/>
                <w:szCs w:val="21"/>
              </w:rPr>
              <w:t>分）</w:t>
            </w:r>
          </w:p>
        </w:tc>
        <w:tc>
          <w:tcPr>
            <w:tcW w:w="1440" w:type="dxa"/>
            <w:gridSpan w:val="2"/>
            <w:vAlign w:val="center"/>
          </w:tcPr>
          <w:p>
            <w:pPr>
              <w:adjustRightInd w:val="0"/>
              <w:snapToGrid w:val="0"/>
              <w:rPr>
                <w:rFonts w:ascii="Times New Roman" w:hAnsi="Times New Roman" w:eastAsia="宋体" w:cs="Times New Roman"/>
                <w:szCs w:val="21"/>
              </w:rPr>
            </w:pPr>
            <w:r>
              <w:rPr>
                <w:rFonts w:ascii="Times New Roman" w:hAnsi="宋体" w:eastAsia="宋体" w:cs="Times New Roman"/>
                <w:szCs w:val="21"/>
              </w:rPr>
              <w:t>工作任务中承担的角色（</w:t>
            </w:r>
            <w:r>
              <w:rPr>
                <w:rFonts w:ascii="Times New Roman" w:hAnsi="Times New Roman" w:eastAsia="宋体" w:cs="Times New Roman"/>
                <w:szCs w:val="21"/>
              </w:rPr>
              <w:t>10</w:t>
            </w:r>
            <w:r>
              <w:rPr>
                <w:rFonts w:ascii="Times New Roman" w:hAnsi="宋体" w:eastAsia="宋体" w:cs="Times New Roman"/>
                <w:szCs w:val="21"/>
              </w:rPr>
              <w:t>分）</w:t>
            </w:r>
          </w:p>
        </w:tc>
        <w:tc>
          <w:tcPr>
            <w:tcW w:w="1080" w:type="dxa"/>
            <w:gridSpan w:val="3"/>
            <w:vAlign w:val="center"/>
          </w:tcPr>
          <w:p>
            <w:pPr>
              <w:adjustRightInd w:val="0"/>
              <w:snapToGrid w:val="0"/>
              <w:rPr>
                <w:rFonts w:ascii="Times New Roman" w:hAnsi="Times New Roman" w:eastAsia="宋体" w:cs="Times New Roman"/>
                <w:szCs w:val="21"/>
              </w:rPr>
            </w:pPr>
            <w:r>
              <w:rPr>
                <w:rFonts w:ascii="Times New Roman" w:hAnsi="宋体" w:eastAsia="宋体" w:cs="Times New Roman"/>
                <w:szCs w:val="21"/>
              </w:rPr>
              <w:t>任务成果</w:t>
            </w:r>
          </w:p>
          <w:p>
            <w:pPr>
              <w:adjustRightInd w:val="0"/>
              <w:snapToGrid w:val="0"/>
              <w:rPr>
                <w:rFonts w:ascii="Times New Roman" w:hAnsi="Times New Roman" w:eastAsia="宋体" w:cs="Times New Roman"/>
                <w:szCs w:val="21"/>
              </w:rPr>
            </w:pPr>
            <w:r>
              <w:rPr>
                <w:rFonts w:ascii="Times New Roman" w:hAnsi="宋体" w:eastAsia="宋体" w:cs="Times New Roman"/>
                <w:szCs w:val="21"/>
              </w:rPr>
              <w:t>（</w:t>
            </w:r>
            <w:r>
              <w:rPr>
                <w:rFonts w:ascii="Times New Roman" w:hAnsi="Times New Roman" w:eastAsia="宋体" w:cs="Times New Roman"/>
                <w:szCs w:val="21"/>
              </w:rPr>
              <w:t>60</w:t>
            </w:r>
            <w:r>
              <w:rPr>
                <w:rFonts w:ascii="Times New Roman" w:hAnsi="宋体" w:eastAsia="宋体" w:cs="Times New Roman"/>
                <w:szCs w:val="21"/>
              </w:rPr>
              <w:t>分）</w:t>
            </w:r>
          </w:p>
        </w:tc>
        <w:tc>
          <w:tcPr>
            <w:tcW w:w="900" w:type="dxa"/>
            <w:gridSpan w:val="2"/>
            <w:vAlign w:val="center"/>
          </w:tcPr>
          <w:p>
            <w:pPr>
              <w:adjustRightInd w:val="0"/>
              <w:snapToGrid w:val="0"/>
              <w:rPr>
                <w:rFonts w:ascii="Times New Roman" w:hAnsi="Times New Roman" w:eastAsia="宋体" w:cs="Times New Roman"/>
                <w:szCs w:val="21"/>
              </w:rPr>
            </w:pPr>
            <w:r>
              <w:rPr>
                <w:rFonts w:ascii="Times New Roman" w:hAnsi="宋体" w:eastAsia="宋体" w:cs="Times New Roman"/>
                <w:szCs w:val="21"/>
              </w:rPr>
              <w:t>评价人</w:t>
            </w:r>
          </w:p>
        </w:tc>
        <w:tc>
          <w:tcPr>
            <w:tcW w:w="674" w:type="dxa"/>
            <w:vAlign w:val="center"/>
          </w:tcPr>
          <w:p>
            <w:pPr>
              <w:adjustRightInd w:val="0"/>
              <w:snapToGrid w:val="0"/>
              <w:rPr>
                <w:rFonts w:ascii="Times New Roman" w:hAnsi="Times New Roman" w:eastAsia="宋体" w:cs="Times New Roman"/>
                <w:szCs w:val="21"/>
              </w:rPr>
            </w:pPr>
            <w:r>
              <w:rPr>
                <w:rFonts w:ascii="Times New Roman" w:hAnsi="宋体" w:eastAsia="宋体" w:cs="Times New Roman"/>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spacing w:line="360" w:lineRule="auto"/>
              <w:rPr>
                <w:rFonts w:ascii="Times New Roman" w:hAnsi="Times New Roman" w:eastAsia="宋体" w:cs="Times New Roman"/>
                <w:szCs w:val="21"/>
              </w:rPr>
            </w:pPr>
            <w:r>
              <w:rPr>
                <w:rFonts w:ascii="Times New Roman" w:hAnsi="宋体" w:eastAsia="宋体" w:cs="Times New Roman"/>
                <w:szCs w:val="21"/>
              </w:rPr>
              <w:t>任务</w:t>
            </w:r>
            <w:r>
              <w:rPr>
                <w:rFonts w:ascii="Times New Roman" w:hAnsi="Times New Roman" w:eastAsia="宋体" w:cs="Times New Roman"/>
                <w:szCs w:val="21"/>
              </w:rPr>
              <w:t>1</w:t>
            </w:r>
          </w:p>
        </w:tc>
        <w:tc>
          <w:tcPr>
            <w:tcW w:w="1065" w:type="dxa"/>
            <w:gridSpan w:val="2"/>
            <w:vAlign w:val="center"/>
          </w:tcPr>
          <w:p>
            <w:pPr>
              <w:spacing w:line="360" w:lineRule="auto"/>
              <w:ind w:firstLine="420" w:firstLineChars="200"/>
              <w:rPr>
                <w:rFonts w:ascii="Times New Roman" w:hAnsi="Times New Roman" w:eastAsia="宋体" w:cs="Times New Roman"/>
                <w:szCs w:val="21"/>
              </w:rPr>
            </w:pPr>
          </w:p>
        </w:tc>
        <w:tc>
          <w:tcPr>
            <w:tcW w:w="1218" w:type="dxa"/>
            <w:gridSpan w:val="2"/>
            <w:vAlign w:val="center"/>
          </w:tcPr>
          <w:p>
            <w:pPr>
              <w:spacing w:line="360" w:lineRule="auto"/>
              <w:ind w:firstLine="420" w:firstLineChars="200"/>
              <w:rPr>
                <w:rFonts w:ascii="Times New Roman" w:hAnsi="Times New Roman" w:eastAsia="宋体" w:cs="Times New Roman"/>
                <w:szCs w:val="21"/>
              </w:rPr>
            </w:pPr>
          </w:p>
        </w:tc>
        <w:tc>
          <w:tcPr>
            <w:tcW w:w="1080" w:type="dxa"/>
            <w:gridSpan w:val="2"/>
            <w:vAlign w:val="center"/>
          </w:tcPr>
          <w:p>
            <w:pPr>
              <w:spacing w:line="360" w:lineRule="auto"/>
              <w:ind w:firstLine="420" w:firstLineChars="200"/>
              <w:rPr>
                <w:rFonts w:ascii="Times New Roman" w:hAnsi="Times New Roman" w:eastAsia="宋体" w:cs="Times New Roman"/>
                <w:szCs w:val="21"/>
              </w:rPr>
            </w:pPr>
          </w:p>
        </w:tc>
        <w:tc>
          <w:tcPr>
            <w:tcW w:w="1440" w:type="dxa"/>
            <w:gridSpan w:val="2"/>
            <w:vAlign w:val="center"/>
          </w:tcPr>
          <w:p>
            <w:pPr>
              <w:spacing w:line="360" w:lineRule="auto"/>
              <w:ind w:firstLine="420" w:firstLineChars="200"/>
              <w:rPr>
                <w:rFonts w:ascii="Times New Roman" w:hAnsi="Times New Roman" w:eastAsia="宋体" w:cs="Times New Roman"/>
                <w:szCs w:val="21"/>
              </w:rPr>
            </w:pPr>
          </w:p>
        </w:tc>
        <w:tc>
          <w:tcPr>
            <w:tcW w:w="1080" w:type="dxa"/>
            <w:gridSpan w:val="3"/>
            <w:vAlign w:val="center"/>
          </w:tcPr>
          <w:p>
            <w:pPr>
              <w:spacing w:line="360" w:lineRule="auto"/>
              <w:ind w:firstLine="420" w:firstLineChars="200"/>
              <w:rPr>
                <w:rFonts w:ascii="Times New Roman" w:hAnsi="Times New Roman" w:eastAsia="宋体" w:cs="Times New Roman"/>
                <w:szCs w:val="21"/>
              </w:rPr>
            </w:pPr>
          </w:p>
        </w:tc>
        <w:tc>
          <w:tcPr>
            <w:tcW w:w="900" w:type="dxa"/>
            <w:gridSpan w:val="2"/>
            <w:vAlign w:val="center"/>
          </w:tcPr>
          <w:p>
            <w:pPr>
              <w:spacing w:line="360" w:lineRule="auto"/>
              <w:ind w:firstLine="420" w:firstLineChars="200"/>
              <w:rPr>
                <w:rFonts w:ascii="Times New Roman" w:hAnsi="Times New Roman" w:eastAsia="宋体" w:cs="Times New Roman"/>
                <w:szCs w:val="21"/>
              </w:rPr>
            </w:pPr>
          </w:p>
        </w:tc>
        <w:tc>
          <w:tcPr>
            <w:tcW w:w="674" w:type="dxa"/>
            <w:vAlign w:val="center"/>
          </w:tcPr>
          <w:p>
            <w:pPr>
              <w:spacing w:line="360" w:lineRule="auto"/>
              <w:ind w:firstLine="420" w:firstLineChars="200"/>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spacing w:line="360" w:lineRule="auto"/>
              <w:rPr>
                <w:rFonts w:ascii="Times New Roman" w:hAnsi="Times New Roman" w:eastAsia="宋体" w:cs="Times New Roman"/>
                <w:szCs w:val="21"/>
              </w:rPr>
            </w:pPr>
            <w:r>
              <w:rPr>
                <w:rFonts w:ascii="Times New Roman" w:hAnsi="宋体" w:eastAsia="宋体" w:cs="Times New Roman"/>
                <w:szCs w:val="21"/>
              </w:rPr>
              <w:t>任务</w:t>
            </w:r>
            <w:r>
              <w:rPr>
                <w:rFonts w:ascii="Times New Roman" w:hAnsi="Times New Roman" w:eastAsia="宋体" w:cs="Times New Roman"/>
                <w:szCs w:val="21"/>
              </w:rPr>
              <w:t>2</w:t>
            </w:r>
          </w:p>
        </w:tc>
        <w:tc>
          <w:tcPr>
            <w:tcW w:w="1065" w:type="dxa"/>
            <w:gridSpan w:val="2"/>
            <w:vAlign w:val="center"/>
          </w:tcPr>
          <w:p>
            <w:pPr>
              <w:spacing w:line="360" w:lineRule="auto"/>
              <w:ind w:firstLine="420" w:firstLineChars="200"/>
              <w:rPr>
                <w:rFonts w:ascii="Times New Roman" w:hAnsi="Times New Roman" w:eastAsia="宋体" w:cs="Times New Roman"/>
                <w:szCs w:val="21"/>
              </w:rPr>
            </w:pPr>
          </w:p>
        </w:tc>
        <w:tc>
          <w:tcPr>
            <w:tcW w:w="1218" w:type="dxa"/>
            <w:gridSpan w:val="2"/>
            <w:vAlign w:val="center"/>
          </w:tcPr>
          <w:p>
            <w:pPr>
              <w:spacing w:line="360" w:lineRule="auto"/>
              <w:ind w:firstLine="420" w:firstLineChars="200"/>
              <w:rPr>
                <w:rFonts w:ascii="Times New Roman" w:hAnsi="Times New Roman" w:eastAsia="宋体" w:cs="Times New Roman"/>
                <w:szCs w:val="21"/>
              </w:rPr>
            </w:pPr>
          </w:p>
        </w:tc>
        <w:tc>
          <w:tcPr>
            <w:tcW w:w="1080" w:type="dxa"/>
            <w:gridSpan w:val="2"/>
            <w:vAlign w:val="center"/>
          </w:tcPr>
          <w:p>
            <w:pPr>
              <w:spacing w:line="360" w:lineRule="auto"/>
              <w:ind w:firstLine="420" w:firstLineChars="200"/>
              <w:rPr>
                <w:rFonts w:ascii="Times New Roman" w:hAnsi="Times New Roman" w:eastAsia="宋体" w:cs="Times New Roman"/>
                <w:szCs w:val="21"/>
              </w:rPr>
            </w:pPr>
          </w:p>
        </w:tc>
        <w:tc>
          <w:tcPr>
            <w:tcW w:w="1440" w:type="dxa"/>
            <w:gridSpan w:val="2"/>
            <w:vAlign w:val="center"/>
          </w:tcPr>
          <w:p>
            <w:pPr>
              <w:spacing w:line="360" w:lineRule="auto"/>
              <w:ind w:firstLine="420" w:firstLineChars="200"/>
              <w:rPr>
                <w:rFonts w:ascii="Times New Roman" w:hAnsi="Times New Roman" w:eastAsia="宋体" w:cs="Times New Roman"/>
                <w:szCs w:val="21"/>
              </w:rPr>
            </w:pPr>
          </w:p>
        </w:tc>
        <w:tc>
          <w:tcPr>
            <w:tcW w:w="1080" w:type="dxa"/>
            <w:gridSpan w:val="3"/>
            <w:vAlign w:val="center"/>
          </w:tcPr>
          <w:p>
            <w:pPr>
              <w:spacing w:line="360" w:lineRule="auto"/>
              <w:ind w:firstLine="420" w:firstLineChars="200"/>
              <w:rPr>
                <w:rFonts w:ascii="Times New Roman" w:hAnsi="Times New Roman" w:eastAsia="宋体" w:cs="Times New Roman"/>
                <w:szCs w:val="21"/>
              </w:rPr>
            </w:pPr>
          </w:p>
        </w:tc>
        <w:tc>
          <w:tcPr>
            <w:tcW w:w="900" w:type="dxa"/>
            <w:gridSpan w:val="2"/>
            <w:vAlign w:val="center"/>
          </w:tcPr>
          <w:p>
            <w:pPr>
              <w:spacing w:line="360" w:lineRule="auto"/>
              <w:ind w:firstLine="420" w:firstLineChars="200"/>
              <w:rPr>
                <w:rFonts w:ascii="Times New Roman" w:hAnsi="Times New Roman" w:eastAsia="宋体" w:cs="Times New Roman"/>
                <w:szCs w:val="21"/>
              </w:rPr>
            </w:pPr>
          </w:p>
        </w:tc>
        <w:tc>
          <w:tcPr>
            <w:tcW w:w="674" w:type="dxa"/>
            <w:vAlign w:val="center"/>
          </w:tcPr>
          <w:p>
            <w:pPr>
              <w:spacing w:line="360" w:lineRule="auto"/>
              <w:ind w:firstLine="420" w:firstLineChars="200"/>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spacing w:line="360" w:lineRule="auto"/>
              <w:rPr>
                <w:rFonts w:ascii="Times New Roman" w:hAnsi="Times New Roman" w:eastAsia="宋体" w:cs="Times New Roman"/>
                <w:szCs w:val="21"/>
              </w:rPr>
            </w:pPr>
            <w:r>
              <w:rPr>
                <w:rFonts w:ascii="Times New Roman" w:hAnsi="宋体" w:eastAsia="宋体" w:cs="Times New Roman"/>
                <w:szCs w:val="21"/>
              </w:rPr>
              <w:t>任务</w:t>
            </w:r>
            <w:r>
              <w:rPr>
                <w:rFonts w:ascii="Times New Roman" w:hAnsi="Times New Roman" w:eastAsia="宋体" w:cs="Times New Roman"/>
                <w:szCs w:val="21"/>
              </w:rPr>
              <w:t>3</w:t>
            </w:r>
          </w:p>
        </w:tc>
        <w:tc>
          <w:tcPr>
            <w:tcW w:w="1065" w:type="dxa"/>
            <w:gridSpan w:val="2"/>
            <w:vAlign w:val="center"/>
          </w:tcPr>
          <w:p>
            <w:pPr>
              <w:spacing w:line="360" w:lineRule="auto"/>
              <w:ind w:firstLine="420" w:firstLineChars="200"/>
              <w:rPr>
                <w:rFonts w:ascii="Times New Roman" w:hAnsi="Times New Roman" w:eastAsia="宋体" w:cs="Times New Roman"/>
                <w:szCs w:val="21"/>
              </w:rPr>
            </w:pPr>
          </w:p>
        </w:tc>
        <w:tc>
          <w:tcPr>
            <w:tcW w:w="1218" w:type="dxa"/>
            <w:gridSpan w:val="2"/>
            <w:vAlign w:val="center"/>
          </w:tcPr>
          <w:p>
            <w:pPr>
              <w:spacing w:line="360" w:lineRule="auto"/>
              <w:ind w:firstLine="420" w:firstLineChars="200"/>
              <w:rPr>
                <w:rFonts w:ascii="Times New Roman" w:hAnsi="Times New Roman" w:eastAsia="宋体" w:cs="Times New Roman"/>
                <w:szCs w:val="21"/>
              </w:rPr>
            </w:pPr>
          </w:p>
        </w:tc>
        <w:tc>
          <w:tcPr>
            <w:tcW w:w="1080" w:type="dxa"/>
            <w:gridSpan w:val="2"/>
            <w:vAlign w:val="center"/>
          </w:tcPr>
          <w:p>
            <w:pPr>
              <w:spacing w:line="360" w:lineRule="auto"/>
              <w:ind w:firstLine="420" w:firstLineChars="200"/>
              <w:rPr>
                <w:rFonts w:ascii="Times New Roman" w:hAnsi="Times New Roman" w:eastAsia="宋体" w:cs="Times New Roman"/>
                <w:szCs w:val="21"/>
              </w:rPr>
            </w:pPr>
          </w:p>
        </w:tc>
        <w:tc>
          <w:tcPr>
            <w:tcW w:w="1440" w:type="dxa"/>
            <w:gridSpan w:val="2"/>
            <w:vAlign w:val="center"/>
          </w:tcPr>
          <w:p>
            <w:pPr>
              <w:spacing w:line="360" w:lineRule="auto"/>
              <w:ind w:firstLine="420" w:firstLineChars="200"/>
              <w:rPr>
                <w:rFonts w:ascii="Times New Roman" w:hAnsi="Times New Roman" w:eastAsia="宋体" w:cs="Times New Roman"/>
                <w:szCs w:val="21"/>
              </w:rPr>
            </w:pPr>
          </w:p>
        </w:tc>
        <w:tc>
          <w:tcPr>
            <w:tcW w:w="1080" w:type="dxa"/>
            <w:gridSpan w:val="3"/>
            <w:vAlign w:val="center"/>
          </w:tcPr>
          <w:p>
            <w:pPr>
              <w:spacing w:line="360" w:lineRule="auto"/>
              <w:ind w:firstLine="420" w:firstLineChars="200"/>
              <w:rPr>
                <w:rFonts w:ascii="Times New Roman" w:hAnsi="Times New Roman" w:eastAsia="宋体" w:cs="Times New Roman"/>
                <w:szCs w:val="21"/>
              </w:rPr>
            </w:pPr>
          </w:p>
        </w:tc>
        <w:tc>
          <w:tcPr>
            <w:tcW w:w="900" w:type="dxa"/>
            <w:gridSpan w:val="2"/>
            <w:vAlign w:val="center"/>
          </w:tcPr>
          <w:p>
            <w:pPr>
              <w:spacing w:line="360" w:lineRule="auto"/>
              <w:ind w:firstLine="420" w:firstLineChars="200"/>
              <w:rPr>
                <w:rFonts w:ascii="Times New Roman" w:hAnsi="Times New Roman" w:eastAsia="宋体" w:cs="Times New Roman"/>
                <w:szCs w:val="21"/>
              </w:rPr>
            </w:pPr>
          </w:p>
        </w:tc>
        <w:tc>
          <w:tcPr>
            <w:tcW w:w="674" w:type="dxa"/>
            <w:vAlign w:val="center"/>
          </w:tcPr>
          <w:p>
            <w:pPr>
              <w:spacing w:line="360" w:lineRule="auto"/>
              <w:ind w:firstLine="420" w:firstLineChars="200"/>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spacing w:line="360" w:lineRule="auto"/>
              <w:rPr>
                <w:rFonts w:ascii="Times New Roman" w:hAnsi="Times New Roman" w:eastAsia="宋体" w:cs="Times New Roman"/>
                <w:szCs w:val="21"/>
              </w:rPr>
            </w:pPr>
            <w:r>
              <w:rPr>
                <w:rFonts w:ascii="Times New Roman" w:hAnsi="宋体" w:eastAsia="宋体" w:cs="Times New Roman"/>
                <w:szCs w:val="21"/>
              </w:rPr>
              <w:t>任务</w:t>
            </w:r>
            <w:r>
              <w:rPr>
                <w:rFonts w:ascii="Times New Roman" w:hAnsi="Times New Roman" w:eastAsia="宋体" w:cs="Times New Roman"/>
                <w:szCs w:val="21"/>
              </w:rPr>
              <w:t>4</w:t>
            </w:r>
          </w:p>
        </w:tc>
        <w:tc>
          <w:tcPr>
            <w:tcW w:w="1065" w:type="dxa"/>
            <w:gridSpan w:val="2"/>
            <w:vAlign w:val="center"/>
          </w:tcPr>
          <w:p>
            <w:pPr>
              <w:spacing w:line="360" w:lineRule="auto"/>
              <w:ind w:firstLine="420" w:firstLineChars="200"/>
              <w:rPr>
                <w:rFonts w:ascii="Times New Roman" w:hAnsi="Times New Roman" w:eastAsia="宋体" w:cs="Times New Roman"/>
                <w:szCs w:val="21"/>
              </w:rPr>
            </w:pPr>
          </w:p>
        </w:tc>
        <w:tc>
          <w:tcPr>
            <w:tcW w:w="1218" w:type="dxa"/>
            <w:gridSpan w:val="2"/>
            <w:vAlign w:val="center"/>
          </w:tcPr>
          <w:p>
            <w:pPr>
              <w:spacing w:line="360" w:lineRule="auto"/>
              <w:ind w:firstLine="420" w:firstLineChars="200"/>
              <w:rPr>
                <w:rFonts w:ascii="Times New Roman" w:hAnsi="Times New Roman" w:eastAsia="宋体" w:cs="Times New Roman"/>
                <w:szCs w:val="21"/>
              </w:rPr>
            </w:pPr>
          </w:p>
        </w:tc>
        <w:tc>
          <w:tcPr>
            <w:tcW w:w="1080" w:type="dxa"/>
            <w:gridSpan w:val="2"/>
            <w:vAlign w:val="center"/>
          </w:tcPr>
          <w:p>
            <w:pPr>
              <w:spacing w:line="360" w:lineRule="auto"/>
              <w:ind w:firstLine="420" w:firstLineChars="200"/>
              <w:rPr>
                <w:rFonts w:ascii="Times New Roman" w:hAnsi="Times New Roman" w:eastAsia="宋体" w:cs="Times New Roman"/>
                <w:szCs w:val="21"/>
              </w:rPr>
            </w:pPr>
          </w:p>
        </w:tc>
        <w:tc>
          <w:tcPr>
            <w:tcW w:w="1440" w:type="dxa"/>
            <w:gridSpan w:val="2"/>
            <w:vAlign w:val="center"/>
          </w:tcPr>
          <w:p>
            <w:pPr>
              <w:spacing w:line="360" w:lineRule="auto"/>
              <w:ind w:firstLine="420" w:firstLineChars="200"/>
              <w:rPr>
                <w:rFonts w:ascii="Times New Roman" w:hAnsi="Times New Roman" w:eastAsia="宋体" w:cs="Times New Roman"/>
                <w:szCs w:val="21"/>
              </w:rPr>
            </w:pPr>
          </w:p>
        </w:tc>
        <w:tc>
          <w:tcPr>
            <w:tcW w:w="1080" w:type="dxa"/>
            <w:gridSpan w:val="3"/>
            <w:vAlign w:val="center"/>
          </w:tcPr>
          <w:p>
            <w:pPr>
              <w:spacing w:line="360" w:lineRule="auto"/>
              <w:ind w:firstLine="420" w:firstLineChars="200"/>
              <w:rPr>
                <w:rFonts w:ascii="Times New Roman" w:hAnsi="Times New Roman" w:eastAsia="宋体" w:cs="Times New Roman"/>
                <w:szCs w:val="21"/>
              </w:rPr>
            </w:pPr>
          </w:p>
        </w:tc>
        <w:tc>
          <w:tcPr>
            <w:tcW w:w="900" w:type="dxa"/>
            <w:gridSpan w:val="2"/>
            <w:vAlign w:val="center"/>
          </w:tcPr>
          <w:p>
            <w:pPr>
              <w:spacing w:line="360" w:lineRule="auto"/>
              <w:ind w:firstLine="420" w:firstLineChars="200"/>
              <w:rPr>
                <w:rFonts w:ascii="Times New Roman" w:hAnsi="Times New Roman" w:eastAsia="宋体" w:cs="Times New Roman"/>
                <w:szCs w:val="21"/>
              </w:rPr>
            </w:pPr>
          </w:p>
        </w:tc>
        <w:tc>
          <w:tcPr>
            <w:tcW w:w="674" w:type="dxa"/>
            <w:vAlign w:val="center"/>
          </w:tcPr>
          <w:p>
            <w:pPr>
              <w:spacing w:line="360" w:lineRule="auto"/>
              <w:ind w:firstLine="420" w:firstLineChars="200"/>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w:t>
            </w:r>
          </w:p>
        </w:tc>
        <w:tc>
          <w:tcPr>
            <w:tcW w:w="1065" w:type="dxa"/>
            <w:gridSpan w:val="2"/>
            <w:vAlign w:val="center"/>
          </w:tcPr>
          <w:p>
            <w:pPr>
              <w:spacing w:line="360" w:lineRule="auto"/>
              <w:ind w:firstLine="420" w:firstLineChars="200"/>
              <w:rPr>
                <w:rFonts w:ascii="Times New Roman" w:hAnsi="Times New Roman" w:eastAsia="宋体" w:cs="Times New Roman"/>
                <w:szCs w:val="21"/>
              </w:rPr>
            </w:pPr>
          </w:p>
        </w:tc>
        <w:tc>
          <w:tcPr>
            <w:tcW w:w="1218" w:type="dxa"/>
            <w:gridSpan w:val="2"/>
            <w:vAlign w:val="center"/>
          </w:tcPr>
          <w:p>
            <w:pPr>
              <w:spacing w:line="360" w:lineRule="auto"/>
              <w:ind w:firstLine="420" w:firstLineChars="200"/>
              <w:rPr>
                <w:rFonts w:ascii="Times New Roman" w:hAnsi="Times New Roman" w:eastAsia="宋体" w:cs="Times New Roman"/>
                <w:szCs w:val="21"/>
              </w:rPr>
            </w:pPr>
          </w:p>
        </w:tc>
        <w:tc>
          <w:tcPr>
            <w:tcW w:w="1080" w:type="dxa"/>
            <w:gridSpan w:val="2"/>
            <w:vAlign w:val="center"/>
          </w:tcPr>
          <w:p>
            <w:pPr>
              <w:spacing w:line="360" w:lineRule="auto"/>
              <w:ind w:firstLine="420" w:firstLineChars="200"/>
              <w:rPr>
                <w:rFonts w:ascii="Times New Roman" w:hAnsi="Times New Roman" w:eastAsia="宋体" w:cs="Times New Roman"/>
                <w:szCs w:val="21"/>
              </w:rPr>
            </w:pPr>
          </w:p>
        </w:tc>
        <w:tc>
          <w:tcPr>
            <w:tcW w:w="1440" w:type="dxa"/>
            <w:gridSpan w:val="2"/>
            <w:vAlign w:val="center"/>
          </w:tcPr>
          <w:p>
            <w:pPr>
              <w:spacing w:line="360" w:lineRule="auto"/>
              <w:ind w:firstLine="420" w:firstLineChars="200"/>
              <w:rPr>
                <w:rFonts w:ascii="Times New Roman" w:hAnsi="Times New Roman" w:eastAsia="宋体" w:cs="Times New Roman"/>
                <w:szCs w:val="21"/>
              </w:rPr>
            </w:pPr>
          </w:p>
        </w:tc>
        <w:tc>
          <w:tcPr>
            <w:tcW w:w="1080" w:type="dxa"/>
            <w:gridSpan w:val="3"/>
            <w:vAlign w:val="center"/>
          </w:tcPr>
          <w:p>
            <w:pPr>
              <w:spacing w:line="360" w:lineRule="auto"/>
              <w:ind w:firstLine="420" w:firstLineChars="200"/>
              <w:rPr>
                <w:rFonts w:ascii="Times New Roman" w:hAnsi="Times New Roman" w:eastAsia="宋体" w:cs="Times New Roman"/>
                <w:szCs w:val="21"/>
              </w:rPr>
            </w:pPr>
          </w:p>
        </w:tc>
        <w:tc>
          <w:tcPr>
            <w:tcW w:w="900" w:type="dxa"/>
            <w:gridSpan w:val="2"/>
            <w:vAlign w:val="center"/>
          </w:tcPr>
          <w:p>
            <w:pPr>
              <w:spacing w:line="360" w:lineRule="auto"/>
              <w:ind w:firstLine="420" w:firstLineChars="200"/>
              <w:rPr>
                <w:rFonts w:ascii="Times New Roman" w:hAnsi="Times New Roman" w:eastAsia="宋体" w:cs="Times New Roman"/>
                <w:szCs w:val="21"/>
              </w:rPr>
            </w:pPr>
          </w:p>
        </w:tc>
        <w:tc>
          <w:tcPr>
            <w:tcW w:w="674" w:type="dxa"/>
            <w:vAlign w:val="center"/>
          </w:tcPr>
          <w:p>
            <w:pPr>
              <w:spacing w:line="360" w:lineRule="auto"/>
              <w:ind w:firstLine="420" w:firstLineChars="200"/>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spacing w:line="360" w:lineRule="auto"/>
              <w:rPr>
                <w:rFonts w:ascii="Times New Roman" w:hAnsi="Times New Roman" w:eastAsia="宋体" w:cs="Times New Roman"/>
                <w:szCs w:val="21"/>
              </w:rPr>
            </w:pPr>
            <w:r>
              <w:rPr>
                <w:rFonts w:ascii="Times New Roman" w:hAnsi="宋体" w:eastAsia="宋体" w:cs="Times New Roman"/>
                <w:szCs w:val="21"/>
              </w:rPr>
              <w:t>任务</w:t>
            </w:r>
            <w:r>
              <w:rPr>
                <w:rFonts w:ascii="Times New Roman" w:hAnsi="Times New Roman" w:eastAsia="宋体" w:cs="Times New Roman"/>
                <w:szCs w:val="21"/>
              </w:rPr>
              <w:t>18</w:t>
            </w:r>
          </w:p>
        </w:tc>
        <w:tc>
          <w:tcPr>
            <w:tcW w:w="1065" w:type="dxa"/>
            <w:gridSpan w:val="2"/>
            <w:vAlign w:val="center"/>
          </w:tcPr>
          <w:p>
            <w:pPr>
              <w:spacing w:line="360" w:lineRule="auto"/>
              <w:ind w:firstLine="420" w:firstLineChars="200"/>
              <w:rPr>
                <w:rFonts w:ascii="Times New Roman" w:hAnsi="Times New Roman" w:eastAsia="宋体" w:cs="Times New Roman"/>
                <w:szCs w:val="21"/>
              </w:rPr>
            </w:pPr>
          </w:p>
        </w:tc>
        <w:tc>
          <w:tcPr>
            <w:tcW w:w="1218" w:type="dxa"/>
            <w:gridSpan w:val="2"/>
            <w:vAlign w:val="center"/>
          </w:tcPr>
          <w:p>
            <w:pPr>
              <w:spacing w:line="360" w:lineRule="auto"/>
              <w:ind w:firstLine="420" w:firstLineChars="200"/>
              <w:rPr>
                <w:rFonts w:ascii="Times New Roman" w:hAnsi="Times New Roman" w:eastAsia="宋体" w:cs="Times New Roman"/>
                <w:szCs w:val="21"/>
              </w:rPr>
            </w:pPr>
          </w:p>
        </w:tc>
        <w:tc>
          <w:tcPr>
            <w:tcW w:w="1080" w:type="dxa"/>
            <w:gridSpan w:val="2"/>
            <w:vAlign w:val="center"/>
          </w:tcPr>
          <w:p>
            <w:pPr>
              <w:spacing w:line="360" w:lineRule="auto"/>
              <w:ind w:firstLine="420" w:firstLineChars="200"/>
              <w:rPr>
                <w:rFonts w:ascii="Times New Roman" w:hAnsi="Times New Roman" w:eastAsia="宋体" w:cs="Times New Roman"/>
                <w:szCs w:val="21"/>
              </w:rPr>
            </w:pPr>
          </w:p>
        </w:tc>
        <w:tc>
          <w:tcPr>
            <w:tcW w:w="1440" w:type="dxa"/>
            <w:gridSpan w:val="2"/>
            <w:vAlign w:val="center"/>
          </w:tcPr>
          <w:p>
            <w:pPr>
              <w:spacing w:line="360" w:lineRule="auto"/>
              <w:ind w:firstLine="420" w:firstLineChars="200"/>
              <w:rPr>
                <w:rFonts w:ascii="Times New Roman" w:hAnsi="Times New Roman" w:eastAsia="宋体" w:cs="Times New Roman"/>
                <w:szCs w:val="21"/>
              </w:rPr>
            </w:pPr>
          </w:p>
        </w:tc>
        <w:tc>
          <w:tcPr>
            <w:tcW w:w="1080" w:type="dxa"/>
            <w:gridSpan w:val="3"/>
            <w:vAlign w:val="center"/>
          </w:tcPr>
          <w:p>
            <w:pPr>
              <w:spacing w:line="360" w:lineRule="auto"/>
              <w:ind w:firstLine="420" w:firstLineChars="200"/>
              <w:rPr>
                <w:rFonts w:ascii="Times New Roman" w:hAnsi="Times New Roman" w:eastAsia="宋体" w:cs="Times New Roman"/>
                <w:szCs w:val="21"/>
              </w:rPr>
            </w:pPr>
          </w:p>
        </w:tc>
        <w:tc>
          <w:tcPr>
            <w:tcW w:w="900" w:type="dxa"/>
            <w:gridSpan w:val="2"/>
            <w:vAlign w:val="center"/>
          </w:tcPr>
          <w:p>
            <w:pPr>
              <w:spacing w:line="360" w:lineRule="auto"/>
              <w:ind w:firstLine="420" w:firstLineChars="200"/>
              <w:rPr>
                <w:rFonts w:ascii="Times New Roman" w:hAnsi="Times New Roman" w:eastAsia="宋体" w:cs="Times New Roman"/>
                <w:szCs w:val="21"/>
              </w:rPr>
            </w:pPr>
          </w:p>
        </w:tc>
        <w:tc>
          <w:tcPr>
            <w:tcW w:w="674" w:type="dxa"/>
            <w:vAlign w:val="center"/>
          </w:tcPr>
          <w:p>
            <w:pPr>
              <w:spacing w:line="360" w:lineRule="auto"/>
              <w:ind w:firstLine="420" w:firstLineChars="200"/>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15"/>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阶段评价（</w:t>
            </w:r>
            <w:r>
              <w:rPr>
                <w:rFonts w:ascii="Times New Roman" w:hAnsi="Times New Roman" w:eastAsia="宋体" w:cs="Times New Roman"/>
                <w:szCs w:val="21"/>
              </w:rPr>
              <w:t>20%</w:t>
            </w:r>
            <w:r>
              <w:rPr>
                <w:rFonts w:ascii="Times New Roman" w:hAnsi="宋体" w:eastAsia="宋体"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gridSpan w:val="3"/>
            <w:vAlign w:val="center"/>
          </w:tcPr>
          <w:p>
            <w:pPr>
              <w:spacing w:line="360" w:lineRule="auto"/>
              <w:rPr>
                <w:rFonts w:ascii="Times New Roman" w:hAnsi="Times New Roman" w:eastAsia="宋体" w:cs="Times New Roman"/>
                <w:szCs w:val="21"/>
              </w:rPr>
            </w:pPr>
            <w:r>
              <w:rPr>
                <w:rFonts w:ascii="Times New Roman" w:hAnsi="宋体" w:eastAsia="宋体" w:cs="Times New Roman"/>
                <w:szCs w:val="21"/>
              </w:rPr>
              <w:t>理论考试（</w:t>
            </w:r>
            <w:r>
              <w:rPr>
                <w:rFonts w:ascii="Times New Roman" w:hAnsi="Times New Roman" w:eastAsia="宋体" w:cs="Times New Roman"/>
                <w:szCs w:val="21"/>
              </w:rPr>
              <w:t>50</w:t>
            </w:r>
            <w:r>
              <w:rPr>
                <w:rFonts w:ascii="Times New Roman" w:hAnsi="宋体" w:eastAsia="宋体" w:cs="Times New Roman"/>
                <w:szCs w:val="21"/>
              </w:rPr>
              <w:t>分）</w:t>
            </w:r>
          </w:p>
        </w:tc>
        <w:tc>
          <w:tcPr>
            <w:tcW w:w="2130" w:type="dxa"/>
            <w:gridSpan w:val="3"/>
            <w:vAlign w:val="center"/>
          </w:tcPr>
          <w:p>
            <w:pPr>
              <w:spacing w:line="360" w:lineRule="auto"/>
              <w:ind w:firstLine="420" w:firstLineChars="200"/>
              <w:rPr>
                <w:rFonts w:ascii="Times New Roman" w:hAnsi="Times New Roman" w:eastAsia="宋体" w:cs="Times New Roman"/>
                <w:szCs w:val="21"/>
              </w:rPr>
            </w:pPr>
          </w:p>
        </w:tc>
        <w:tc>
          <w:tcPr>
            <w:tcW w:w="2508" w:type="dxa"/>
            <w:gridSpan w:val="5"/>
            <w:vAlign w:val="center"/>
          </w:tcPr>
          <w:p>
            <w:pPr>
              <w:spacing w:line="360" w:lineRule="auto"/>
              <w:rPr>
                <w:rFonts w:ascii="Times New Roman" w:hAnsi="Times New Roman" w:eastAsia="宋体" w:cs="Times New Roman"/>
                <w:szCs w:val="21"/>
              </w:rPr>
            </w:pPr>
            <w:r>
              <w:rPr>
                <w:rFonts w:ascii="Times New Roman" w:hAnsi="宋体" w:eastAsia="宋体" w:cs="Times New Roman"/>
                <w:szCs w:val="21"/>
              </w:rPr>
              <w:t>实践考试（</w:t>
            </w:r>
            <w:r>
              <w:rPr>
                <w:rFonts w:ascii="Times New Roman" w:hAnsi="Times New Roman" w:eastAsia="宋体" w:cs="Times New Roman"/>
                <w:szCs w:val="21"/>
              </w:rPr>
              <w:t>50</w:t>
            </w:r>
            <w:r>
              <w:rPr>
                <w:rFonts w:ascii="Times New Roman" w:hAnsi="宋体" w:eastAsia="宋体" w:cs="Times New Roman"/>
                <w:szCs w:val="21"/>
              </w:rPr>
              <w:t>分）</w:t>
            </w:r>
          </w:p>
        </w:tc>
        <w:tc>
          <w:tcPr>
            <w:tcW w:w="1754" w:type="dxa"/>
            <w:gridSpan w:val="4"/>
            <w:vAlign w:val="center"/>
          </w:tcPr>
          <w:p>
            <w:pPr>
              <w:spacing w:line="360" w:lineRule="auto"/>
              <w:ind w:firstLine="420" w:firstLineChars="200"/>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15"/>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期末考试综合评价（</w:t>
            </w:r>
            <w:r>
              <w:rPr>
                <w:rFonts w:ascii="Times New Roman" w:hAnsi="Times New Roman" w:eastAsia="宋体" w:cs="Times New Roman"/>
                <w:szCs w:val="21"/>
              </w:rPr>
              <w:t>20%</w:t>
            </w:r>
            <w:r>
              <w:rPr>
                <w:rFonts w:ascii="Times New Roman" w:hAnsi="宋体" w:eastAsia="宋体"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0" w:type="dxa"/>
            <w:gridSpan w:val="2"/>
            <w:vAlign w:val="center"/>
          </w:tcPr>
          <w:p>
            <w:pPr>
              <w:spacing w:line="360" w:lineRule="auto"/>
              <w:ind w:firstLine="420" w:firstLineChars="200"/>
              <w:rPr>
                <w:rFonts w:ascii="Times New Roman" w:hAnsi="Times New Roman" w:eastAsia="宋体" w:cs="Times New Roman"/>
                <w:szCs w:val="21"/>
              </w:rPr>
            </w:pPr>
            <w:r>
              <w:rPr>
                <w:rFonts w:ascii="Times New Roman" w:hAnsi="宋体" w:eastAsia="宋体" w:cs="Times New Roman"/>
                <w:szCs w:val="21"/>
              </w:rPr>
              <w:t>总分（</w:t>
            </w:r>
            <w:r>
              <w:rPr>
                <w:rFonts w:ascii="Times New Roman" w:hAnsi="Times New Roman" w:eastAsia="宋体" w:cs="Times New Roman"/>
                <w:szCs w:val="21"/>
              </w:rPr>
              <w:t>100</w:t>
            </w:r>
            <w:r>
              <w:rPr>
                <w:rFonts w:ascii="Times New Roman" w:hAnsi="宋体" w:eastAsia="宋体" w:cs="Times New Roman"/>
                <w:szCs w:val="21"/>
              </w:rPr>
              <w:t>分）</w:t>
            </w:r>
          </w:p>
        </w:tc>
        <w:tc>
          <w:tcPr>
            <w:tcW w:w="6442" w:type="dxa"/>
            <w:gridSpan w:val="13"/>
            <w:vAlign w:val="center"/>
          </w:tcPr>
          <w:p>
            <w:pPr>
              <w:spacing w:line="360" w:lineRule="auto"/>
              <w:ind w:firstLine="420" w:firstLineChars="200"/>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0" w:type="dxa"/>
            <w:gridSpan w:val="2"/>
            <w:vAlign w:val="center"/>
          </w:tcPr>
          <w:p>
            <w:pPr>
              <w:spacing w:line="360" w:lineRule="auto"/>
              <w:ind w:firstLine="420" w:firstLineChars="200"/>
              <w:rPr>
                <w:rFonts w:ascii="Times New Roman" w:hAnsi="Times New Roman" w:eastAsia="宋体" w:cs="Times New Roman"/>
                <w:szCs w:val="21"/>
              </w:rPr>
            </w:pPr>
            <w:r>
              <w:rPr>
                <w:rFonts w:ascii="Times New Roman" w:hAnsi="宋体" w:eastAsia="宋体" w:cs="Times New Roman"/>
                <w:szCs w:val="21"/>
              </w:rPr>
              <w:t>学生最终成绩</w:t>
            </w:r>
          </w:p>
        </w:tc>
        <w:tc>
          <w:tcPr>
            <w:tcW w:w="6442" w:type="dxa"/>
            <w:gridSpan w:val="13"/>
            <w:vAlign w:val="center"/>
          </w:tcPr>
          <w:p>
            <w:pPr>
              <w:spacing w:line="360" w:lineRule="auto"/>
              <w:ind w:firstLine="420" w:firstLineChars="200"/>
              <w:rPr>
                <w:rFonts w:ascii="Times New Roman" w:hAnsi="Times New Roman" w:eastAsia="宋体" w:cs="Times New Roman"/>
                <w:szCs w:val="21"/>
              </w:rPr>
            </w:pPr>
          </w:p>
        </w:tc>
      </w:tr>
    </w:tbl>
    <w:p>
      <w:pPr>
        <w:adjustRightInd w:val="0"/>
        <w:snapToGrid w:val="0"/>
        <w:spacing w:beforeLines="50" w:line="360" w:lineRule="auto"/>
        <w:ind w:firstLine="480" w:firstLineChars="150"/>
        <w:rPr>
          <w:rFonts w:ascii="黑体" w:hAnsi="黑体" w:eastAsia="黑体" w:cs="Times New Roman"/>
          <w:sz w:val="32"/>
          <w:szCs w:val="32"/>
        </w:rPr>
      </w:pPr>
      <w:r>
        <w:rPr>
          <w:rFonts w:hint="eastAsia" w:ascii="黑体" w:hAnsi="黑体" w:eastAsia="黑体" w:cs="Times New Roman"/>
          <w:sz w:val="32"/>
          <w:szCs w:val="32"/>
        </w:rPr>
        <w:t>七、教学建议</w:t>
      </w:r>
    </w:p>
    <w:p>
      <w:pPr>
        <w:spacing w:line="360" w:lineRule="auto"/>
        <w:rPr>
          <w:rFonts w:ascii="宋体" w:hAnsi="宋体" w:eastAsia="宋体" w:cs="Times New Roman"/>
          <w:sz w:val="24"/>
        </w:rPr>
      </w:pPr>
      <w:r>
        <w:rPr>
          <w:rFonts w:hint="eastAsia" w:ascii="宋体" w:hAnsi="宋体" w:eastAsia="宋体" w:cs="Times New Roman"/>
          <w:sz w:val="24"/>
        </w:rPr>
        <w:t xml:space="preserve">    重视基础知识，加强学生的动手能力，借助现代化的教学手段，激发学生的学习兴趣，重视在教学过程中，激发和训练学生的创新思维，尽量与社会、生产生活相联系，培养学生的综合能力。</w:t>
      </w:r>
    </w:p>
    <w:p>
      <w:pPr>
        <w:adjustRightInd w:val="0"/>
        <w:snapToGrid w:val="0"/>
        <w:spacing w:beforeLines="50" w:line="360" w:lineRule="auto"/>
        <w:ind w:firstLine="480" w:firstLineChars="150"/>
        <w:rPr>
          <w:rFonts w:ascii="黑体" w:hAnsi="黑体" w:eastAsia="黑体" w:cs="Times New Roman"/>
          <w:sz w:val="32"/>
          <w:szCs w:val="32"/>
        </w:rPr>
      </w:pPr>
      <w:r>
        <w:rPr>
          <w:rFonts w:hint="eastAsia" w:ascii="黑体" w:hAnsi="黑体" w:eastAsia="黑体" w:cs="Times New Roman"/>
          <w:sz w:val="32"/>
          <w:szCs w:val="32"/>
        </w:rPr>
        <w:t>八、选用教材标准及推荐教材和参考用书（或课程网站）</w:t>
      </w:r>
    </w:p>
    <w:p>
      <w:pPr>
        <w:spacing w:line="360" w:lineRule="auto"/>
        <w:rPr>
          <w:rFonts w:ascii="宋体" w:hAnsi="宋体" w:eastAsia="宋体" w:cs="Times New Roman"/>
          <w:sz w:val="24"/>
        </w:rPr>
      </w:pPr>
      <w:r>
        <w:rPr>
          <w:rFonts w:hint="eastAsia" w:ascii="宋体" w:hAnsi="宋体" w:eastAsia="宋体" w:cs="Times New Roman"/>
          <w:sz w:val="24"/>
        </w:rPr>
        <w:t xml:space="preserve">    1.教材的选用</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在教材选用时要尽量选用理实一体化教材，教材内容涉及的概念讲解要深入浅出，并要配有大量实例分析，以使学生容易理解和掌握。在满足以上条件情况下，尽量选用教学设计新颖新的新教材。</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推荐教材：《化工设备机械基础》.赵军等主编. 化学工业出版社.</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2.参考用书</w:t>
      </w:r>
    </w:p>
    <w:p>
      <w:pPr>
        <w:spacing w:line="360" w:lineRule="auto"/>
        <w:ind w:firstLine="480" w:firstLineChars="200"/>
        <w:rPr>
          <w:rFonts w:ascii="宋体" w:hAnsi="宋体" w:eastAsia="宋体" w:cs="Times New Roman"/>
          <w:sz w:val="24"/>
        </w:rPr>
      </w:pPr>
      <w:r>
        <w:rPr>
          <w:rFonts w:hint="eastAsia" w:ascii="宋体" w:hAnsi="宋体" w:eastAsia="宋体" w:cs="Times New Roman"/>
          <w:sz w:val="24"/>
        </w:rPr>
        <w:t>《化工设备》.邢晓林主编.化学工业出版社.</w:t>
      </w:r>
    </w:p>
    <w:p>
      <w:pPr>
        <w:spacing w:line="360" w:lineRule="auto"/>
        <w:ind w:firstLine="480" w:firstLineChars="200"/>
        <w:rPr>
          <w:rFonts w:ascii="宋体" w:hAnsi="宋体" w:eastAsia="宋体" w:cs="Times New Roman"/>
          <w:kern w:val="0"/>
          <w:sz w:val="24"/>
        </w:rPr>
      </w:pPr>
      <w:r>
        <w:rPr>
          <w:rFonts w:hint="eastAsia" w:ascii="宋体" w:hAnsi="宋体" w:eastAsia="宋体" w:cs="Times New Roman"/>
          <w:sz w:val="24"/>
        </w:rPr>
        <w:t xml:space="preserve">《化工设备操作与维护》.马金才等主编，化学工业出版社. </w:t>
      </w:r>
      <w:bookmarkEnd w:id="91"/>
      <w:bookmarkEnd w:id="92"/>
      <w:bookmarkEnd w:id="93"/>
    </w:p>
    <w:p>
      <w:pPr>
        <w:pStyle w:val="3"/>
        <w:ind w:firstLine="480" w:firstLineChars="150"/>
        <w:rPr>
          <w:b w:val="0"/>
        </w:rPr>
      </w:pPr>
      <w:bookmarkStart w:id="94" w:name="_Toc27450"/>
      <w:bookmarkStart w:id="95" w:name="_Toc7340"/>
      <w:bookmarkStart w:id="96" w:name="_Toc17278764"/>
      <w:r>
        <w:rPr>
          <w:rFonts w:hint="eastAsia"/>
          <w:b w:val="0"/>
        </w:rPr>
        <w:t>《现代煤化工技术》核心课程标准</w:t>
      </w:r>
      <w:bookmarkEnd w:id="94"/>
      <w:bookmarkEnd w:id="95"/>
      <w:bookmarkEnd w:id="96"/>
    </w:p>
    <w:tbl>
      <w:tblPr>
        <w:tblStyle w:val="18"/>
        <w:tblW w:w="8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3274"/>
        <w:gridCol w:w="1620"/>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课程编码</w:t>
            </w:r>
          </w:p>
        </w:tc>
        <w:tc>
          <w:tcPr>
            <w:tcW w:w="3274" w:type="dxa"/>
            <w:vAlign w:val="center"/>
          </w:tcPr>
          <w:p>
            <w:pPr>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1003050</w:t>
            </w:r>
          </w:p>
        </w:tc>
        <w:tc>
          <w:tcPr>
            <w:tcW w:w="1620"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课程类别</w:t>
            </w:r>
          </w:p>
        </w:tc>
        <w:tc>
          <w:tcPr>
            <w:tcW w:w="199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专业</w:t>
            </w:r>
            <w:r>
              <w:rPr>
                <w:rFonts w:hint="eastAsia" w:ascii="Times New Roman" w:hAnsi="宋体" w:eastAsia="宋体" w:cs="Times New Roman"/>
                <w:szCs w:val="21"/>
              </w:rPr>
              <w:t>（技能）课程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计划学时</w:t>
            </w:r>
          </w:p>
        </w:tc>
        <w:tc>
          <w:tcPr>
            <w:tcW w:w="3274" w:type="dxa"/>
            <w:vAlign w:val="center"/>
          </w:tcPr>
          <w:p>
            <w:pPr>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72</w:t>
            </w:r>
          </w:p>
        </w:tc>
        <w:tc>
          <w:tcPr>
            <w:tcW w:w="1620"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课程类型</w:t>
            </w:r>
          </w:p>
        </w:tc>
        <w:tc>
          <w:tcPr>
            <w:tcW w:w="1994" w:type="dxa"/>
            <w:vAlign w:val="center"/>
          </w:tcPr>
          <w:p>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适用专业</w:t>
            </w:r>
          </w:p>
        </w:tc>
        <w:tc>
          <w:tcPr>
            <w:tcW w:w="327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应用化工技术</w:t>
            </w:r>
          </w:p>
        </w:tc>
        <w:tc>
          <w:tcPr>
            <w:tcW w:w="1620"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课程性质</w:t>
            </w:r>
          </w:p>
        </w:tc>
        <w:tc>
          <w:tcPr>
            <w:tcW w:w="199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专业必修课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33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开课学期</w:t>
            </w:r>
          </w:p>
        </w:tc>
        <w:tc>
          <w:tcPr>
            <w:tcW w:w="327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第</w:t>
            </w:r>
            <w:r>
              <w:rPr>
                <w:rFonts w:hint="eastAsia" w:ascii="Times New Roman" w:hAnsi="Times New Roman" w:eastAsia="宋体" w:cs="Times New Roman"/>
                <w:szCs w:val="21"/>
              </w:rPr>
              <w:t>4</w:t>
            </w:r>
            <w:r>
              <w:rPr>
                <w:rFonts w:ascii="Times New Roman" w:hAnsi="宋体" w:eastAsia="宋体" w:cs="Times New Roman"/>
                <w:szCs w:val="21"/>
              </w:rPr>
              <w:t>学期</w:t>
            </w:r>
          </w:p>
        </w:tc>
        <w:tc>
          <w:tcPr>
            <w:tcW w:w="1620"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学分</w:t>
            </w:r>
          </w:p>
        </w:tc>
        <w:tc>
          <w:tcPr>
            <w:tcW w:w="1994" w:type="dxa"/>
            <w:vAlign w:val="center"/>
          </w:tcPr>
          <w:p>
            <w:pPr>
              <w:spacing w:line="360" w:lineRule="auto"/>
              <w:jc w:val="center"/>
              <w:rPr>
                <w:rFonts w:ascii="Times New Roman" w:hAnsi="Times New Roman" w:eastAsia="宋体" w:cs="Times New Roman"/>
                <w:szCs w:val="21"/>
              </w:rPr>
            </w:pPr>
            <w:r>
              <w:rPr>
                <w:rFonts w:hint="eastAsia" w:ascii="Times New Roman" w:hAnsi="Times New Roman" w:eastAsia="宋体" w:cs="Times New Roman"/>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先行课程</w:t>
            </w:r>
          </w:p>
        </w:tc>
        <w:tc>
          <w:tcPr>
            <w:tcW w:w="3274" w:type="dxa"/>
            <w:vAlign w:val="center"/>
          </w:tcPr>
          <w:p>
            <w:pPr>
              <w:spacing w:line="360" w:lineRule="auto"/>
              <w:jc w:val="center"/>
              <w:rPr>
                <w:rFonts w:ascii="Times New Roman" w:hAnsi="宋体" w:eastAsia="宋体" w:cs="Times New Roman"/>
                <w:szCs w:val="21"/>
              </w:rPr>
            </w:pPr>
            <w:r>
              <w:rPr>
                <w:rFonts w:ascii="Times New Roman" w:hAnsi="宋体" w:eastAsia="宋体" w:cs="Times New Roman"/>
                <w:szCs w:val="21"/>
              </w:rPr>
              <w:t>基础化学，</w:t>
            </w:r>
            <w:r>
              <w:rPr>
                <w:rFonts w:hint="eastAsia" w:ascii="Times New Roman" w:hAnsi="宋体" w:eastAsia="宋体" w:cs="Times New Roman"/>
                <w:szCs w:val="21"/>
              </w:rPr>
              <w:t>化工单元操作等</w:t>
            </w:r>
          </w:p>
        </w:tc>
        <w:tc>
          <w:tcPr>
            <w:tcW w:w="1620"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开课单位</w:t>
            </w:r>
          </w:p>
        </w:tc>
        <w:tc>
          <w:tcPr>
            <w:tcW w:w="1994" w:type="dxa"/>
            <w:vAlign w:val="center"/>
          </w:tcPr>
          <w:p>
            <w:pPr>
              <w:spacing w:line="360" w:lineRule="auto"/>
              <w:jc w:val="center"/>
              <w:rPr>
                <w:rFonts w:ascii="Times New Roman" w:hAnsi="Times New Roman" w:eastAsia="宋体" w:cs="Times New Roman"/>
                <w:szCs w:val="21"/>
              </w:rPr>
            </w:pPr>
            <w:r>
              <w:rPr>
                <w:rFonts w:hint="eastAsia" w:ascii="Times New Roman" w:hAnsi="宋体" w:eastAsia="宋体" w:cs="Times New Roman"/>
                <w:szCs w:val="21"/>
              </w:rPr>
              <w:t>化工系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平行课程</w:t>
            </w:r>
          </w:p>
        </w:tc>
        <w:tc>
          <w:tcPr>
            <w:tcW w:w="3274" w:type="dxa"/>
            <w:vAlign w:val="center"/>
          </w:tcPr>
          <w:p>
            <w:pPr>
              <w:widowControl/>
              <w:jc w:val="center"/>
              <w:rPr>
                <w:rFonts w:ascii="Times New Roman" w:hAnsi="Times New Roman" w:eastAsia="宋体" w:cs="Times New Roman"/>
                <w:szCs w:val="21"/>
              </w:rPr>
            </w:pPr>
            <w:r>
              <w:rPr>
                <w:rFonts w:hint="eastAsia" w:ascii="Times New Roman" w:hAnsi="Times New Roman" w:eastAsia="宋体" w:cs="Times New Roman"/>
                <w:szCs w:val="21"/>
              </w:rPr>
              <w:t>煤气化工艺、煤质检测等</w:t>
            </w:r>
          </w:p>
        </w:tc>
        <w:tc>
          <w:tcPr>
            <w:tcW w:w="1620"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考核类型</w:t>
            </w:r>
          </w:p>
        </w:tc>
        <w:tc>
          <w:tcPr>
            <w:tcW w:w="199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考试</w:t>
            </w:r>
            <w:r>
              <w:rPr>
                <w:rFonts w:hint="eastAsia" w:ascii="Times New Roman" w:hAnsi="宋体" w:eastAsia="宋体" w:cs="Times New Roman"/>
                <w:szCs w:val="21"/>
              </w:rPr>
              <w:t>+</w:t>
            </w:r>
            <w:r>
              <w:rPr>
                <w:rFonts w:ascii="Times New Roman" w:hAnsi="宋体" w:eastAsia="宋体" w:cs="Times New Roman"/>
                <w:szCs w:val="21"/>
              </w:rPr>
              <w:t>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vAlign w:val="center"/>
          </w:tcPr>
          <w:p>
            <w:pPr>
              <w:spacing w:line="360" w:lineRule="auto"/>
              <w:jc w:val="center"/>
              <w:rPr>
                <w:rFonts w:ascii="Times New Roman" w:hAnsi="Times New Roman" w:eastAsia="宋体" w:cs="Times New Roman"/>
                <w:szCs w:val="21"/>
              </w:rPr>
            </w:pPr>
            <w:r>
              <w:rPr>
                <w:rFonts w:ascii="Times New Roman" w:hAnsi="宋体" w:eastAsia="宋体" w:cs="Times New Roman"/>
                <w:szCs w:val="21"/>
              </w:rPr>
              <w:t>后继课程</w:t>
            </w:r>
          </w:p>
        </w:tc>
        <w:tc>
          <w:tcPr>
            <w:tcW w:w="6888" w:type="dxa"/>
            <w:gridSpan w:val="3"/>
            <w:vAlign w:val="center"/>
          </w:tcPr>
          <w:p>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t>顶岗实习</w:t>
            </w:r>
            <w:r>
              <w:rPr>
                <w:rFonts w:hint="eastAsia" w:ascii="Times New Roman" w:hAnsi="Times New Roman" w:eastAsia="宋体" w:cs="Times New Roman"/>
                <w:szCs w:val="21"/>
              </w:rPr>
              <w:t>、</w:t>
            </w:r>
            <w:r>
              <w:rPr>
                <w:rFonts w:ascii="Times New Roman" w:hAnsi="Times New Roman" w:eastAsia="宋体" w:cs="Times New Roman"/>
                <w:szCs w:val="21"/>
              </w:rPr>
              <w:t>毕业设计等</w:t>
            </w:r>
          </w:p>
        </w:tc>
      </w:tr>
    </w:tbl>
    <w:p>
      <w:pPr>
        <w:adjustRightInd w:val="0"/>
        <w:snapToGrid w:val="0"/>
        <w:spacing w:beforeLines="50" w:line="360" w:lineRule="auto"/>
        <w:ind w:firstLine="640" w:firstLineChars="200"/>
        <w:rPr>
          <w:rFonts w:ascii="黑体" w:hAnsi="黑体" w:eastAsia="黑体" w:cs="Times New Roman"/>
          <w:sz w:val="32"/>
          <w:szCs w:val="32"/>
        </w:rPr>
      </w:pPr>
      <w:r>
        <w:rPr>
          <w:rFonts w:hint="eastAsia" w:ascii="黑体" w:hAnsi="黑体" w:eastAsia="黑体" w:cs="Times New Roman"/>
          <w:sz w:val="32"/>
          <w:szCs w:val="32"/>
        </w:rPr>
        <w:t>一、课程性质与定位</w:t>
      </w:r>
    </w:p>
    <w:p>
      <w:pPr>
        <w:spacing w:line="360" w:lineRule="auto"/>
        <w:ind w:firstLine="480" w:firstLineChars="200"/>
        <w:rPr>
          <w:rFonts w:ascii="宋体" w:hAnsi="宋体" w:eastAsia="宋体" w:cs="宋体"/>
          <w:color w:val="333333"/>
          <w:sz w:val="24"/>
        </w:rPr>
      </w:pPr>
      <w:r>
        <w:rPr>
          <w:rFonts w:hint="eastAsia" w:ascii="宋体" w:hAnsi="宋体" w:eastAsia="宋体" w:cs="宋体"/>
          <w:color w:val="333333"/>
          <w:sz w:val="24"/>
        </w:rPr>
        <w:t>本课程是</w:t>
      </w:r>
      <w:r>
        <w:rPr>
          <w:rFonts w:hint="eastAsia" w:ascii="Times New Roman" w:hAnsi="Times New Roman" w:eastAsia="宋体" w:cs="宋体"/>
          <w:color w:val="333333"/>
          <w:sz w:val="24"/>
        </w:rPr>
        <w:t>应用化工</w:t>
      </w:r>
      <w:r>
        <w:rPr>
          <w:rFonts w:hint="eastAsia" w:ascii="宋体" w:hAnsi="宋体" w:eastAsia="宋体" w:cs="宋体"/>
          <w:color w:val="333333"/>
          <w:sz w:val="24"/>
        </w:rPr>
        <w:t>技术专业的一门必修课。本课的任务是使学生掌握煤化工生产的基本概念，了解煤化工安全生产方面的知识，深化空气深冷液化分离、煤气化、煤液化、甲醇生产技术及煤化学产品加工工艺等方面知识；培养学生的煤化工生产操作方面的专业能力，如正确地确定生产的工艺条件的能力，在煤化工安全生产操作规程下解决生产过程中一般工艺技术问题的能力以及正确操作煤化工的重要设备等；同时注重培养学生的社会能力和方法能力。本课程是在学生完成化工单元操作、有机化学、无机化学等基础课的学习后开设的，并通过专业实训与仿真实训强化学生的专业技能。</w:t>
      </w:r>
    </w:p>
    <w:p>
      <w:pPr>
        <w:adjustRightInd w:val="0"/>
        <w:snapToGrid w:val="0"/>
        <w:spacing w:beforeLines="50" w:line="360" w:lineRule="auto"/>
        <w:ind w:firstLine="640" w:firstLineChars="200"/>
        <w:rPr>
          <w:rFonts w:ascii="黑体" w:hAnsi="黑体" w:eastAsia="黑体" w:cs="Times New Roman"/>
          <w:sz w:val="32"/>
          <w:szCs w:val="32"/>
        </w:rPr>
      </w:pPr>
      <w:r>
        <w:rPr>
          <w:rFonts w:hint="eastAsia" w:ascii="黑体" w:hAnsi="黑体" w:eastAsia="黑体" w:cs="Times New Roman"/>
          <w:sz w:val="32"/>
          <w:szCs w:val="32"/>
        </w:rPr>
        <w:t>二、课程设计理念</w:t>
      </w:r>
    </w:p>
    <w:p>
      <w:pPr>
        <w:widowControl/>
        <w:spacing w:line="480" w:lineRule="atLeast"/>
        <w:ind w:firstLine="480"/>
        <w:jc w:val="left"/>
        <w:textAlignment w:val="baseline"/>
        <w:rPr>
          <w:rFonts w:ascii="宋体" w:hAnsi="宋体" w:eastAsia="宋体" w:cs="宋体"/>
          <w:color w:val="333333"/>
          <w:kern w:val="0"/>
          <w:sz w:val="24"/>
        </w:rPr>
      </w:pPr>
      <w:r>
        <w:rPr>
          <w:rFonts w:hint="eastAsia" w:ascii="宋体" w:hAnsi="宋体" w:eastAsia="宋体" w:cs="宋体"/>
          <w:color w:val="333333"/>
          <w:kern w:val="0"/>
          <w:sz w:val="24"/>
        </w:rPr>
        <w:t xml:space="preserve">《现代煤化工技术》是以对企业技术骨干和管理人员关于工作任务的调查分析为依据，确立课程教学目标和内容；以培养就业能力为导向，课程内容与职业资格取证要求融通；以典型工作任务分析为基础，构建总体能力目标、具体能力目标和知识目标。煤化工生产技术专业是以就业为导向、职业能力培养为目标，培养具有较强实践动手能力，具备必须的文化基础知识、煤化工工艺基本理论和从事煤化工生产操作、工艺运行、技术管理等工作的职业能力和综合素质，在生产、建设、管理、服务等一线工作精工艺、懂设备、懂管理的高素质技术技能人才。 </w:t>
      </w:r>
    </w:p>
    <w:p>
      <w:pPr>
        <w:widowControl/>
        <w:spacing w:line="480" w:lineRule="atLeast"/>
        <w:ind w:firstLine="480"/>
        <w:jc w:val="left"/>
        <w:textAlignment w:val="baseline"/>
        <w:rPr>
          <w:rFonts w:ascii="&amp;quot" w:hAnsi="&amp;quot" w:eastAsia="&amp;quot" w:cs="&amp;quot"/>
          <w:color w:val="333333"/>
          <w:kern w:val="0"/>
          <w:sz w:val="24"/>
        </w:rPr>
      </w:pPr>
      <w:r>
        <w:rPr>
          <w:rFonts w:hint="eastAsia" w:ascii="宋体" w:hAnsi="宋体" w:eastAsia="宋体" w:cs="宋体"/>
          <w:color w:val="333333"/>
          <w:kern w:val="0"/>
          <w:sz w:val="24"/>
        </w:rPr>
        <w:t>按工作任务工作岗位进行任务分解，形成6个学习情景：空气深冷液化分离；煤焦化技术；煤气化技术；煤液化技术；合成气合成天然气与甲醇技术；甲醇合成其他化学产品技术。对工作过程的实施以工学结合方式实现。在教学安排上，按周数进行。采用教师授课、实训室实习、下厂参观及及顶岗操作，便于原理讲授与操作训练相结合。每个学习情境内选取典型的工作任务，在教师指导下，课堂传授专业知识、课下掌握专业技能，把教师的教学过程与学生的学习过程、企业生产与工作过程联系起来，使学习内容充分体现企业实际需要，让学生在生产任务实施中训练操作技能、团队合作和沟通技能、工作能力和方法能力，体验企业工作过程和氛围，构建知识。在教学过程中，教师起指导、咨询作用，让学生有充分的机会自行处理项目实施中出现的各种问题。</w:t>
      </w:r>
    </w:p>
    <w:p>
      <w:pPr>
        <w:adjustRightInd w:val="0"/>
        <w:snapToGrid w:val="0"/>
        <w:spacing w:beforeLines="50" w:line="360" w:lineRule="auto"/>
        <w:ind w:firstLine="480" w:firstLineChars="150"/>
        <w:rPr>
          <w:rFonts w:ascii="黑体" w:hAnsi="黑体" w:eastAsia="黑体" w:cs="Times New Roman"/>
          <w:sz w:val="32"/>
          <w:szCs w:val="32"/>
        </w:rPr>
      </w:pPr>
      <w:r>
        <w:rPr>
          <w:rFonts w:hint="eastAsia" w:ascii="黑体" w:hAnsi="黑体" w:eastAsia="黑体" w:cs="Times New Roman"/>
          <w:sz w:val="32"/>
          <w:szCs w:val="32"/>
        </w:rPr>
        <w:t>三、课程目标</w:t>
      </w:r>
    </w:p>
    <w:p>
      <w:pPr>
        <w:spacing w:line="360" w:lineRule="auto"/>
        <w:ind w:firstLine="480" w:firstLineChars="200"/>
        <w:rPr>
          <w:rFonts w:ascii="Calibri" w:hAnsi="Calibri" w:eastAsia="宋体" w:cs="Times New Roman"/>
          <w:sz w:val="24"/>
        </w:rPr>
      </w:pPr>
      <w:r>
        <w:rPr>
          <w:rFonts w:hint="eastAsia" w:ascii="Calibri" w:hAnsi="Calibri" w:eastAsia="宋体" w:cs="Times New Roman"/>
          <w:sz w:val="24"/>
        </w:rPr>
        <w:t>本课程的目标是：使学生具备高素质的应用化工技术专门人才所必需的无机化工生产技术基础知识、基本原理及生产技术。能够进行正常岗位操作、开停车操作等生产操作。通过课程学习，培养学生的专业能力、方法能力和社会能力。</w:t>
      </w:r>
    </w:p>
    <w:p>
      <w:pPr>
        <w:spacing w:line="360" w:lineRule="auto"/>
        <w:ind w:firstLine="480" w:firstLineChars="200"/>
        <w:rPr>
          <w:rFonts w:ascii="Calibri" w:hAnsi="Calibri" w:eastAsia="宋体" w:cs="Times New Roman"/>
          <w:sz w:val="24"/>
        </w:rPr>
      </w:pPr>
      <w:r>
        <w:rPr>
          <w:rFonts w:hint="eastAsia" w:ascii="Calibri" w:hAnsi="Calibri" w:eastAsia="宋体" w:cs="Times New Roman"/>
          <w:sz w:val="24"/>
        </w:rPr>
        <w:t>1.专业知识目标</w:t>
      </w:r>
    </w:p>
    <w:p>
      <w:pPr>
        <w:widowControl/>
        <w:spacing w:line="480" w:lineRule="atLeast"/>
        <w:ind w:firstLine="480"/>
        <w:jc w:val="left"/>
        <w:textAlignment w:val="baseline"/>
        <w:rPr>
          <w:rFonts w:ascii="Calibri" w:hAnsi="Calibri" w:eastAsia="宋体" w:cs="Times New Roman"/>
          <w:sz w:val="24"/>
        </w:rPr>
      </w:pPr>
      <w:r>
        <w:rPr>
          <w:rFonts w:ascii="Calibri" w:hAnsi="Calibri" w:eastAsia="宋体" w:cs="Times New Roman"/>
          <w:sz w:val="24"/>
        </w:rPr>
        <w:t>(1)掌握典型煤化工产品生产工艺和原理；</w:t>
      </w:r>
    </w:p>
    <w:p>
      <w:pPr>
        <w:widowControl/>
        <w:spacing w:line="480" w:lineRule="atLeast"/>
        <w:ind w:firstLine="480"/>
        <w:jc w:val="left"/>
        <w:textAlignment w:val="baseline"/>
        <w:rPr>
          <w:rFonts w:ascii="Calibri" w:hAnsi="Calibri" w:eastAsia="宋体" w:cs="Times New Roman"/>
          <w:sz w:val="24"/>
        </w:rPr>
      </w:pPr>
      <w:r>
        <w:rPr>
          <w:rFonts w:ascii="Calibri" w:hAnsi="Calibri" w:eastAsia="宋体" w:cs="Times New Roman"/>
          <w:sz w:val="24"/>
        </w:rPr>
        <w:t>(2)熟悉工艺参数对生产操作过程的影响；</w:t>
      </w:r>
    </w:p>
    <w:p>
      <w:pPr>
        <w:widowControl/>
        <w:spacing w:line="480" w:lineRule="atLeast"/>
        <w:ind w:firstLine="480"/>
        <w:jc w:val="left"/>
        <w:textAlignment w:val="baseline"/>
        <w:rPr>
          <w:rFonts w:ascii="Calibri" w:hAnsi="Calibri" w:eastAsia="宋体" w:cs="Times New Roman"/>
          <w:sz w:val="24"/>
        </w:rPr>
      </w:pPr>
      <w:r>
        <w:rPr>
          <w:rFonts w:ascii="Calibri" w:hAnsi="Calibri" w:eastAsia="宋体" w:cs="Times New Roman"/>
          <w:sz w:val="24"/>
        </w:rPr>
        <w:t>(3)熟知煤化工设备的结构组成与操作原理；</w:t>
      </w:r>
    </w:p>
    <w:p>
      <w:pPr>
        <w:widowControl/>
        <w:spacing w:line="480" w:lineRule="atLeast"/>
        <w:ind w:firstLine="480"/>
        <w:jc w:val="left"/>
        <w:textAlignment w:val="baseline"/>
        <w:rPr>
          <w:rFonts w:ascii="Calibri" w:hAnsi="Calibri" w:eastAsia="宋体" w:cs="Times New Roman"/>
          <w:sz w:val="24"/>
        </w:rPr>
      </w:pPr>
      <w:r>
        <w:rPr>
          <w:rFonts w:ascii="Calibri" w:hAnsi="Calibri" w:eastAsia="宋体" w:cs="Times New Roman"/>
          <w:sz w:val="24"/>
        </w:rPr>
        <w:t xml:space="preserve">(4)掌握煤加工的工艺流程； </w:t>
      </w:r>
    </w:p>
    <w:p>
      <w:pPr>
        <w:widowControl/>
        <w:spacing w:line="480" w:lineRule="atLeast"/>
        <w:ind w:firstLine="480"/>
        <w:jc w:val="left"/>
        <w:textAlignment w:val="baseline"/>
        <w:rPr>
          <w:rFonts w:ascii="Calibri" w:hAnsi="Calibri" w:eastAsia="宋体" w:cs="Times New Roman"/>
          <w:sz w:val="24"/>
        </w:rPr>
      </w:pPr>
      <w:r>
        <w:rPr>
          <w:rFonts w:ascii="Calibri" w:hAnsi="Calibri" w:eastAsia="宋体" w:cs="Times New Roman"/>
          <w:sz w:val="24"/>
        </w:rPr>
        <w:t>(5)了解典型煤化工产品的性质组成；</w:t>
      </w:r>
    </w:p>
    <w:p>
      <w:pPr>
        <w:spacing w:line="360" w:lineRule="auto"/>
        <w:ind w:firstLine="480" w:firstLineChars="200"/>
        <w:rPr>
          <w:rFonts w:ascii="Calibri" w:hAnsi="Calibri" w:eastAsia="宋体" w:cs="Times New Roman"/>
          <w:sz w:val="24"/>
        </w:rPr>
      </w:pPr>
      <w:r>
        <w:rPr>
          <w:rFonts w:hint="eastAsia" w:ascii="Calibri" w:hAnsi="Calibri" w:eastAsia="宋体" w:cs="Times New Roman"/>
          <w:sz w:val="24"/>
        </w:rPr>
        <w:t>2.方法能力目标</w:t>
      </w:r>
    </w:p>
    <w:p>
      <w:pPr>
        <w:widowControl/>
        <w:spacing w:line="480" w:lineRule="atLeast"/>
        <w:ind w:firstLine="480"/>
        <w:jc w:val="left"/>
        <w:textAlignment w:val="baseline"/>
        <w:rPr>
          <w:rFonts w:ascii="Calibri" w:hAnsi="Calibri" w:eastAsia="宋体" w:cs="Times New Roman"/>
          <w:sz w:val="24"/>
        </w:rPr>
      </w:pPr>
      <w:r>
        <w:rPr>
          <w:rFonts w:ascii="Calibri" w:hAnsi="Calibri" w:eastAsia="宋体" w:cs="Times New Roman"/>
          <w:sz w:val="24"/>
        </w:rPr>
        <w:t>(1)能掌握典型产品生产的开车、正常运行、停车的操作方法；</w:t>
      </w:r>
    </w:p>
    <w:p>
      <w:pPr>
        <w:widowControl/>
        <w:spacing w:line="480" w:lineRule="atLeast"/>
        <w:ind w:firstLine="480"/>
        <w:jc w:val="left"/>
        <w:textAlignment w:val="baseline"/>
        <w:rPr>
          <w:rFonts w:ascii="Calibri" w:hAnsi="Calibri" w:eastAsia="宋体" w:cs="Times New Roman"/>
          <w:sz w:val="24"/>
        </w:rPr>
      </w:pPr>
      <w:r>
        <w:rPr>
          <w:rFonts w:ascii="Calibri" w:hAnsi="Calibri" w:eastAsia="宋体" w:cs="Times New Roman"/>
          <w:sz w:val="24"/>
        </w:rPr>
        <w:t>(2)能具备操作过程中工艺参数的调节能力；</w:t>
      </w:r>
    </w:p>
    <w:p>
      <w:pPr>
        <w:widowControl/>
        <w:spacing w:line="480" w:lineRule="atLeast"/>
        <w:ind w:firstLine="480"/>
        <w:jc w:val="left"/>
        <w:textAlignment w:val="baseline"/>
        <w:rPr>
          <w:rFonts w:ascii="Calibri" w:hAnsi="Calibri" w:eastAsia="宋体" w:cs="Times New Roman"/>
          <w:sz w:val="24"/>
        </w:rPr>
      </w:pPr>
      <w:r>
        <w:rPr>
          <w:rFonts w:ascii="Calibri" w:hAnsi="Calibri" w:eastAsia="宋体" w:cs="Times New Roman"/>
          <w:sz w:val="24"/>
        </w:rPr>
        <w:t>(3)能按生产自动控制运行规程操作；</w:t>
      </w:r>
    </w:p>
    <w:p>
      <w:pPr>
        <w:widowControl/>
        <w:spacing w:line="480" w:lineRule="atLeast"/>
        <w:ind w:firstLine="480"/>
        <w:jc w:val="left"/>
        <w:textAlignment w:val="baseline"/>
        <w:rPr>
          <w:rFonts w:ascii="Calibri" w:hAnsi="Calibri" w:eastAsia="宋体" w:cs="Times New Roman"/>
          <w:sz w:val="24"/>
        </w:rPr>
      </w:pPr>
      <w:r>
        <w:rPr>
          <w:rFonts w:ascii="Calibri" w:hAnsi="Calibri" w:eastAsia="宋体" w:cs="Times New Roman"/>
          <w:sz w:val="24"/>
        </w:rPr>
        <w:t>(4)能进行事故判断与处理的技能；</w:t>
      </w:r>
    </w:p>
    <w:p>
      <w:pPr>
        <w:widowControl/>
        <w:spacing w:line="480" w:lineRule="atLeast"/>
        <w:ind w:firstLine="480"/>
        <w:jc w:val="left"/>
        <w:textAlignment w:val="baseline"/>
        <w:rPr>
          <w:rFonts w:ascii="Calibri" w:hAnsi="Calibri" w:eastAsia="宋体" w:cs="Times New Roman"/>
          <w:sz w:val="24"/>
        </w:rPr>
      </w:pPr>
      <w:r>
        <w:rPr>
          <w:rFonts w:ascii="Calibri" w:hAnsi="Calibri" w:eastAsia="宋体" w:cs="Times New Roman"/>
          <w:sz w:val="24"/>
        </w:rPr>
        <w:t xml:space="preserve">(5)能读取和绘制生产工艺流程图； </w:t>
      </w:r>
    </w:p>
    <w:p>
      <w:pPr>
        <w:widowControl/>
        <w:spacing w:line="480" w:lineRule="atLeast"/>
        <w:ind w:firstLine="480"/>
        <w:jc w:val="left"/>
        <w:textAlignment w:val="baseline"/>
        <w:rPr>
          <w:rFonts w:ascii="Calibri" w:hAnsi="Calibri" w:eastAsia="宋体" w:cs="Times New Roman"/>
          <w:sz w:val="24"/>
        </w:rPr>
      </w:pPr>
      <w:r>
        <w:rPr>
          <w:rFonts w:ascii="Calibri" w:hAnsi="Calibri" w:eastAsia="宋体" w:cs="Times New Roman"/>
          <w:sz w:val="24"/>
        </w:rPr>
        <w:t>(6)能检验产品质量并对结果进行分析评价；</w:t>
      </w:r>
    </w:p>
    <w:p>
      <w:pPr>
        <w:widowControl/>
        <w:spacing w:line="480" w:lineRule="atLeast"/>
        <w:ind w:firstLine="480"/>
        <w:jc w:val="left"/>
        <w:textAlignment w:val="baseline"/>
        <w:rPr>
          <w:rFonts w:ascii="Calibri" w:hAnsi="Calibri" w:eastAsia="宋体" w:cs="Times New Roman"/>
          <w:sz w:val="24"/>
        </w:rPr>
      </w:pPr>
      <w:r>
        <w:rPr>
          <w:rFonts w:ascii="Calibri" w:hAnsi="Calibri" w:eastAsia="宋体" w:cs="Times New Roman"/>
          <w:sz w:val="24"/>
        </w:rPr>
        <w:t xml:space="preserve">(7)能正确处理实验数据及准确报告实验结果； </w:t>
      </w:r>
    </w:p>
    <w:p>
      <w:pPr>
        <w:widowControl/>
        <w:spacing w:line="480" w:lineRule="atLeast"/>
        <w:ind w:firstLine="480"/>
        <w:jc w:val="left"/>
        <w:textAlignment w:val="baseline"/>
        <w:rPr>
          <w:rFonts w:ascii="Calibri" w:hAnsi="Calibri" w:eastAsia="宋体" w:cs="Times New Roman"/>
          <w:sz w:val="24"/>
        </w:rPr>
      </w:pPr>
      <w:r>
        <w:rPr>
          <w:rFonts w:ascii="Calibri" w:hAnsi="Calibri" w:eastAsia="宋体" w:cs="Times New Roman"/>
          <w:sz w:val="24"/>
        </w:rPr>
        <w:t>(8)能遵守实验室各项安全守则，安全、环保地进行实验操作。</w:t>
      </w:r>
    </w:p>
    <w:p>
      <w:pPr>
        <w:widowControl/>
        <w:spacing w:line="480" w:lineRule="atLeast"/>
        <w:ind w:firstLine="480"/>
        <w:jc w:val="left"/>
        <w:textAlignment w:val="baseline"/>
        <w:rPr>
          <w:rFonts w:ascii="Calibri" w:hAnsi="Calibri" w:eastAsia="宋体" w:cs="Times New Roman"/>
          <w:sz w:val="24"/>
        </w:rPr>
      </w:pPr>
      <w:r>
        <w:rPr>
          <w:rFonts w:hint="eastAsia" w:ascii="Calibri" w:hAnsi="Calibri" w:eastAsia="宋体" w:cs="Times New Roman"/>
          <w:sz w:val="24"/>
        </w:rPr>
        <w:t>3.社会能力目标</w:t>
      </w:r>
    </w:p>
    <w:p>
      <w:pPr>
        <w:widowControl/>
        <w:spacing w:line="480" w:lineRule="atLeast"/>
        <w:ind w:firstLine="480"/>
        <w:jc w:val="left"/>
        <w:textAlignment w:val="baseline"/>
        <w:rPr>
          <w:rFonts w:ascii="Calibri" w:hAnsi="Calibri" w:eastAsia="宋体" w:cs="Times New Roman"/>
          <w:sz w:val="24"/>
        </w:rPr>
      </w:pPr>
      <w:r>
        <w:rPr>
          <w:rFonts w:hint="eastAsia" w:ascii="Calibri" w:hAnsi="Calibri" w:eastAsia="宋体" w:cs="Times New Roman"/>
          <w:sz w:val="24"/>
        </w:rPr>
        <w:t>（1）具有较好的人际沟通能力，能主动、热情、认真地进行工作交接；</w:t>
      </w:r>
    </w:p>
    <w:p>
      <w:pPr>
        <w:widowControl/>
        <w:spacing w:line="480" w:lineRule="atLeast"/>
        <w:ind w:firstLine="480"/>
        <w:jc w:val="left"/>
        <w:textAlignment w:val="baseline"/>
        <w:rPr>
          <w:rFonts w:ascii="Calibri" w:hAnsi="Calibri" w:eastAsia="宋体" w:cs="Times New Roman"/>
          <w:sz w:val="24"/>
        </w:rPr>
      </w:pPr>
      <w:r>
        <w:rPr>
          <w:rFonts w:hint="eastAsia" w:ascii="Calibri" w:hAnsi="Calibri" w:eastAsia="宋体" w:cs="Times New Roman"/>
          <w:sz w:val="24"/>
        </w:rPr>
        <w:t>（2）具有“爱国、创业、求实、奉献”的大庆精神；</w:t>
      </w:r>
    </w:p>
    <w:p>
      <w:pPr>
        <w:widowControl/>
        <w:spacing w:line="480" w:lineRule="atLeast"/>
        <w:ind w:firstLine="480"/>
        <w:jc w:val="left"/>
        <w:textAlignment w:val="baseline"/>
        <w:rPr>
          <w:rFonts w:ascii="Calibri" w:hAnsi="Calibri" w:eastAsia="宋体" w:cs="Times New Roman"/>
          <w:sz w:val="24"/>
        </w:rPr>
      </w:pPr>
      <w:r>
        <w:rPr>
          <w:rFonts w:hint="eastAsia" w:ascii="Calibri" w:hAnsi="Calibri" w:eastAsia="宋体" w:cs="Times New Roman"/>
          <w:sz w:val="24"/>
        </w:rPr>
        <w:t>（3）具有严谨的工作作风和实事求是的工作态度；</w:t>
      </w:r>
    </w:p>
    <w:p>
      <w:pPr>
        <w:widowControl/>
        <w:spacing w:line="480" w:lineRule="atLeast"/>
        <w:ind w:firstLine="480"/>
        <w:jc w:val="left"/>
        <w:textAlignment w:val="baseline"/>
        <w:rPr>
          <w:rFonts w:ascii="Calibri" w:hAnsi="Calibri" w:eastAsia="宋体" w:cs="Times New Roman"/>
          <w:sz w:val="24"/>
        </w:rPr>
      </w:pPr>
      <w:r>
        <w:rPr>
          <w:rFonts w:hint="eastAsia" w:ascii="Calibri" w:hAnsi="Calibri" w:eastAsia="宋体" w:cs="Times New Roman"/>
          <w:sz w:val="24"/>
        </w:rPr>
        <w:t>（4）具有一定的组织管理能力和团队协作能力。</w:t>
      </w:r>
    </w:p>
    <w:p>
      <w:pPr>
        <w:adjustRightInd w:val="0"/>
        <w:snapToGrid w:val="0"/>
        <w:spacing w:beforeLines="50" w:line="360" w:lineRule="auto"/>
        <w:ind w:firstLine="640" w:firstLineChars="200"/>
        <w:rPr>
          <w:rFonts w:ascii="黑体" w:hAnsi="黑体" w:eastAsia="黑体" w:cs="Times New Roman"/>
          <w:sz w:val="32"/>
          <w:szCs w:val="32"/>
        </w:rPr>
      </w:pPr>
      <w:r>
        <w:rPr>
          <w:rFonts w:hint="eastAsia" w:ascii="黑体" w:hAnsi="黑体" w:eastAsia="黑体" w:cs="Times New Roman"/>
          <w:sz w:val="32"/>
          <w:szCs w:val="32"/>
        </w:rPr>
        <w:t>四、课程教学内容及学时分配</w:t>
      </w:r>
    </w:p>
    <w:p>
      <w:pPr>
        <w:spacing w:line="360" w:lineRule="auto"/>
        <w:jc w:val="center"/>
        <w:rPr>
          <w:rFonts w:ascii="宋体" w:hAnsi="宋体" w:eastAsia="宋体" w:cs="Times New Roman"/>
          <w:sz w:val="24"/>
        </w:rPr>
      </w:pPr>
      <w:r>
        <w:rPr>
          <w:rFonts w:hint="eastAsia" w:ascii="宋体" w:hAnsi="宋体" w:eastAsia="宋体" w:cs="Times New Roman"/>
          <w:sz w:val="24"/>
        </w:rPr>
        <w:t xml:space="preserve">4.8 </w:t>
      </w:r>
      <w:r>
        <w:rPr>
          <w:rFonts w:hint="eastAsia" w:ascii="宋体" w:hAnsi="宋体" w:eastAsia="宋体" w:cs="Times New Roman"/>
          <w:kern w:val="0"/>
          <w:sz w:val="24"/>
        </w:rPr>
        <w:t>《</w:t>
      </w:r>
      <w:r>
        <w:rPr>
          <w:rFonts w:hint="eastAsia" w:ascii="宋体" w:hAnsi="宋体" w:eastAsia="宋体" w:cs="宋体"/>
          <w:color w:val="333333"/>
          <w:kern w:val="0"/>
          <w:sz w:val="24"/>
        </w:rPr>
        <w:t>现代煤化工技术</w:t>
      </w:r>
      <w:r>
        <w:rPr>
          <w:rFonts w:hint="eastAsia" w:ascii="宋体" w:hAnsi="宋体" w:eastAsia="宋体" w:cs="Times New Roman"/>
          <w:kern w:val="0"/>
          <w:sz w:val="24"/>
        </w:rPr>
        <w:t>》</w:t>
      </w:r>
      <w:r>
        <w:rPr>
          <w:rFonts w:ascii="Times New Roman" w:hAnsi="宋体" w:eastAsia="宋体" w:cs="Times New Roman"/>
          <w:kern w:val="0"/>
          <w:sz w:val="24"/>
        </w:rPr>
        <w:t>课程教学内容及学时安排</w:t>
      </w:r>
    </w:p>
    <w:tbl>
      <w:tblPr>
        <w:tblStyle w:val="18"/>
        <w:tblW w:w="8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0"/>
        <w:gridCol w:w="3368"/>
        <w:gridCol w:w="2410"/>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jc w:val="center"/>
        </w:trPr>
        <w:tc>
          <w:tcPr>
            <w:tcW w:w="1250" w:type="dxa"/>
            <w:vAlign w:val="center"/>
          </w:tcPr>
          <w:p>
            <w:pPr>
              <w:snapToGrid w:val="0"/>
              <w:jc w:val="center"/>
              <w:rPr>
                <w:rFonts w:cs="Times New Roman" w:asciiTheme="minorEastAsia" w:hAnsiTheme="minorEastAsia"/>
                <w:b/>
                <w:color w:val="000000"/>
                <w:szCs w:val="21"/>
              </w:rPr>
            </w:pPr>
            <w:r>
              <w:rPr>
                <w:rFonts w:cs="Times New Roman" w:asciiTheme="minorEastAsia" w:hAnsiTheme="minorEastAsia"/>
                <w:b/>
                <w:color w:val="000000"/>
                <w:szCs w:val="21"/>
              </w:rPr>
              <w:t>项目任务</w:t>
            </w:r>
          </w:p>
        </w:tc>
        <w:tc>
          <w:tcPr>
            <w:tcW w:w="3368" w:type="dxa"/>
            <w:vAlign w:val="center"/>
          </w:tcPr>
          <w:p>
            <w:pPr>
              <w:snapToGrid w:val="0"/>
              <w:jc w:val="center"/>
              <w:rPr>
                <w:rFonts w:cs="Times New Roman" w:asciiTheme="minorEastAsia" w:hAnsiTheme="minorEastAsia"/>
                <w:b/>
                <w:color w:val="000000"/>
                <w:szCs w:val="21"/>
              </w:rPr>
            </w:pPr>
            <w:r>
              <w:rPr>
                <w:rFonts w:cs="Times New Roman" w:asciiTheme="minorEastAsia" w:hAnsiTheme="minorEastAsia"/>
                <w:b/>
                <w:color w:val="000000"/>
                <w:szCs w:val="21"/>
              </w:rPr>
              <w:t>学习情境描述及目标</w:t>
            </w:r>
          </w:p>
        </w:tc>
        <w:tc>
          <w:tcPr>
            <w:tcW w:w="2410" w:type="dxa"/>
            <w:vAlign w:val="center"/>
          </w:tcPr>
          <w:p>
            <w:pPr>
              <w:snapToGrid w:val="0"/>
              <w:jc w:val="center"/>
              <w:rPr>
                <w:rFonts w:cs="Times New Roman" w:asciiTheme="minorEastAsia" w:hAnsiTheme="minorEastAsia"/>
                <w:b/>
                <w:color w:val="000000"/>
                <w:szCs w:val="21"/>
              </w:rPr>
            </w:pPr>
            <w:r>
              <w:rPr>
                <w:rFonts w:cs="Times New Roman" w:asciiTheme="minorEastAsia" w:hAnsiTheme="minorEastAsia"/>
                <w:b/>
                <w:color w:val="000000"/>
                <w:szCs w:val="21"/>
              </w:rPr>
              <w:t>学习内容</w:t>
            </w:r>
          </w:p>
        </w:tc>
        <w:tc>
          <w:tcPr>
            <w:tcW w:w="1152" w:type="dxa"/>
            <w:vAlign w:val="center"/>
          </w:tcPr>
          <w:p>
            <w:pPr>
              <w:snapToGrid w:val="0"/>
              <w:jc w:val="center"/>
              <w:rPr>
                <w:rFonts w:cs="Times New Roman" w:asciiTheme="minorEastAsia" w:hAnsiTheme="minorEastAsia"/>
                <w:b/>
                <w:color w:val="000000"/>
                <w:szCs w:val="21"/>
              </w:rPr>
            </w:pPr>
            <w:r>
              <w:rPr>
                <w:rFonts w:cs="Times New Roman" w:asciiTheme="minorEastAsia" w:hAnsiTheme="minorEastAsia"/>
                <w:b/>
                <w:color w:val="000000"/>
                <w:szCs w:val="21"/>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vAlign w:val="center"/>
          </w:tcPr>
          <w:p>
            <w:pPr>
              <w:snapToGrid w:val="0"/>
              <w:jc w:val="center"/>
              <w:rPr>
                <w:rFonts w:cs="Times New Roman" w:asciiTheme="minorEastAsia" w:hAnsiTheme="minorEastAsia"/>
                <w:szCs w:val="21"/>
              </w:rPr>
            </w:pPr>
            <w:r>
              <w:rPr>
                <w:rFonts w:hint="eastAsia" w:cs="Times New Roman" w:asciiTheme="minorEastAsia" w:hAnsiTheme="minorEastAsia"/>
                <w:szCs w:val="21"/>
              </w:rPr>
              <w:t>绪论</w:t>
            </w:r>
          </w:p>
        </w:tc>
        <w:tc>
          <w:tcPr>
            <w:tcW w:w="3368" w:type="dxa"/>
            <w:vAlign w:val="center"/>
          </w:tcPr>
          <w:p>
            <w:pPr>
              <w:snapToGrid w:val="0"/>
              <w:jc w:val="left"/>
              <w:rPr>
                <w:rFonts w:cs="Times New Roman" w:asciiTheme="minorEastAsia" w:hAnsiTheme="minorEastAsia"/>
                <w:szCs w:val="21"/>
              </w:rPr>
            </w:pPr>
            <w:r>
              <w:rPr>
                <w:rFonts w:hint="eastAsia" w:cs="Times New Roman" w:asciiTheme="minorEastAsia" w:hAnsiTheme="minorEastAsia"/>
                <w:szCs w:val="21"/>
              </w:rPr>
              <w:t>了解煤化工工业发展历史、煤化工工业在国民经济中的地位，煤化工发展趋势。掌握化学加工工业的基本概况、特点，掌握石油、煤、天然气等能源概况。</w:t>
            </w:r>
          </w:p>
        </w:tc>
        <w:tc>
          <w:tcPr>
            <w:tcW w:w="2410" w:type="dxa"/>
            <w:vAlign w:val="center"/>
          </w:tcPr>
          <w:p>
            <w:pPr>
              <w:snapToGrid w:val="0"/>
              <w:jc w:val="left"/>
              <w:rPr>
                <w:rFonts w:cs="Times New Roman" w:asciiTheme="minorEastAsia" w:hAnsiTheme="minorEastAsia"/>
                <w:szCs w:val="21"/>
              </w:rPr>
            </w:pPr>
            <w:r>
              <w:rPr>
                <w:rFonts w:hint="eastAsia" w:cs="Times New Roman" w:asciiTheme="minorEastAsia" w:hAnsiTheme="minorEastAsia"/>
                <w:szCs w:val="21"/>
              </w:rPr>
              <w:t>煤炭资源，煤化工发展简史， 煤化工的范畴</w:t>
            </w:r>
          </w:p>
        </w:tc>
        <w:tc>
          <w:tcPr>
            <w:tcW w:w="1152" w:type="dxa"/>
            <w:vAlign w:val="center"/>
          </w:tcPr>
          <w:p>
            <w:pPr>
              <w:snapToGrid w:val="0"/>
              <w:jc w:val="center"/>
              <w:rPr>
                <w:rFonts w:cs="Times New Roman" w:asciiTheme="minorEastAsia" w:hAnsiTheme="minorEastAsia"/>
                <w:szCs w:val="21"/>
              </w:rPr>
            </w:pPr>
            <w:r>
              <w:rPr>
                <w:rFonts w:hint="eastAsia" w:cs="Times New Roman" w:asciiTheme="minorEastAsia" w:hAnsiTheme="minorEastAsia"/>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vAlign w:val="center"/>
          </w:tcPr>
          <w:p>
            <w:pPr>
              <w:snapToGrid w:val="0"/>
              <w:jc w:val="center"/>
              <w:rPr>
                <w:rFonts w:cs="Times New Roman" w:asciiTheme="minorEastAsia" w:hAnsiTheme="minorEastAsia"/>
                <w:szCs w:val="21"/>
              </w:rPr>
            </w:pPr>
            <w:r>
              <w:rPr>
                <w:rFonts w:hint="eastAsia" w:cs="Times New Roman" w:asciiTheme="minorEastAsia" w:hAnsiTheme="minorEastAsia"/>
                <w:szCs w:val="21"/>
              </w:rPr>
              <w:t>煤的低温干馏</w:t>
            </w:r>
          </w:p>
        </w:tc>
        <w:tc>
          <w:tcPr>
            <w:tcW w:w="3368" w:type="dxa"/>
            <w:vAlign w:val="center"/>
          </w:tcPr>
          <w:p>
            <w:pPr>
              <w:snapToGrid w:val="0"/>
              <w:jc w:val="left"/>
              <w:rPr>
                <w:rFonts w:cs="Times New Roman" w:asciiTheme="minorEastAsia" w:hAnsiTheme="minorEastAsia"/>
                <w:szCs w:val="21"/>
              </w:rPr>
            </w:pPr>
            <w:r>
              <w:rPr>
                <w:rFonts w:hint="eastAsia" w:cs="Times New Roman" w:asciiTheme="minorEastAsia" w:hAnsiTheme="minorEastAsia"/>
                <w:szCs w:val="21"/>
              </w:rPr>
              <w:t>理解煤的热解基本规律和特点。</w:t>
            </w:r>
            <w:r>
              <w:rPr>
                <w:rFonts w:hint="eastAsia" w:cs="Times New Roman" w:asciiTheme="minorEastAsia" w:hAnsiTheme="minorEastAsia"/>
                <w:szCs w:val="21"/>
              </w:rPr>
              <w:br w:type="textWrapping"/>
            </w:r>
            <w:r>
              <w:rPr>
                <w:rFonts w:hint="eastAsia" w:cs="Times New Roman" w:asciiTheme="minorEastAsia" w:hAnsiTheme="minorEastAsia"/>
                <w:szCs w:val="21"/>
              </w:rPr>
              <w:t>掌握低温干馏产品的种类，低温干馏主要炉型，影响干馏产品的因素，固体热载体干馏工艺。</w:t>
            </w:r>
          </w:p>
        </w:tc>
        <w:tc>
          <w:tcPr>
            <w:tcW w:w="2410" w:type="dxa"/>
            <w:vAlign w:val="center"/>
          </w:tcPr>
          <w:p>
            <w:pPr>
              <w:snapToGrid w:val="0"/>
              <w:jc w:val="left"/>
              <w:rPr>
                <w:rFonts w:cs="Times New Roman" w:asciiTheme="minorEastAsia" w:hAnsiTheme="minorEastAsia"/>
                <w:szCs w:val="21"/>
              </w:rPr>
            </w:pPr>
            <w:r>
              <w:rPr>
                <w:rFonts w:hint="eastAsia" w:cs="Times New Roman" w:asciiTheme="minorEastAsia" w:hAnsiTheme="minorEastAsia"/>
                <w:szCs w:val="21"/>
              </w:rPr>
              <w:t>低温干馏主要炉型，影响干馏产品的因素，固体热载体干馏工艺流程</w:t>
            </w:r>
          </w:p>
        </w:tc>
        <w:tc>
          <w:tcPr>
            <w:tcW w:w="1152" w:type="dxa"/>
            <w:vAlign w:val="center"/>
          </w:tcPr>
          <w:p>
            <w:pPr>
              <w:snapToGrid w:val="0"/>
              <w:jc w:val="center"/>
              <w:rPr>
                <w:rFonts w:cs="Times New Roman" w:asciiTheme="minorEastAsia" w:hAnsiTheme="minorEastAsia"/>
                <w:szCs w:val="21"/>
              </w:rPr>
            </w:pPr>
            <w:r>
              <w:rPr>
                <w:rFonts w:hint="eastAsia" w:cs="Times New Roman" w:asciiTheme="minorEastAsia" w:hAnsiTheme="minorEastAsia"/>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vAlign w:val="center"/>
          </w:tcPr>
          <w:p>
            <w:pPr>
              <w:snapToGrid w:val="0"/>
              <w:jc w:val="center"/>
              <w:rPr>
                <w:rFonts w:cs="Times New Roman" w:asciiTheme="minorEastAsia" w:hAnsiTheme="minorEastAsia"/>
                <w:szCs w:val="21"/>
              </w:rPr>
            </w:pPr>
            <w:r>
              <w:rPr>
                <w:rFonts w:hint="eastAsia" w:cs="Times New Roman" w:asciiTheme="minorEastAsia" w:hAnsiTheme="minorEastAsia"/>
                <w:szCs w:val="21"/>
              </w:rPr>
              <w:t>炼焦</w:t>
            </w:r>
          </w:p>
        </w:tc>
        <w:tc>
          <w:tcPr>
            <w:tcW w:w="3368" w:type="dxa"/>
            <w:vAlign w:val="center"/>
          </w:tcPr>
          <w:p>
            <w:pPr>
              <w:snapToGrid w:val="0"/>
              <w:jc w:val="left"/>
              <w:rPr>
                <w:rFonts w:cs="Times New Roman" w:asciiTheme="minorEastAsia" w:hAnsiTheme="minorEastAsia"/>
                <w:szCs w:val="21"/>
              </w:rPr>
            </w:pPr>
            <w:r>
              <w:rPr>
                <w:rFonts w:hint="eastAsia" w:cs="Times New Roman" w:asciiTheme="minorEastAsia" w:hAnsiTheme="minorEastAsia"/>
                <w:szCs w:val="21"/>
              </w:rPr>
              <w:t>了解焦炉耐火砖、砌筑和烘炉，型焦。</w:t>
            </w:r>
            <w:r>
              <w:rPr>
                <w:rFonts w:hint="eastAsia" w:cs="Times New Roman" w:asciiTheme="minorEastAsia" w:hAnsiTheme="minorEastAsia"/>
                <w:szCs w:val="21"/>
              </w:rPr>
              <w:br w:type="textWrapping"/>
            </w:r>
            <w:r>
              <w:rPr>
                <w:rFonts w:hint="eastAsia" w:cs="Times New Roman" w:asciiTheme="minorEastAsia" w:hAnsiTheme="minorEastAsia"/>
                <w:szCs w:val="21"/>
              </w:rPr>
              <w:t>理解煤的成焦过程，配煤对焦炭质量的影响，煤气燃烧和焦炉热平衡，焦炉传热基础，焦炉流体力学基础。</w:t>
            </w:r>
            <w:r>
              <w:rPr>
                <w:rFonts w:hint="eastAsia" w:cs="Times New Roman" w:asciiTheme="minorEastAsia" w:hAnsiTheme="minorEastAsia"/>
                <w:szCs w:val="21"/>
              </w:rPr>
              <w:br w:type="textWrapping"/>
            </w:r>
            <w:r>
              <w:rPr>
                <w:rFonts w:hint="eastAsia" w:cs="Times New Roman" w:asciiTheme="minorEastAsia" w:hAnsiTheme="minorEastAsia"/>
                <w:szCs w:val="21"/>
              </w:rPr>
              <w:t>掌握现代焦炉炼焦的特点、炼焦新技术</w:t>
            </w:r>
          </w:p>
        </w:tc>
        <w:tc>
          <w:tcPr>
            <w:tcW w:w="2410" w:type="dxa"/>
            <w:vAlign w:val="center"/>
          </w:tcPr>
          <w:p>
            <w:pPr>
              <w:snapToGrid w:val="0"/>
              <w:jc w:val="left"/>
              <w:rPr>
                <w:rFonts w:cs="Times New Roman" w:asciiTheme="minorEastAsia" w:hAnsiTheme="minorEastAsia"/>
                <w:szCs w:val="21"/>
              </w:rPr>
            </w:pPr>
            <w:r>
              <w:rPr>
                <w:rFonts w:hint="eastAsia" w:cs="Times New Roman" w:asciiTheme="minorEastAsia" w:hAnsiTheme="minorEastAsia"/>
                <w:szCs w:val="21"/>
              </w:rPr>
              <w:t>炼焦原料煤、焦炉、炼焦新技术。</w:t>
            </w:r>
          </w:p>
        </w:tc>
        <w:tc>
          <w:tcPr>
            <w:tcW w:w="1152" w:type="dxa"/>
            <w:vAlign w:val="center"/>
          </w:tcPr>
          <w:p>
            <w:pPr>
              <w:snapToGrid w:val="0"/>
              <w:jc w:val="center"/>
              <w:rPr>
                <w:rFonts w:cs="Times New Roman" w:asciiTheme="minorEastAsia" w:hAnsiTheme="minorEastAsia"/>
                <w:szCs w:val="21"/>
              </w:rPr>
            </w:pPr>
            <w:r>
              <w:rPr>
                <w:rFonts w:hint="eastAsia" w:cs="Times New Roman" w:asciiTheme="minorEastAsia" w:hAnsiTheme="minorEastAsia"/>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vAlign w:val="center"/>
          </w:tcPr>
          <w:p>
            <w:pPr>
              <w:snapToGrid w:val="0"/>
              <w:jc w:val="center"/>
              <w:rPr>
                <w:rFonts w:cs="Times New Roman" w:asciiTheme="minorEastAsia" w:hAnsiTheme="minorEastAsia"/>
                <w:szCs w:val="21"/>
              </w:rPr>
            </w:pPr>
            <w:r>
              <w:rPr>
                <w:rFonts w:hint="eastAsia" w:cs="Times New Roman" w:asciiTheme="minorEastAsia" w:hAnsiTheme="minorEastAsia"/>
                <w:szCs w:val="21"/>
              </w:rPr>
              <w:t>炼焦化学产品的回收与精制</w:t>
            </w:r>
          </w:p>
        </w:tc>
        <w:tc>
          <w:tcPr>
            <w:tcW w:w="3368" w:type="dxa"/>
            <w:vAlign w:val="center"/>
          </w:tcPr>
          <w:p>
            <w:pPr>
              <w:snapToGrid w:val="0"/>
              <w:jc w:val="left"/>
              <w:rPr>
                <w:rFonts w:cs="Times New Roman" w:asciiTheme="minorEastAsia" w:hAnsiTheme="minorEastAsia"/>
                <w:szCs w:val="21"/>
              </w:rPr>
            </w:pPr>
            <w:r>
              <w:rPr>
                <w:rFonts w:hint="eastAsia" w:cs="Times New Roman" w:asciiTheme="minorEastAsia" w:hAnsiTheme="minorEastAsia"/>
                <w:szCs w:val="21"/>
              </w:rPr>
              <w:t>了解：粗煤气分离的方法以及相关设备，氨和吡啶的回收和粗苯回收的方法以及相关设备，粗苯精制的方法以及相关设备。。</w:t>
            </w:r>
            <w:r>
              <w:rPr>
                <w:rFonts w:hint="eastAsia" w:cs="Times New Roman" w:asciiTheme="minorEastAsia" w:hAnsiTheme="minorEastAsia"/>
                <w:szCs w:val="21"/>
              </w:rPr>
              <w:br w:type="textWrapping"/>
            </w:r>
            <w:r>
              <w:rPr>
                <w:rFonts w:hint="eastAsia" w:cs="Times New Roman" w:asciiTheme="minorEastAsia" w:hAnsiTheme="minorEastAsia"/>
                <w:szCs w:val="21"/>
              </w:rPr>
              <w:t>掌握：氨和吡啶的回收和粗苯回收的原理和流程、粗苯精制的原理和流程。</w:t>
            </w:r>
          </w:p>
        </w:tc>
        <w:tc>
          <w:tcPr>
            <w:tcW w:w="2410" w:type="dxa"/>
            <w:vAlign w:val="center"/>
          </w:tcPr>
          <w:p>
            <w:pPr>
              <w:snapToGrid w:val="0"/>
              <w:jc w:val="left"/>
              <w:rPr>
                <w:rFonts w:cs="Times New Roman" w:asciiTheme="minorEastAsia" w:hAnsiTheme="minorEastAsia"/>
                <w:szCs w:val="21"/>
              </w:rPr>
            </w:pPr>
            <w:r>
              <w:rPr>
                <w:rFonts w:hint="eastAsia" w:cs="Times New Roman" w:asciiTheme="minorEastAsia" w:hAnsiTheme="minorEastAsia"/>
                <w:szCs w:val="21"/>
              </w:rPr>
              <w:t>氨和吡啶的回收和粗苯回收的流程、粗苯精制的流程。</w:t>
            </w:r>
          </w:p>
        </w:tc>
        <w:tc>
          <w:tcPr>
            <w:tcW w:w="1152" w:type="dxa"/>
            <w:vAlign w:val="center"/>
          </w:tcPr>
          <w:p>
            <w:pPr>
              <w:snapToGrid w:val="0"/>
              <w:jc w:val="center"/>
              <w:rPr>
                <w:rFonts w:cs="Times New Roman" w:asciiTheme="minorEastAsia" w:hAnsiTheme="minorEastAsia"/>
                <w:szCs w:val="21"/>
              </w:rPr>
            </w:pPr>
            <w:r>
              <w:rPr>
                <w:rFonts w:hint="eastAsia" w:cs="Times New Roman" w:asciiTheme="minorEastAsia" w:hAnsiTheme="minorEastAsia"/>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vAlign w:val="center"/>
          </w:tcPr>
          <w:p>
            <w:pPr>
              <w:snapToGrid w:val="0"/>
              <w:jc w:val="center"/>
              <w:rPr>
                <w:rFonts w:cs="Times New Roman" w:asciiTheme="minorEastAsia" w:hAnsiTheme="minorEastAsia"/>
                <w:szCs w:val="21"/>
              </w:rPr>
            </w:pPr>
            <w:r>
              <w:rPr>
                <w:rFonts w:hint="eastAsia" w:cs="Times New Roman" w:asciiTheme="minorEastAsia" w:hAnsiTheme="minorEastAsia"/>
                <w:szCs w:val="21"/>
              </w:rPr>
              <w:t>煤的气化</w:t>
            </w:r>
          </w:p>
        </w:tc>
        <w:tc>
          <w:tcPr>
            <w:tcW w:w="3368" w:type="dxa"/>
            <w:vAlign w:val="center"/>
          </w:tcPr>
          <w:p>
            <w:pPr>
              <w:snapToGrid w:val="0"/>
              <w:jc w:val="left"/>
              <w:rPr>
                <w:rFonts w:cs="Times New Roman" w:asciiTheme="minorEastAsia" w:hAnsiTheme="minorEastAsia"/>
                <w:szCs w:val="21"/>
              </w:rPr>
            </w:pPr>
            <w:r>
              <w:rPr>
                <w:rFonts w:hint="eastAsia" w:cs="Times New Roman" w:asciiTheme="minorEastAsia" w:hAnsiTheme="minorEastAsia"/>
                <w:szCs w:val="21"/>
              </w:rPr>
              <w:t>理解：煤气化的基本规律、计算理论和方法。</w:t>
            </w:r>
            <w:r>
              <w:rPr>
                <w:rFonts w:hint="eastAsia" w:cs="Times New Roman" w:asciiTheme="minorEastAsia" w:hAnsiTheme="minorEastAsia"/>
                <w:szCs w:val="21"/>
              </w:rPr>
              <w:br w:type="textWrapping"/>
            </w:r>
            <w:r>
              <w:rPr>
                <w:rFonts w:hint="eastAsia" w:cs="Times New Roman" w:asciiTheme="minorEastAsia" w:hAnsiTheme="minorEastAsia"/>
                <w:szCs w:val="21"/>
              </w:rPr>
              <w:t>掌握：煤气化的基本原理，实际生产工艺与设备。</w:t>
            </w:r>
          </w:p>
        </w:tc>
        <w:tc>
          <w:tcPr>
            <w:tcW w:w="2410" w:type="dxa"/>
            <w:vAlign w:val="center"/>
          </w:tcPr>
          <w:p>
            <w:pPr>
              <w:snapToGrid w:val="0"/>
              <w:jc w:val="left"/>
              <w:rPr>
                <w:rFonts w:cs="Times New Roman" w:asciiTheme="minorEastAsia" w:hAnsiTheme="minorEastAsia"/>
                <w:szCs w:val="21"/>
              </w:rPr>
            </w:pPr>
            <w:r>
              <w:rPr>
                <w:rFonts w:hint="eastAsia" w:cs="Times New Roman" w:asciiTheme="minorEastAsia" w:hAnsiTheme="minorEastAsia"/>
                <w:szCs w:val="21"/>
              </w:rPr>
              <w:t>煤气化的基本原理、气化炉的基本原理、流化床气化法、固定(移动)床气化法、气流床气化法、煤气的净化</w:t>
            </w:r>
          </w:p>
        </w:tc>
        <w:tc>
          <w:tcPr>
            <w:tcW w:w="1152" w:type="dxa"/>
            <w:vAlign w:val="center"/>
          </w:tcPr>
          <w:p>
            <w:pPr>
              <w:snapToGrid w:val="0"/>
              <w:jc w:val="center"/>
              <w:rPr>
                <w:rFonts w:cs="Times New Roman" w:asciiTheme="minorEastAsia" w:hAnsiTheme="minorEastAsia"/>
                <w:szCs w:val="21"/>
              </w:rPr>
            </w:pPr>
            <w:r>
              <w:rPr>
                <w:rFonts w:hint="eastAsia" w:cs="Times New Roman" w:asciiTheme="minorEastAsia" w:hAnsiTheme="minorEastAsia"/>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250" w:type="dxa"/>
            <w:vAlign w:val="center"/>
          </w:tcPr>
          <w:p>
            <w:pPr>
              <w:snapToGrid w:val="0"/>
              <w:jc w:val="center"/>
              <w:rPr>
                <w:rFonts w:cs="Times New Roman" w:asciiTheme="minorEastAsia" w:hAnsiTheme="minorEastAsia"/>
                <w:szCs w:val="21"/>
              </w:rPr>
            </w:pPr>
            <w:r>
              <w:rPr>
                <w:rFonts w:hint="eastAsia" w:cs="Times New Roman" w:asciiTheme="minorEastAsia" w:hAnsiTheme="minorEastAsia"/>
                <w:szCs w:val="21"/>
              </w:rPr>
              <w:t>煤间接</w:t>
            </w:r>
          </w:p>
          <w:p>
            <w:pPr>
              <w:snapToGrid w:val="0"/>
              <w:jc w:val="center"/>
              <w:rPr>
                <w:rFonts w:cs="Times New Roman" w:asciiTheme="minorEastAsia" w:hAnsiTheme="minorEastAsia"/>
                <w:szCs w:val="21"/>
              </w:rPr>
            </w:pPr>
            <w:r>
              <w:rPr>
                <w:rFonts w:hint="eastAsia" w:cs="Times New Roman" w:asciiTheme="minorEastAsia" w:hAnsiTheme="minorEastAsia"/>
                <w:szCs w:val="21"/>
              </w:rPr>
              <w:t>液化</w:t>
            </w:r>
          </w:p>
        </w:tc>
        <w:tc>
          <w:tcPr>
            <w:tcW w:w="3368" w:type="dxa"/>
            <w:vAlign w:val="center"/>
          </w:tcPr>
          <w:p>
            <w:pPr>
              <w:snapToGrid w:val="0"/>
              <w:jc w:val="left"/>
              <w:rPr>
                <w:rFonts w:cs="Times New Roman" w:asciiTheme="minorEastAsia" w:hAnsiTheme="minorEastAsia"/>
                <w:szCs w:val="21"/>
              </w:rPr>
            </w:pPr>
            <w:r>
              <w:rPr>
                <w:rFonts w:hint="eastAsia" w:cs="Times New Roman" w:asciiTheme="minorEastAsia" w:hAnsiTheme="minorEastAsia"/>
                <w:szCs w:val="21"/>
              </w:rPr>
              <w:t>了解：费托合成反应器类型、合成甲醇反应器、甲醇利用进展</w:t>
            </w:r>
            <w:r>
              <w:rPr>
                <w:rFonts w:hint="eastAsia" w:cs="Times New Roman" w:asciiTheme="minorEastAsia" w:hAnsiTheme="minorEastAsia"/>
                <w:szCs w:val="21"/>
              </w:rPr>
              <w:br w:type="textWrapping"/>
            </w:r>
            <w:r>
              <w:rPr>
                <w:rFonts w:hint="eastAsia" w:cs="Times New Roman" w:asciiTheme="minorEastAsia" w:hAnsiTheme="minorEastAsia"/>
                <w:szCs w:val="21"/>
              </w:rPr>
              <w:t>理解：费托合成原理、合成甲醇的工艺流程、甲醇转化成汽油的工艺流程、煤制乙酐、合成气两段直接合成汽油。</w:t>
            </w:r>
            <w:r>
              <w:rPr>
                <w:rFonts w:hint="eastAsia" w:cs="Times New Roman" w:asciiTheme="minorEastAsia" w:hAnsiTheme="minorEastAsia"/>
                <w:szCs w:val="21"/>
              </w:rPr>
              <w:br w:type="textWrapping"/>
            </w:r>
            <w:r>
              <w:rPr>
                <w:rFonts w:hint="eastAsia" w:cs="Times New Roman" w:asciiTheme="minorEastAsia" w:hAnsiTheme="minorEastAsia"/>
                <w:szCs w:val="21"/>
              </w:rPr>
              <w:t>掌握：合成甲醇原理和工艺流程、甲醇转化成汽油的工艺流程、费托合成原理</w:t>
            </w:r>
            <w:r>
              <w:rPr>
                <w:rFonts w:hint="eastAsia" w:cs="Times New Roman" w:asciiTheme="minorEastAsia" w:hAnsiTheme="minorEastAsia"/>
                <w:szCs w:val="21"/>
              </w:rPr>
              <w:br w:type="textWrapping"/>
            </w:r>
          </w:p>
        </w:tc>
        <w:tc>
          <w:tcPr>
            <w:tcW w:w="2410" w:type="dxa"/>
            <w:vAlign w:val="center"/>
          </w:tcPr>
          <w:p>
            <w:pPr>
              <w:snapToGrid w:val="0"/>
              <w:jc w:val="left"/>
              <w:rPr>
                <w:rFonts w:cs="Times New Roman" w:asciiTheme="minorEastAsia" w:hAnsiTheme="minorEastAsia"/>
                <w:szCs w:val="21"/>
              </w:rPr>
            </w:pPr>
            <w:r>
              <w:rPr>
                <w:rFonts w:hint="eastAsia" w:cs="Times New Roman" w:asciiTheme="minorEastAsia" w:hAnsiTheme="minorEastAsia"/>
                <w:szCs w:val="21"/>
              </w:rPr>
              <w:t>合成甲醇的工艺流程、甲醇转化成汽油的工艺流程、费托合成原理</w:t>
            </w:r>
          </w:p>
        </w:tc>
        <w:tc>
          <w:tcPr>
            <w:tcW w:w="1152" w:type="dxa"/>
            <w:vAlign w:val="center"/>
          </w:tcPr>
          <w:p>
            <w:pPr>
              <w:snapToGrid w:val="0"/>
              <w:jc w:val="center"/>
              <w:rPr>
                <w:rFonts w:cs="Times New Roman" w:asciiTheme="minorEastAsia" w:hAnsiTheme="minorEastAsia"/>
                <w:szCs w:val="21"/>
              </w:rPr>
            </w:pPr>
            <w:r>
              <w:rPr>
                <w:rFonts w:hint="eastAsia" w:cs="Times New Roman" w:asciiTheme="minorEastAsia" w:hAnsiTheme="minorEastAsia"/>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250" w:type="dxa"/>
            <w:vAlign w:val="center"/>
          </w:tcPr>
          <w:p>
            <w:pPr>
              <w:snapToGrid w:val="0"/>
              <w:jc w:val="center"/>
              <w:rPr>
                <w:rFonts w:cs="Times New Roman" w:asciiTheme="minorEastAsia" w:hAnsiTheme="minorEastAsia"/>
                <w:szCs w:val="21"/>
              </w:rPr>
            </w:pPr>
            <w:r>
              <w:rPr>
                <w:rFonts w:hint="eastAsia" w:cs="Times New Roman" w:asciiTheme="minorEastAsia" w:hAnsiTheme="minorEastAsia"/>
                <w:szCs w:val="21"/>
              </w:rPr>
              <w:t>煤直接</w:t>
            </w:r>
          </w:p>
          <w:p>
            <w:pPr>
              <w:snapToGrid w:val="0"/>
              <w:jc w:val="center"/>
              <w:rPr>
                <w:rFonts w:cs="Times New Roman" w:asciiTheme="minorEastAsia" w:hAnsiTheme="minorEastAsia"/>
                <w:szCs w:val="21"/>
              </w:rPr>
            </w:pPr>
            <w:r>
              <w:rPr>
                <w:rFonts w:hint="eastAsia" w:cs="Times New Roman" w:asciiTheme="minorEastAsia" w:hAnsiTheme="minorEastAsia"/>
                <w:szCs w:val="21"/>
              </w:rPr>
              <w:t>液化</w:t>
            </w:r>
          </w:p>
        </w:tc>
        <w:tc>
          <w:tcPr>
            <w:tcW w:w="3368" w:type="dxa"/>
            <w:vAlign w:val="center"/>
          </w:tcPr>
          <w:p>
            <w:pPr>
              <w:snapToGrid w:val="0"/>
              <w:jc w:val="left"/>
              <w:rPr>
                <w:rFonts w:cs="Times New Roman" w:asciiTheme="minorEastAsia" w:hAnsiTheme="minorEastAsia"/>
                <w:szCs w:val="21"/>
              </w:rPr>
            </w:pPr>
            <w:r>
              <w:rPr>
                <w:rFonts w:hint="eastAsia" w:cs="Times New Roman" w:asciiTheme="minorEastAsia" w:hAnsiTheme="minorEastAsia"/>
                <w:szCs w:val="21"/>
              </w:rPr>
              <w:t>了解：煤直接液化的意义和发展概况、煤直接液化的发展前景</w:t>
            </w:r>
            <w:r>
              <w:rPr>
                <w:rFonts w:hint="eastAsia" w:cs="Times New Roman" w:asciiTheme="minorEastAsia" w:hAnsiTheme="minorEastAsia"/>
                <w:szCs w:val="21"/>
              </w:rPr>
              <w:br w:type="textWrapping"/>
            </w:r>
            <w:r>
              <w:rPr>
                <w:rFonts w:hint="eastAsia" w:cs="Times New Roman" w:asciiTheme="minorEastAsia" w:hAnsiTheme="minorEastAsia"/>
                <w:szCs w:val="21"/>
              </w:rPr>
              <w:t>理解：煤加氢液化原理</w:t>
            </w:r>
            <w:r>
              <w:rPr>
                <w:rFonts w:hint="eastAsia" w:cs="Times New Roman" w:asciiTheme="minorEastAsia" w:hAnsiTheme="minorEastAsia"/>
                <w:szCs w:val="21"/>
              </w:rPr>
              <w:br w:type="textWrapping"/>
            </w:r>
            <w:r>
              <w:rPr>
                <w:rFonts w:hint="eastAsia" w:cs="Times New Roman" w:asciiTheme="minorEastAsia" w:hAnsiTheme="minorEastAsia"/>
                <w:szCs w:val="21"/>
              </w:rPr>
              <w:t>掌握：德国煤直接液化工艺、美国煤加氢液化的中间试验、煤直接液化技术开发中的若干重要问题</w:t>
            </w:r>
          </w:p>
        </w:tc>
        <w:tc>
          <w:tcPr>
            <w:tcW w:w="2410" w:type="dxa"/>
            <w:vAlign w:val="center"/>
          </w:tcPr>
          <w:p>
            <w:pPr>
              <w:snapToGrid w:val="0"/>
              <w:jc w:val="left"/>
              <w:rPr>
                <w:rFonts w:cs="Times New Roman" w:asciiTheme="minorEastAsia" w:hAnsiTheme="minorEastAsia"/>
                <w:szCs w:val="21"/>
              </w:rPr>
            </w:pPr>
            <w:r>
              <w:rPr>
                <w:rFonts w:hint="eastAsia" w:cs="Times New Roman" w:asciiTheme="minorEastAsia" w:hAnsiTheme="minorEastAsia"/>
                <w:szCs w:val="21"/>
              </w:rPr>
              <w:t>煤加氢液化原理，煤直接液化技术开发中的若干重要问题，煤直接液化新技术的开发</w:t>
            </w:r>
          </w:p>
        </w:tc>
        <w:tc>
          <w:tcPr>
            <w:tcW w:w="1152" w:type="dxa"/>
            <w:vAlign w:val="center"/>
          </w:tcPr>
          <w:p>
            <w:pPr>
              <w:snapToGrid w:val="0"/>
              <w:jc w:val="center"/>
              <w:rPr>
                <w:rFonts w:cs="Times New Roman" w:asciiTheme="minorEastAsia" w:hAnsiTheme="minorEastAsia"/>
                <w:szCs w:val="21"/>
              </w:rPr>
            </w:pPr>
            <w:r>
              <w:rPr>
                <w:rFonts w:hint="eastAsia" w:cs="Times New Roman" w:asciiTheme="minorEastAsia" w:hAnsiTheme="minorEastAsia"/>
                <w:szCs w:val="21"/>
              </w:rPr>
              <w:t>8</w:t>
            </w:r>
          </w:p>
        </w:tc>
      </w:tr>
    </w:tbl>
    <w:p>
      <w:pPr>
        <w:adjustRightInd w:val="0"/>
        <w:snapToGrid w:val="0"/>
        <w:spacing w:beforeLines="50" w:line="360" w:lineRule="auto"/>
        <w:ind w:firstLine="480" w:firstLineChars="150"/>
        <w:rPr>
          <w:rFonts w:ascii="黑体" w:hAnsi="黑体" w:eastAsia="黑体" w:cs="Times New Roman"/>
          <w:sz w:val="32"/>
          <w:szCs w:val="32"/>
        </w:rPr>
      </w:pPr>
      <w:r>
        <w:rPr>
          <w:rFonts w:hint="eastAsia" w:ascii="黑体" w:hAnsi="黑体" w:eastAsia="黑体" w:cs="Times New Roman"/>
          <w:sz w:val="32"/>
          <w:szCs w:val="32"/>
        </w:rPr>
        <w:t>五、教学组织与教学方法</w:t>
      </w:r>
    </w:p>
    <w:p>
      <w:pPr>
        <w:widowControl/>
        <w:spacing w:line="360" w:lineRule="auto"/>
        <w:ind w:firstLine="480" w:firstLineChars="200"/>
        <w:jc w:val="left"/>
        <w:rPr>
          <w:rFonts w:ascii="宋体" w:hAnsi="宋体" w:eastAsia="宋体" w:cs="宋体"/>
          <w:color w:val="000000"/>
          <w:kern w:val="0"/>
          <w:sz w:val="24"/>
        </w:rPr>
      </w:pPr>
      <w:r>
        <w:rPr>
          <w:rFonts w:hint="eastAsia" w:ascii="宋体" w:hAnsi="宋体" w:eastAsia="宋体" w:cs="宋体"/>
          <w:color w:val="000000"/>
          <w:kern w:val="0"/>
          <w:sz w:val="24"/>
        </w:rPr>
        <w:t xml:space="preserve">本门课程通过具体煤炭化工产品生产讲解煤化工生产工艺知识，教学实施过程中要注意在煤化工产品生产过程中理论应用，同时要注重培养学生的应用所学知识分析问题，并提出解决实际问题方法。在教学过程中加强职业素质培养。 </w:t>
      </w:r>
    </w:p>
    <w:p>
      <w:pPr>
        <w:widowControl/>
        <w:spacing w:line="480" w:lineRule="atLeast"/>
        <w:ind w:firstLine="480"/>
        <w:jc w:val="left"/>
        <w:textAlignment w:val="baseline"/>
        <w:rPr>
          <w:rFonts w:ascii="宋体" w:hAnsi="宋体" w:eastAsia="宋体" w:cs="宋体"/>
          <w:color w:val="333333"/>
          <w:kern w:val="0"/>
          <w:sz w:val="24"/>
        </w:rPr>
      </w:pPr>
      <w:r>
        <w:rPr>
          <w:rFonts w:hint="eastAsia" w:ascii="宋体" w:hAnsi="宋体" w:eastAsia="宋体" w:cs="宋体"/>
          <w:color w:val="333333"/>
          <w:kern w:val="0"/>
          <w:sz w:val="24"/>
        </w:rPr>
        <w:t>本门教学中应注意理论与实践的结合，适当安排指导性自习，加强课前、课后的答疑辅导，注意学生能力的培养，使学生通过对无机化学相关知识的理解，树立整体观念，进而总结归纳元素或化合物化学性质、化学反应一些深层次的基本规律。</w:t>
      </w:r>
    </w:p>
    <w:p>
      <w:pPr>
        <w:widowControl/>
        <w:spacing w:line="480" w:lineRule="atLeast"/>
        <w:ind w:firstLine="480"/>
        <w:jc w:val="left"/>
        <w:textAlignment w:val="baseline"/>
        <w:rPr>
          <w:rFonts w:ascii="宋体" w:hAnsi="宋体" w:eastAsia="宋体" w:cs="宋体"/>
          <w:color w:val="333333"/>
          <w:kern w:val="0"/>
          <w:sz w:val="24"/>
        </w:rPr>
      </w:pPr>
      <w:r>
        <w:rPr>
          <w:rFonts w:hint="eastAsia" w:ascii="宋体" w:hAnsi="宋体" w:eastAsia="宋体" w:cs="宋体"/>
          <w:color w:val="333333"/>
          <w:kern w:val="0"/>
          <w:sz w:val="24"/>
        </w:rPr>
        <w:t xml:space="preserve">1.开展课堂讨论式教学法 </w:t>
      </w:r>
    </w:p>
    <w:p>
      <w:pPr>
        <w:widowControl/>
        <w:spacing w:line="480" w:lineRule="atLeast"/>
        <w:ind w:firstLine="480"/>
        <w:jc w:val="left"/>
        <w:textAlignment w:val="baseline"/>
        <w:rPr>
          <w:rFonts w:ascii="宋体" w:hAnsi="宋体" w:eastAsia="宋体" w:cs="宋体"/>
          <w:color w:val="333333"/>
          <w:kern w:val="0"/>
          <w:sz w:val="24"/>
        </w:rPr>
      </w:pPr>
      <w:r>
        <w:rPr>
          <w:rFonts w:hint="eastAsia" w:ascii="宋体" w:hAnsi="宋体" w:eastAsia="宋体" w:cs="宋体"/>
          <w:color w:val="333333"/>
          <w:kern w:val="0"/>
          <w:sz w:val="24"/>
        </w:rPr>
        <w:t xml:space="preserve">建议可在部分章节采用以事例为引导的课堂讨论式教学，通过事例引导和教师指导下的课堂讨论、资料查询、自学等方式启发学生分析、讨论有关煤化工生产问题，学习煤化工生产的知识。这些章节包括空气深冷液化分离、催化剂与催化作用、干煤粉气化等内容。 </w:t>
      </w:r>
    </w:p>
    <w:p>
      <w:pPr>
        <w:widowControl/>
        <w:spacing w:line="480" w:lineRule="atLeast"/>
        <w:ind w:firstLine="480"/>
        <w:jc w:val="left"/>
        <w:textAlignment w:val="baseline"/>
        <w:rPr>
          <w:rFonts w:ascii="宋体" w:hAnsi="宋体" w:eastAsia="宋体" w:cs="宋体"/>
          <w:color w:val="333333"/>
          <w:kern w:val="0"/>
          <w:sz w:val="24"/>
        </w:rPr>
      </w:pPr>
      <w:r>
        <w:rPr>
          <w:rFonts w:hint="eastAsia" w:ascii="宋体" w:hAnsi="宋体" w:eastAsia="宋体" w:cs="宋体"/>
          <w:color w:val="333333"/>
          <w:kern w:val="0"/>
          <w:sz w:val="24"/>
        </w:rPr>
        <w:t xml:space="preserve">2.倡导以问题为中心的教学方式 </w:t>
      </w:r>
    </w:p>
    <w:p>
      <w:pPr>
        <w:widowControl/>
        <w:spacing w:line="480" w:lineRule="atLeast"/>
        <w:ind w:firstLine="480"/>
        <w:jc w:val="left"/>
        <w:textAlignment w:val="baseline"/>
        <w:rPr>
          <w:rFonts w:ascii="宋体" w:hAnsi="宋体" w:eastAsia="宋体" w:cs="宋体"/>
          <w:color w:val="333333"/>
          <w:kern w:val="0"/>
          <w:sz w:val="24"/>
        </w:rPr>
      </w:pPr>
      <w:r>
        <w:rPr>
          <w:rFonts w:hint="eastAsia" w:ascii="宋体" w:hAnsi="宋体" w:eastAsia="宋体" w:cs="宋体"/>
          <w:color w:val="333333"/>
          <w:kern w:val="0"/>
          <w:sz w:val="24"/>
        </w:rPr>
        <w:t>以学生为主体的小组讨论式的方法，强调从提出问题人手，激发学生学习的兴趣，让学生有针对性地去探索并运用理论知识，以提高分析和解决问题的能力。</w:t>
      </w:r>
    </w:p>
    <w:p>
      <w:pPr>
        <w:adjustRightInd w:val="0"/>
        <w:snapToGrid w:val="0"/>
        <w:spacing w:beforeLines="50" w:line="360" w:lineRule="auto"/>
        <w:ind w:firstLine="480" w:firstLineChars="150"/>
        <w:rPr>
          <w:rFonts w:ascii="黑体" w:hAnsi="黑体" w:eastAsia="黑体" w:cs="Times New Roman"/>
          <w:sz w:val="32"/>
          <w:szCs w:val="32"/>
        </w:rPr>
      </w:pPr>
      <w:r>
        <w:rPr>
          <w:rFonts w:hint="eastAsia" w:ascii="黑体" w:hAnsi="黑体" w:eastAsia="黑体" w:cs="Times New Roman"/>
          <w:sz w:val="32"/>
          <w:szCs w:val="32"/>
        </w:rPr>
        <w:t>六、考核标准与成绩评定方法</w:t>
      </w:r>
    </w:p>
    <w:p>
      <w:pPr>
        <w:widowControl/>
        <w:spacing w:line="480" w:lineRule="atLeast"/>
        <w:ind w:firstLine="480"/>
        <w:jc w:val="left"/>
        <w:textAlignment w:val="baseline"/>
        <w:rPr>
          <w:rFonts w:ascii="宋体" w:hAnsi="宋体" w:eastAsia="宋体" w:cs="Times New Roman"/>
          <w:sz w:val="24"/>
        </w:rPr>
      </w:pPr>
      <w:r>
        <w:rPr>
          <w:rFonts w:hint="eastAsia" w:ascii="宋体" w:hAnsi="宋体" w:eastAsia="宋体" w:cs="Times New Roman"/>
          <w:sz w:val="24"/>
        </w:rPr>
        <w:t>1.</w:t>
      </w:r>
      <w:r>
        <w:rPr>
          <w:rFonts w:ascii="宋体" w:hAnsi="宋体" w:eastAsia="宋体" w:cs="Times New Roman"/>
          <w:sz w:val="24"/>
        </w:rPr>
        <w:t>本门课程是一门考试课，评价依据是本课程标准规定的课程目标、教学内容和要求。</w:t>
      </w:r>
    </w:p>
    <w:p>
      <w:pPr>
        <w:widowControl/>
        <w:spacing w:line="480" w:lineRule="atLeast"/>
        <w:ind w:firstLine="480"/>
        <w:jc w:val="left"/>
        <w:textAlignment w:val="baseline"/>
        <w:rPr>
          <w:rFonts w:ascii="宋体" w:hAnsi="宋体" w:eastAsia="宋体" w:cs="Times New Roman"/>
          <w:sz w:val="24"/>
        </w:rPr>
      </w:pPr>
      <w:r>
        <w:rPr>
          <w:rFonts w:hint="eastAsia" w:ascii="宋体" w:hAnsi="宋体" w:eastAsia="宋体" w:cs="Times New Roman"/>
          <w:sz w:val="24"/>
        </w:rPr>
        <w:t>2.</w:t>
      </w:r>
      <w:r>
        <w:rPr>
          <w:rFonts w:ascii="宋体" w:hAnsi="宋体" w:eastAsia="宋体" w:cs="Times New Roman"/>
          <w:sz w:val="24"/>
        </w:rPr>
        <w:t>考试时间：90分钟（理论考核90分钟）。</w:t>
      </w:r>
    </w:p>
    <w:p>
      <w:pPr>
        <w:widowControl/>
        <w:spacing w:line="480" w:lineRule="atLeast"/>
        <w:ind w:firstLine="480"/>
        <w:jc w:val="left"/>
        <w:textAlignment w:val="baseline"/>
        <w:rPr>
          <w:rFonts w:ascii="宋体" w:hAnsi="宋体" w:eastAsia="宋体" w:cs="Times New Roman"/>
          <w:sz w:val="24"/>
        </w:rPr>
      </w:pPr>
      <w:r>
        <w:rPr>
          <w:rFonts w:hint="eastAsia" w:ascii="宋体" w:hAnsi="宋体" w:eastAsia="宋体" w:cs="Times New Roman"/>
          <w:sz w:val="24"/>
        </w:rPr>
        <w:t>3.</w:t>
      </w:r>
      <w:r>
        <w:rPr>
          <w:rFonts w:ascii="宋体" w:hAnsi="宋体" w:eastAsia="宋体" w:cs="Times New Roman"/>
          <w:sz w:val="24"/>
        </w:rPr>
        <w:t xml:space="preserve">考试方式、分制与解释 </w:t>
      </w:r>
    </w:p>
    <w:p>
      <w:pPr>
        <w:widowControl/>
        <w:spacing w:line="480" w:lineRule="atLeast"/>
        <w:ind w:firstLine="480"/>
        <w:jc w:val="left"/>
        <w:textAlignment w:val="baseline"/>
        <w:rPr>
          <w:rFonts w:ascii="宋体" w:hAnsi="宋体" w:eastAsia="宋体" w:cs="Times New Roman"/>
          <w:sz w:val="24"/>
        </w:rPr>
      </w:pPr>
      <w:r>
        <w:rPr>
          <w:rFonts w:hint="eastAsia" w:ascii="宋体" w:hAnsi="宋体" w:eastAsia="宋体" w:cs="Times New Roman"/>
          <w:sz w:val="24"/>
        </w:rPr>
        <w:t>（1）</w:t>
      </w:r>
      <w:r>
        <w:rPr>
          <w:rFonts w:ascii="宋体" w:hAnsi="宋体" w:eastAsia="宋体" w:cs="Times New Roman"/>
          <w:sz w:val="24"/>
        </w:rPr>
        <w:t>理论成绩的综合评价 采用闭卷、笔试的方式，以百分制评分，满分为100分，占总评成绩的</w:t>
      </w:r>
      <w:r>
        <w:rPr>
          <w:rFonts w:hint="eastAsia" w:ascii="宋体" w:hAnsi="宋体" w:eastAsia="宋体" w:cs="Times New Roman"/>
          <w:sz w:val="24"/>
        </w:rPr>
        <w:t>6</w:t>
      </w:r>
      <w:r>
        <w:rPr>
          <w:rFonts w:ascii="宋体" w:hAnsi="宋体" w:eastAsia="宋体" w:cs="Times New Roman"/>
          <w:sz w:val="24"/>
        </w:rPr>
        <w:t xml:space="preserve">0%。 </w:t>
      </w:r>
    </w:p>
    <w:p>
      <w:pPr>
        <w:widowControl/>
        <w:spacing w:line="480" w:lineRule="atLeast"/>
        <w:ind w:firstLine="480"/>
        <w:jc w:val="left"/>
        <w:textAlignment w:val="baseline"/>
        <w:rPr>
          <w:rFonts w:ascii="宋体" w:hAnsi="宋体" w:eastAsia="宋体" w:cs="Times New Roman"/>
          <w:sz w:val="24"/>
        </w:rPr>
      </w:pPr>
      <w:r>
        <w:rPr>
          <w:rFonts w:hint="eastAsia" w:ascii="宋体" w:hAnsi="宋体" w:eastAsia="宋体" w:cs="Times New Roman"/>
          <w:sz w:val="24"/>
        </w:rPr>
        <w:t>（2）</w:t>
      </w:r>
      <w:r>
        <w:rPr>
          <w:rFonts w:ascii="宋体" w:hAnsi="宋体" w:eastAsia="宋体" w:cs="Times New Roman"/>
          <w:sz w:val="24"/>
        </w:rPr>
        <w:t>实验成绩的综合评价 实验成绩由实验现场表现和实验报告成绩两部分组成。实验成绩占总评成绩的</w:t>
      </w:r>
      <w:r>
        <w:rPr>
          <w:rFonts w:hint="eastAsia" w:ascii="宋体" w:hAnsi="宋体" w:eastAsia="宋体" w:cs="Times New Roman"/>
          <w:sz w:val="24"/>
        </w:rPr>
        <w:t>4</w:t>
      </w:r>
      <w:r>
        <w:rPr>
          <w:rFonts w:ascii="宋体" w:hAnsi="宋体" w:eastAsia="宋体" w:cs="Times New Roman"/>
          <w:sz w:val="24"/>
        </w:rPr>
        <w:t>0%。</w:t>
      </w:r>
    </w:p>
    <w:p>
      <w:pPr>
        <w:widowControl/>
        <w:spacing w:line="480" w:lineRule="atLeast"/>
        <w:ind w:firstLine="480"/>
        <w:jc w:val="left"/>
        <w:textAlignment w:val="baseline"/>
        <w:rPr>
          <w:rFonts w:ascii="宋体" w:hAnsi="宋体" w:eastAsia="宋体" w:cs="Times New Roman"/>
          <w:sz w:val="24"/>
        </w:rPr>
      </w:pPr>
    </w:p>
    <w:p>
      <w:pPr>
        <w:adjustRightInd w:val="0"/>
        <w:snapToGrid w:val="0"/>
        <w:spacing w:beforeLines="50" w:line="360" w:lineRule="auto"/>
        <w:ind w:firstLine="480" w:firstLineChars="150"/>
        <w:rPr>
          <w:rFonts w:ascii="黑体" w:hAnsi="黑体" w:eastAsia="黑体" w:cs="Times New Roman"/>
          <w:sz w:val="32"/>
          <w:szCs w:val="32"/>
        </w:rPr>
      </w:pPr>
      <w:r>
        <w:rPr>
          <w:rFonts w:hint="eastAsia" w:ascii="黑体" w:hAnsi="黑体" w:eastAsia="黑体" w:cs="Times New Roman"/>
          <w:sz w:val="32"/>
          <w:szCs w:val="32"/>
        </w:rPr>
        <w:t>七、教学建议</w:t>
      </w:r>
    </w:p>
    <w:p>
      <w:pPr>
        <w:spacing w:line="360" w:lineRule="auto"/>
        <w:ind w:firstLine="480"/>
        <w:rPr>
          <w:rFonts w:ascii="宋体" w:hAnsi="宋体" w:eastAsia="宋体" w:cs="Times New Roman"/>
          <w:sz w:val="24"/>
        </w:rPr>
      </w:pPr>
      <w:r>
        <w:rPr>
          <w:rFonts w:hint="eastAsia" w:ascii="宋体" w:hAnsi="宋体" w:eastAsia="宋体" w:cs="Times New Roman"/>
          <w:sz w:val="24"/>
        </w:rPr>
        <w:t>重视基础知识，加强学的动手能力，借助现代化的教学手段，激发学生的学习兴趣，重视在教学过程中，激发和训练学生的创新思维，尽量与社会、生产生活相联系，培养学生的综合能力。</w:t>
      </w:r>
    </w:p>
    <w:p>
      <w:pPr>
        <w:spacing w:line="360" w:lineRule="auto"/>
        <w:ind w:firstLine="480"/>
        <w:rPr>
          <w:rFonts w:ascii="宋体" w:hAnsi="宋体" w:eastAsia="宋体" w:cs="Times New Roman"/>
          <w:sz w:val="24"/>
        </w:rPr>
      </w:pPr>
      <w:r>
        <w:rPr>
          <w:rFonts w:hint="eastAsia" w:ascii="宋体" w:hAnsi="宋体" w:eastAsia="宋体" w:cs="Times New Roman"/>
          <w:sz w:val="24"/>
        </w:rPr>
        <w:t>特色教材的编写过程依据本课程人才培养目标的要求，与项目组成员中的企业人员进行讨论，分析，确定切合生产实际的教材内容。教材编写中注重教材的实用性和技能性，以任务驱动，实践导向设计的思路。</w:t>
      </w:r>
    </w:p>
    <w:p>
      <w:pPr>
        <w:adjustRightInd w:val="0"/>
        <w:snapToGrid w:val="0"/>
        <w:spacing w:beforeLines="50" w:line="360" w:lineRule="auto"/>
        <w:ind w:firstLine="640" w:firstLineChars="200"/>
        <w:rPr>
          <w:rFonts w:ascii="黑体" w:hAnsi="黑体" w:eastAsia="黑体" w:cs="Times New Roman"/>
          <w:sz w:val="32"/>
          <w:szCs w:val="32"/>
        </w:rPr>
      </w:pPr>
      <w:r>
        <w:rPr>
          <w:rFonts w:hint="eastAsia" w:ascii="黑体" w:hAnsi="黑体" w:eastAsia="黑体" w:cs="Times New Roman"/>
          <w:sz w:val="32"/>
          <w:szCs w:val="32"/>
        </w:rPr>
        <w:t>八、选用教材标及推荐教材和参考用书（或课程网站）</w:t>
      </w:r>
    </w:p>
    <w:p>
      <w:pPr>
        <w:widowControl/>
        <w:spacing w:line="480" w:lineRule="atLeast"/>
        <w:ind w:firstLine="480"/>
        <w:jc w:val="left"/>
        <w:textAlignment w:val="baseline"/>
        <w:rPr>
          <w:rFonts w:ascii="宋体" w:hAnsi="宋体" w:eastAsia="宋体" w:cs="Times New Roman"/>
          <w:sz w:val="24"/>
        </w:rPr>
      </w:pPr>
      <w:r>
        <w:rPr>
          <w:rFonts w:hint="eastAsia" w:ascii="宋体" w:hAnsi="宋体" w:eastAsia="宋体" w:cs="Times New Roman"/>
          <w:sz w:val="24"/>
        </w:rPr>
        <w:t>《煤化工生产技术》.侯霞主编.北京.中国石化出版社。</w:t>
      </w:r>
    </w:p>
    <w:p>
      <w:pPr>
        <w:widowControl/>
        <w:spacing w:line="480" w:lineRule="atLeast"/>
        <w:ind w:firstLine="480"/>
        <w:jc w:val="left"/>
        <w:textAlignment w:val="baseline"/>
        <w:rPr>
          <w:rFonts w:ascii="宋体" w:hAnsi="宋体" w:eastAsia="宋体" w:cs="Times New Roman"/>
          <w:sz w:val="24"/>
        </w:rPr>
      </w:pPr>
      <w:r>
        <w:rPr>
          <w:rFonts w:ascii="宋体" w:hAnsi="宋体" w:eastAsia="宋体" w:cs="Times New Roman"/>
          <w:sz w:val="24"/>
        </w:rPr>
        <w:t xml:space="preserve">《煤化工工艺学》，编者：郭树才，化学工业出版社。 </w:t>
      </w:r>
    </w:p>
    <w:p>
      <w:pPr>
        <w:widowControl/>
        <w:spacing w:line="480" w:lineRule="atLeast"/>
        <w:ind w:firstLine="480"/>
        <w:jc w:val="left"/>
        <w:textAlignment w:val="baseline"/>
        <w:rPr>
          <w:rFonts w:ascii="宋体" w:hAnsi="宋体" w:eastAsia="宋体" w:cs="Times New Roman"/>
          <w:sz w:val="24"/>
        </w:rPr>
      </w:pPr>
      <w:r>
        <w:rPr>
          <w:rFonts w:ascii="宋体" w:hAnsi="宋体" w:eastAsia="宋体" w:cs="Times New Roman"/>
          <w:sz w:val="24"/>
        </w:rPr>
        <w:t>《煤化工基础》，编者：李玉林、胡瑞生、白雅琴，化学工业出版社。</w:t>
      </w:r>
    </w:p>
    <w:p>
      <w:pPr>
        <w:widowControl/>
        <w:spacing w:line="480" w:lineRule="atLeast"/>
        <w:ind w:firstLine="480"/>
        <w:jc w:val="left"/>
        <w:textAlignment w:val="baseline"/>
        <w:rPr>
          <w:rFonts w:ascii="宋体" w:hAnsi="宋体" w:eastAsia="宋体" w:cs="Times New Roman"/>
          <w:sz w:val="24"/>
        </w:rPr>
      </w:pPr>
      <w:r>
        <w:rPr>
          <w:rFonts w:ascii="宋体" w:hAnsi="宋体" w:eastAsia="宋体" w:cs="Times New Roman"/>
          <w:sz w:val="24"/>
        </w:rPr>
        <w:t>《煤化学》，编者：朱银惠，化学工业出版社。</w:t>
      </w:r>
    </w:p>
    <w:p>
      <w:pPr>
        <w:widowControl/>
        <w:spacing w:line="480" w:lineRule="atLeast"/>
        <w:ind w:firstLine="480"/>
        <w:jc w:val="left"/>
        <w:textAlignment w:val="baseline"/>
        <w:rPr>
          <w:rFonts w:ascii="宋体" w:hAnsi="宋体" w:eastAsia="宋体" w:cs="Times New Roman"/>
          <w:sz w:val="24"/>
        </w:rPr>
      </w:pPr>
    </w:p>
    <w:p>
      <w:pPr>
        <w:widowControl/>
        <w:spacing w:line="480" w:lineRule="atLeast"/>
        <w:ind w:firstLine="480"/>
        <w:jc w:val="left"/>
        <w:textAlignment w:val="baseline"/>
        <w:rPr>
          <w:rFonts w:ascii="宋体" w:hAnsi="宋体" w:eastAsia="宋体" w:cs="宋体"/>
          <w:kern w:val="0"/>
          <w:sz w:val="24"/>
        </w:rPr>
      </w:pPr>
    </w:p>
    <w:p>
      <w:pPr>
        <w:pStyle w:val="2"/>
        <w:jc w:val="center"/>
        <w:rPr>
          <w:rFonts w:ascii="黑体" w:hAnsi="黑体" w:eastAsia="黑体"/>
          <w:b w:val="0"/>
          <w:sz w:val="36"/>
          <w:szCs w:val="36"/>
        </w:rPr>
      </w:pPr>
      <w:bookmarkStart w:id="97" w:name="_Toc16845"/>
      <w:bookmarkStart w:id="98" w:name="_Toc17278765"/>
      <w:r>
        <w:rPr>
          <w:rFonts w:hint="eastAsia" w:ascii="黑体" w:hAnsi="黑体" w:eastAsia="黑体"/>
          <w:b w:val="0"/>
          <w:sz w:val="36"/>
          <w:szCs w:val="36"/>
        </w:rPr>
        <w:t>第五部分 应用化工技术专业教学</w:t>
      </w:r>
      <w:bookmarkEnd w:id="97"/>
    </w:p>
    <w:p>
      <w:pPr>
        <w:pStyle w:val="2"/>
        <w:jc w:val="center"/>
        <w:rPr>
          <w:rFonts w:ascii="黑体" w:hAnsi="黑体" w:eastAsia="黑体"/>
          <w:b w:val="0"/>
          <w:color w:val="FF0000"/>
          <w:sz w:val="36"/>
          <w:szCs w:val="36"/>
        </w:rPr>
      </w:pPr>
      <w:bookmarkStart w:id="99" w:name="_Toc12719"/>
      <w:r>
        <w:rPr>
          <w:rFonts w:hint="eastAsia" w:ascii="黑体" w:hAnsi="黑体" w:eastAsia="黑体"/>
          <w:b w:val="0"/>
          <w:sz w:val="36"/>
          <w:szCs w:val="36"/>
        </w:rPr>
        <w:t>实施保障方案</w:t>
      </w:r>
      <w:bookmarkEnd w:id="98"/>
      <w:bookmarkEnd w:id="99"/>
    </w:p>
    <w:p>
      <w:pPr>
        <w:pStyle w:val="3"/>
        <w:ind w:firstLine="480" w:firstLineChars="150"/>
        <w:rPr>
          <w:b w:val="0"/>
        </w:rPr>
      </w:pPr>
      <w:bookmarkStart w:id="100" w:name="_Toc17278766"/>
      <w:bookmarkStart w:id="101" w:name="_Toc26473"/>
      <w:bookmarkStart w:id="102" w:name="_Toc339985620"/>
      <w:bookmarkStart w:id="103" w:name="_Toc339913819"/>
      <w:bookmarkStart w:id="104" w:name="_Toc341338655"/>
      <w:bookmarkStart w:id="105" w:name="_Toc26339"/>
      <w:r>
        <w:rPr>
          <w:rFonts w:hint="eastAsia"/>
          <w:b w:val="0"/>
        </w:rPr>
        <w:t>一、人才培养方案的实施与保障</w:t>
      </w:r>
      <w:bookmarkEnd w:id="100"/>
      <w:bookmarkEnd w:id="101"/>
      <w:bookmarkEnd w:id="102"/>
      <w:bookmarkEnd w:id="103"/>
      <w:bookmarkEnd w:id="104"/>
      <w:bookmarkEnd w:id="105"/>
    </w:p>
    <w:p>
      <w:pPr>
        <w:spacing w:line="360" w:lineRule="auto"/>
        <w:ind w:firstLine="300" w:firstLineChars="100"/>
        <w:rPr>
          <w:rFonts w:ascii="黑体" w:hAnsi="黑体" w:eastAsia="黑体"/>
          <w:sz w:val="30"/>
          <w:szCs w:val="30"/>
        </w:rPr>
      </w:pPr>
      <w:bookmarkStart w:id="106" w:name="_Toc339985621"/>
      <w:bookmarkStart w:id="107" w:name="_Toc341338656"/>
      <w:bookmarkStart w:id="108" w:name="_Toc19196"/>
      <w:bookmarkStart w:id="109" w:name="_Toc339913820"/>
      <w:r>
        <w:rPr>
          <w:rFonts w:hint="eastAsia" w:ascii="黑体" w:hAnsi="黑体" w:eastAsia="黑体"/>
          <w:sz w:val="30"/>
          <w:szCs w:val="30"/>
        </w:rPr>
        <w:t>（一）人才培养方案管理与实施的组织保障</w:t>
      </w:r>
    </w:p>
    <w:p>
      <w:pPr>
        <w:spacing w:line="360" w:lineRule="auto"/>
        <w:ind w:firstLine="480" w:firstLineChars="200"/>
        <w:rPr>
          <w:rFonts w:ascii="宋体" w:hAnsi="宋体"/>
          <w:sz w:val="24"/>
        </w:rPr>
      </w:pPr>
      <w:r>
        <w:rPr>
          <w:rFonts w:ascii="宋体" w:hAnsi="宋体"/>
          <w:sz w:val="24"/>
        </w:rPr>
        <w:t>首先，培养方案是人才培养的纲领性、指导性的实施文件。按照</w:t>
      </w:r>
      <w:r>
        <w:rPr>
          <w:rFonts w:hint="eastAsia" w:ascii="宋体" w:hAnsi="宋体"/>
          <w:sz w:val="24"/>
        </w:rPr>
        <w:t>央财支持专业建设</w:t>
      </w:r>
      <w:r>
        <w:rPr>
          <w:rFonts w:ascii="宋体" w:hAnsi="宋体"/>
          <w:sz w:val="24"/>
        </w:rPr>
        <w:t>的要求，</w:t>
      </w:r>
      <w:r>
        <w:rPr>
          <w:rFonts w:hint="eastAsia" w:ascii="宋体" w:hAnsi="宋体"/>
          <w:sz w:val="24"/>
        </w:rPr>
        <w:t>科学合理地</w:t>
      </w:r>
      <w:r>
        <w:rPr>
          <w:rFonts w:ascii="宋体" w:hAnsi="宋体"/>
          <w:sz w:val="24"/>
        </w:rPr>
        <w:t>构建工学结合、以</w:t>
      </w:r>
      <w:r>
        <w:rPr>
          <w:rFonts w:hint="eastAsia" w:ascii="宋体" w:hAnsi="宋体"/>
          <w:sz w:val="24"/>
        </w:rPr>
        <w:t>任务驱动型</w:t>
      </w:r>
      <w:r>
        <w:rPr>
          <w:rFonts w:ascii="宋体" w:hAnsi="宋体"/>
          <w:sz w:val="24"/>
        </w:rPr>
        <w:t>为导向的人才培养方案，培养符合社会需求的</w:t>
      </w:r>
      <w:r>
        <w:rPr>
          <w:rFonts w:hint="eastAsia" w:ascii="宋体" w:hAnsi="宋体"/>
          <w:sz w:val="24"/>
        </w:rPr>
        <w:t>高素质技术技能</w:t>
      </w:r>
      <w:r>
        <w:rPr>
          <w:rFonts w:ascii="宋体" w:hAnsi="宋体"/>
          <w:sz w:val="24"/>
        </w:rPr>
        <w:t>人才。</w:t>
      </w:r>
    </w:p>
    <w:p>
      <w:pPr>
        <w:spacing w:line="360" w:lineRule="auto"/>
        <w:ind w:firstLine="480" w:firstLineChars="200"/>
        <w:rPr>
          <w:rFonts w:ascii="宋体" w:hAnsi="宋体"/>
          <w:sz w:val="24"/>
        </w:rPr>
      </w:pPr>
      <w:r>
        <w:rPr>
          <w:rFonts w:ascii="宋体" w:hAnsi="宋体"/>
          <w:sz w:val="24"/>
        </w:rPr>
        <w:t>组织运行保障是实施人才培养方案基本条件，组织运行保障是通过教学管理组织实现的，</w:t>
      </w:r>
      <w:r>
        <w:rPr>
          <w:rFonts w:hint="eastAsia" w:ascii="宋体" w:hAnsi="宋体"/>
          <w:sz w:val="24"/>
        </w:rPr>
        <w:t>而</w:t>
      </w:r>
      <w:r>
        <w:rPr>
          <w:rFonts w:ascii="宋体" w:hAnsi="宋体"/>
          <w:sz w:val="24"/>
        </w:rPr>
        <w:t>教学运行管理是组织运行保障手段。</w:t>
      </w:r>
      <w:r>
        <w:rPr>
          <w:rFonts w:hint="eastAsia" w:ascii="宋体" w:hAnsi="宋体"/>
          <w:sz w:val="24"/>
        </w:rPr>
        <w:t>教学运行管理</w:t>
      </w:r>
      <w:r>
        <w:rPr>
          <w:rFonts w:ascii="宋体" w:hAnsi="宋体"/>
          <w:sz w:val="24"/>
        </w:rPr>
        <w:t>包括日常教学管理、学生管理、教师工作管理和教学资源管理等，这四个管理是教学运行组织管理的关键。只有加强日常教学管理，加强对学生和教师的人性化管理，合理调配和配置教学资源，才能保证课程教学的顺利进行，保证人才培养方案落到实处。这样来保证教学的正常运行，使教学有组织、有计划，最终达到教学目标。</w:t>
      </w:r>
    </w:p>
    <w:p>
      <w:pPr>
        <w:pStyle w:val="7"/>
        <w:spacing w:line="360" w:lineRule="auto"/>
        <w:ind w:firstLine="480" w:firstLineChars="200"/>
        <w:rPr>
          <w:rFonts w:hAnsi="宋体" w:cs="Times New Roman"/>
          <w:sz w:val="24"/>
          <w:szCs w:val="24"/>
        </w:rPr>
      </w:pPr>
      <w:r>
        <w:rPr>
          <w:rFonts w:hint="eastAsia" w:hAnsi="宋体" w:cs="Times New Roman"/>
          <w:sz w:val="24"/>
          <w:szCs w:val="24"/>
        </w:rPr>
        <w:t>1.</w:t>
      </w:r>
      <w:r>
        <w:rPr>
          <w:rFonts w:hAnsi="宋体" w:cs="Times New Roman"/>
          <w:sz w:val="24"/>
          <w:szCs w:val="24"/>
        </w:rPr>
        <w:t>教学运行管理组织机构</w:t>
      </w:r>
    </w:p>
    <w:p>
      <w:pPr>
        <w:spacing w:line="360" w:lineRule="auto"/>
        <w:ind w:firstLine="436" w:firstLineChars="182"/>
        <w:rPr>
          <w:rFonts w:ascii="宋体" w:hAnsi="宋体"/>
          <w:sz w:val="24"/>
        </w:rPr>
      </w:pPr>
      <w:r>
        <w:rPr>
          <w:rFonts w:ascii="宋体" w:hAnsi="宋体"/>
          <w:sz w:val="24"/>
        </w:rPr>
        <w:t>在</w:t>
      </w:r>
      <w:r>
        <w:rPr>
          <w:rFonts w:hint="eastAsia" w:ascii="宋体" w:hAnsi="宋体"/>
          <w:sz w:val="24"/>
        </w:rPr>
        <w:t>院党委、院委会</w:t>
      </w:r>
      <w:r>
        <w:rPr>
          <w:rFonts w:ascii="宋体" w:hAnsi="宋体"/>
          <w:sz w:val="24"/>
        </w:rPr>
        <w:t>的</w:t>
      </w:r>
      <w:r>
        <w:rPr>
          <w:rFonts w:hint="eastAsia" w:ascii="宋体" w:hAnsi="宋体"/>
          <w:sz w:val="24"/>
        </w:rPr>
        <w:t>正确</w:t>
      </w:r>
      <w:r>
        <w:rPr>
          <w:rFonts w:ascii="宋体" w:hAnsi="宋体"/>
          <w:sz w:val="24"/>
        </w:rPr>
        <w:t>领导下，</w:t>
      </w:r>
      <w:r>
        <w:rPr>
          <w:rFonts w:hint="eastAsia" w:ascii="宋体" w:hAnsi="宋体"/>
          <w:sz w:val="24"/>
        </w:rPr>
        <w:t>化工</w:t>
      </w:r>
      <w:r>
        <w:rPr>
          <w:rFonts w:ascii="宋体" w:hAnsi="宋体"/>
          <w:sz w:val="24"/>
        </w:rPr>
        <w:t>系下设</w:t>
      </w:r>
      <w:r>
        <w:rPr>
          <w:rFonts w:hint="eastAsia" w:ascii="宋体" w:hAnsi="宋体"/>
          <w:sz w:val="24"/>
        </w:rPr>
        <w:t>应用化工技术</w:t>
      </w:r>
      <w:r>
        <w:rPr>
          <w:rFonts w:ascii="宋体" w:hAnsi="宋体"/>
          <w:sz w:val="24"/>
        </w:rPr>
        <w:t>专业</w:t>
      </w:r>
      <w:r>
        <w:rPr>
          <w:rFonts w:hint="eastAsia" w:ascii="宋体" w:hAnsi="宋体"/>
          <w:sz w:val="24"/>
        </w:rPr>
        <w:t>教研</w:t>
      </w:r>
      <w:r>
        <w:rPr>
          <w:rFonts w:ascii="宋体" w:hAnsi="宋体"/>
          <w:sz w:val="24"/>
        </w:rPr>
        <w:t>室，由</w:t>
      </w:r>
      <w:r>
        <w:rPr>
          <w:rFonts w:hint="eastAsia" w:ascii="宋体" w:hAnsi="宋体"/>
          <w:sz w:val="24"/>
        </w:rPr>
        <w:t>专业主任、</w:t>
      </w:r>
      <w:r>
        <w:rPr>
          <w:rFonts w:ascii="宋体" w:hAnsi="宋体"/>
          <w:sz w:val="24"/>
        </w:rPr>
        <w:t>专业带头人、骨干教师、企业兼职教师和学生管理人组成专业教学管理组织机构</w:t>
      </w:r>
      <w:r>
        <w:rPr>
          <w:rFonts w:hint="eastAsia" w:ascii="宋体" w:hAnsi="宋体"/>
          <w:sz w:val="24"/>
        </w:rPr>
        <w:t>，分别</w:t>
      </w:r>
      <w:r>
        <w:rPr>
          <w:rFonts w:ascii="宋体" w:hAnsi="宋体"/>
          <w:sz w:val="24"/>
        </w:rPr>
        <w:t>负责日常教学管理、学生管理、教师工作管理和教学资源管理等工作。</w:t>
      </w:r>
    </w:p>
    <w:p>
      <w:pPr>
        <w:pStyle w:val="7"/>
        <w:spacing w:line="360" w:lineRule="auto"/>
        <w:ind w:firstLine="468" w:firstLineChars="195"/>
        <w:rPr>
          <w:rFonts w:hAnsi="宋体" w:cs="Times New Roman"/>
          <w:sz w:val="24"/>
          <w:szCs w:val="24"/>
        </w:rPr>
      </w:pPr>
      <w:r>
        <w:rPr>
          <w:rFonts w:hint="eastAsia" w:hAnsi="宋体" w:cs="Times New Roman"/>
          <w:sz w:val="24"/>
          <w:szCs w:val="24"/>
        </w:rPr>
        <w:t>2.</w:t>
      </w:r>
      <w:r>
        <w:rPr>
          <w:rFonts w:hAnsi="宋体" w:cs="Times New Roman"/>
          <w:sz w:val="24"/>
          <w:szCs w:val="24"/>
        </w:rPr>
        <w:t>专业教学指导委员会</w:t>
      </w:r>
    </w:p>
    <w:p>
      <w:pPr>
        <w:pStyle w:val="7"/>
        <w:spacing w:line="360" w:lineRule="auto"/>
        <w:ind w:firstLine="200"/>
        <w:rPr>
          <w:rFonts w:hAnsi="宋体" w:cs="Times New Roman"/>
          <w:sz w:val="24"/>
          <w:szCs w:val="24"/>
        </w:rPr>
      </w:pPr>
      <w:r>
        <w:rPr>
          <w:rFonts w:hint="eastAsia" w:hAnsi="宋体"/>
          <w:sz w:val="24"/>
          <w:szCs w:val="24"/>
        </w:rPr>
        <w:t xml:space="preserve">  应用化工技术</w:t>
      </w:r>
      <w:r>
        <w:rPr>
          <w:rFonts w:hAnsi="宋体" w:cs="Times New Roman"/>
          <w:sz w:val="24"/>
          <w:szCs w:val="24"/>
        </w:rPr>
        <w:t>专业成立了由系领导和合作企业负责人共同牵头的专业教学指导委员会，负责</w:t>
      </w:r>
      <w:r>
        <w:rPr>
          <w:rFonts w:hint="eastAsia" w:hAnsi="宋体" w:cs="Times New Roman"/>
          <w:sz w:val="24"/>
          <w:szCs w:val="24"/>
        </w:rPr>
        <w:t>人才培养方案的制定、</w:t>
      </w:r>
      <w:r>
        <w:rPr>
          <w:rFonts w:hAnsi="宋体" w:cs="Times New Roman"/>
          <w:sz w:val="24"/>
          <w:szCs w:val="24"/>
        </w:rPr>
        <w:t>课程开发、教学计划的修订等工作。</w:t>
      </w:r>
    </w:p>
    <w:p>
      <w:pPr>
        <w:spacing w:line="360" w:lineRule="auto"/>
        <w:ind w:firstLine="200"/>
        <w:jc w:val="center"/>
        <w:rPr>
          <w:sz w:val="24"/>
        </w:rPr>
      </w:pPr>
      <w:r>
        <w:rPr>
          <w:rFonts w:eastAsia="仿宋_GB2312"/>
          <w:b/>
          <w:color w:val="000000"/>
          <w:sz w:val="18"/>
          <w:szCs w:val="18"/>
        </w:rPr>
        <w:t>　</w:t>
      </w:r>
      <w:r>
        <w:rPr>
          <w:rFonts w:hAnsi="宋体"/>
          <w:bCs/>
          <w:sz w:val="24"/>
        </w:rPr>
        <w:t>表</w:t>
      </w:r>
      <w:r>
        <w:rPr>
          <w:bCs/>
          <w:sz w:val="24"/>
        </w:rPr>
        <w:t xml:space="preserve">5.1 </w:t>
      </w:r>
      <w:r>
        <w:rPr>
          <w:rFonts w:hAnsi="宋体"/>
          <w:bCs/>
          <w:sz w:val="24"/>
        </w:rPr>
        <w:t>应用化工技术专业指导委员会一览表</w:t>
      </w:r>
    </w:p>
    <w:tbl>
      <w:tblPr>
        <w:tblStyle w:val="1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
        <w:gridCol w:w="1100"/>
        <w:gridCol w:w="2970"/>
        <w:gridCol w:w="1382"/>
        <w:gridCol w:w="21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56" w:type="dxa"/>
            <w:vAlign w:val="center"/>
          </w:tcPr>
          <w:p>
            <w:pPr>
              <w:spacing w:line="360" w:lineRule="auto"/>
              <w:jc w:val="center"/>
              <w:rPr>
                <w:b/>
                <w:color w:val="000000"/>
                <w:szCs w:val="21"/>
              </w:rPr>
            </w:pPr>
            <w:r>
              <w:rPr>
                <w:rFonts w:hAnsi="宋体"/>
                <w:b/>
                <w:color w:val="000000"/>
                <w:szCs w:val="21"/>
              </w:rPr>
              <w:t>职务</w:t>
            </w:r>
          </w:p>
        </w:tc>
        <w:tc>
          <w:tcPr>
            <w:tcW w:w="1100" w:type="dxa"/>
            <w:vAlign w:val="center"/>
          </w:tcPr>
          <w:p>
            <w:pPr>
              <w:spacing w:line="360" w:lineRule="auto"/>
              <w:jc w:val="center"/>
              <w:rPr>
                <w:b/>
                <w:color w:val="000000"/>
                <w:szCs w:val="21"/>
              </w:rPr>
            </w:pPr>
            <w:r>
              <w:rPr>
                <w:rFonts w:hAnsi="宋体"/>
                <w:b/>
                <w:color w:val="000000"/>
                <w:szCs w:val="21"/>
              </w:rPr>
              <w:t>姓名</w:t>
            </w:r>
          </w:p>
        </w:tc>
        <w:tc>
          <w:tcPr>
            <w:tcW w:w="2970" w:type="dxa"/>
            <w:vAlign w:val="center"/>
          </w:tcPr>
          <w:p>
            <w:pPr>
              <w:spacing w:line="360" w:lineRule="auto"/>
              <w:jc w:val="center"/>
              <w:rPr>
                <w:b/>
                <w:color w:val="000000"/>
                <w:szCs w:val="21"/>
              </w:rPr>
            </w:pPr>
            <w:r>
              <w:rPr>
                <w:rFonts w:hAnsi="宋体"/>
                <w:b/>
                <w:color w:val="000000"/>
                <w:szCs w:val="21"/>
              </w:rPr>
              <w:t>工作单位</w:t>
            </w:r>
          </w:p>
        </w:tc>
        <w:tc>
          <w:tcPr>
            <w:tcW w:w="1382" w:type="dxa"/>
            <w:vAlign w:val="center"/>
          </w:tcPr>
          <w:p>
            <w:pPr>
              <w:spacing w:line="360" w:lineRule="auto"/>
              <w:jc w:val="center"/>
              <w:rPr>
                <w:b/>
                <w:color w:val="000000"/>
                <w:szCs w:val="21"/>
              </w:rPr>
            </w:pPr>
            <w:r>
              <w:rPr>
                <w:rFonts w:hAnsi="宋体"/>
                <w:b/>
                <w:color w:val="000000"/>
                <w:szCs w:val="21"/>
              </w:rPr>
              <w:t>学历</w:t>
            </w:r>
            <w:r>
              <w:rPr>
                <w:b/>
                <w:color w:val="000000"/>
                <w:szCs w:val="21"/>
              </w:rPr>
              <w:t>/</w:t>
            </w:r>
            <w:r>
              <w:rPr>
                <w:rFonts w:hAnsi="宋体"/>
                <w:b/>
                <w:color w:val="000000"/>
                <w:szCs w:val="21"/>
              </w:rPr>
              <w:t>职称</w:t>
            </w:r>
          </w:p>
        </w:tc>
        <w:tc>
          <w:tcPr>
            <w:tcW w:w="2114" w:type="dxa"/>
            <w:vAlign w:val="center"/>
          </w:tcPr>
          <w:p>
            <w:pPr>
              <w:spacing w:line="360" w:lineRule="auto"/>
              <w:jc w:val="center"/>
              <w:rPr>
                <w:b/>
                <w:color w:val="000000"/>
                <w:szCs w:val="21"/>
              </w:rPr>
            </w:pPr>
            <w:r>
              <w:rPr>
                <w:rFonts w:hAnsi="宋体"/>
                <w:b/>
                <w:color w:val="000000"/>
                <w:szCs w:val="21"/>
              </w:rPr>
              <w:t>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956" w:type="dxa"/>
            <w:vMerge w:val="restart"/>
            <w:vAlign w:val="center"/>
          </w:tcPr>
          <w:p>
            <w:pPr>
              <w:snapToGrid w:val="0"/>
              <w:spacing w:line="360" w:lineRule="auto"/>
              <w:jc w:val="center"/>
              <w:rPr>
                <w:b/>
                <w:color w:val="000000"/>
                <w:szCs w:val="21"/>
              </w:rPr>
            </w:pPr>
            <w:r>
              <w:rPr>
                <w:rFonts w:hAnsi="宋体"/>
                <w:color w:val="000000"/>
                <w:szCs w:val="21"/>
              </w:rPr>
              <w:t>主任</w:t>
            </w:r>
          </w:p>
        </w:tc>
        <w:tc>
          <w:tcPr>
            <w:tcW w:w="1100" w:type="dxa"/>
            <w:vAlign w:val="center"/>
          </w:tcPr>
          <w:p>
            <w:pPr>
              <w:pStyle w:val="5"/>
              <w:spacing w:after="0" w:line="360" w:lineRule="auto"/>
              <w:jc w:val="center"/>
              <w:rPr>
                <w:szCs w:val="21"/>
              </w:rPr>
            </w:pPr>
            <w:r>
              <w:rPr>
                <w:rFonts w:hint="eastAsia"/>
                <w:szCs w:val="21"/>
              </w:rPr>
              <w:t>吉晋兰</w:t>
            </w:r>
          </w:p>
        </w:tc>
        <w:tc>
          <w:tcPr>
            <w:tcW w:w="2970" w:type="dxa"/>
            <w:vAlign w:val="center"/>
          </w:tcPr>
          <w:p>
            <w:pPr>
              <w:spacing w:line="360" w:lineRule="auto"/>
              <w:jc w:val="center"/>
              <w:rPr>
                <w:color w:val="000000"/>
                <w:szCs w:val="21"/>
              </w:rPr>
            </w:pPr>
            <w:r>
              <w:rPr>
                <w:rFonts w:hAnsi="宋体"/>
                <w:color w:val="000000"/>
                <w:szCs w:val="21"/>
              </w:rPr>
              <w:t>晋城职业技术学院</w:t>
            </w:r>
          </w:p>
        </w:tc>
        <w:tc>
          <w:tcPr>
            <w:tcW w:w="1382" w:type="dxa"/>
            <w:vAlign w:val="center"/>
          </w:tcPr>
          <w:p>
            <w:pPr>
              <w:spacing w:line="360" w:lineRule="auto"/>
              <w:jc w:val="center"/>
              <w:rPr>
                <w:color w:val="000000"/>
                <w:szCs w:val="21"/>
              </w:rPr>
            </w:pPr>
            <w:r>
              <w:rPr>
                <w:rFonts w:hAnsi="宋体"/>
                <w:color w:val="000000"/>
                <w:szCs w:val="21"/>
              </w:rPr>
              <w:t>博士</w:t>
            </w:r>
            <w:r>
              <w:rPr>
                <w:color w:val="000000"/>
                <w:szCs w:val="21"/>
              </w:rPr>
              <w:t>/</w:t>
            </w:r>
            <w:r>
              <w:rPr>
                <w:rFonts w:hAnsi="宋体"/>
                <w:color w:val="000000"/>
                <w:szCs w:val="21"/>
              </w:rPr>
              <w:t>教授</w:t>
            </w:r>
          </w:p>
        </w:tc>
        <w:tc>
          <w:tcPr>
            <w:tcW w:w="2114" w:type="dxa"/>
            <w:vAlign w:val="center"/>
          </w:tcPr>
          <w:p>
            <w:pPr>
              <w:spacing w:line="360" w:lineRule="auto"/>
              <w:jc w:val="center"/>
              <w:rPr>
                <w:color w:val="000000"/>
                <w:szCs w:val="21"/>
              </w:rPr>
            </w:pPr>
            <w:r>
              <w:rPr>
                <w:rFonts w:hint="eastAsia" w:hAnsi="宋体"/>
                <w:szCs w:val="21"/>
              </w:rPr>
              <w:t>化工系负责人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956" w:type="dxa"/>
            <w:vMerge w:val="continue"/>
            <w:vAlign w:val="center"/>
          </w:tcPr>
          <w:p>
            <w:pPr>
              <w:snapToGrid w:val="0"/>
              <w:spacing w:line="360" w:lineRule="auto"/>
              <w:jc w:val="center"/>
              <w:rPr>
                <w:rFonts w:hAnsi="宋体"/>
                <w:color w:val="000000"/>
                <w:szCs w:val="21"/>
              </w:rPr>
            </w:pPr>
          </w:p>
        </w:tc>
        <w:tc>
          <w:tcPr>
            <w:tcW w:w="1100" w:type="dxa"/>
            <w:vAlign w:val="center"/>
          </w:tcPr>
          <w:p>
            <w:pPr>
              <w:pStyle w:val="5"/>
              <w:spacing w:after="0" w:line="360" w:lineRule="auto"/>
              <w:jc w:val="center"/>
              <w:rPr>
                <w:rFonts w:hAnsi="宋体"/>
                <w:szCs w:val="21"/>
              </w:rPr>
            </w:pPr>
            <w:r>
              <w:rPr>
                <w:rFonts w:hAnsi="宋体"/>
                <w:szCs w:val="21"/>
              </w:rPr>
              <w:t>姬爱国</w:t>
            </w:r>
          </w:p>
        </w:tc>
        <w:tc>
          <w:tcPr>
            <w:tcW w:w="2970" w:type="dxa"/>
            <w:vAlign w:val="center"/>
          </w:tcPr>
          <w:p>
            <w:pPr>
              <w:spacing w:line="360" w:lineRule="auto"/>
              <w:jc w:val="center"/>
              <w:rPr>
                <w:rFonts w:hAnsi="宋体"/>
                <w:color w:val="000000"/>
                <w:szCs w:val="21"/>
              </w:rPr>
            </w:pPr>
            <w:r>
              <w:rPr>
                <w:rFonts w:hAnsi="宋体"/>
                <w:color w:val="000000"/>
                <w:szCs w:val="21"/>
              </w:rPr>
              <w:t>晋城职业技术学院</w:t>
            </w:r>
          </w:p>
        </w:tc>
        <w:tc>
          <w:tcPr>
            <w:tcW w:w="1382" w:type="dxa"/>
            <w:vAlign w:val="center"/>
          </w:tcPr>
          <w:p>
            <w:pPr>
              <w:spacing w:line="360" w:lineRule="auto"/>
              <w:jc w:val="center"/>
              <w:rPr>
                <w:rFonts w:hAnsi="宋体"/>
                <w:color w:val="000000"/>
                <w:szCs w:val="21"/>
              </w:rPr>
            </w:pPr>
            <w:r>
              <w:rPr>
                <w:rFonts w:hAnsi="宋体"/>
                <w:color w:val="000000"/>
                <w:szCs w:val="21"/>
              </w:rPr>
              <w:t>博士</w:t>
            </w:r>
            <w:r>
              <w:rPr>
                <w:color w:val="000000"/>
                <w:szCs w:val="21"/>
              </w:rPr>
              <w:t>/</w:t>
            </w:r>
            <w:r>
              <w:rPr>
                <w:rFonts w:hAnsi="宋体"/>
                <w:color w:val="000000"/>
                <w:szCs w:val="21"/>
              </w:rPr>
              <w:t>副教授</w:t>
            </w:r>
          </w:p>
        </w:tc>
        <w:tc>
          <w:tcPr>
            <w:tcW w:w="2114" w:type="dxa"/>
            <w:vAlign w:val="center"/>
          </w:tcPr>
          <w:p>
            <w:pPr>
              <w:spacing w:line="360" w:lineRule="auto"/>
              <w:jc w:val="center"/>
              <w:rPr>
                <w:rFonts w:hAnsi="宋体"/>
                <w:szCs w:val="21"/>
              </w:rPr>
            </w:pPr>
            <w:r>
              <w:rPr>
                <w:rFonts w:hint="eastAsia" w:hAnsi="宋体"/>
                <w:szCs w:val="21"/>
              </w:rPr>
              <w:t>副院长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jc w:val="center"/>
        </w:trPr>
        <w:tc>
          <w:tcPr>
            <w:tcW w:w="956" w:type="dxa"/>
            <w:vMerge w:val="restart"/>
            <w:vAlign w:val="center"/>
          </w:tcPr>
          <w:p>
            <w:pPr>
              <w:spacing w:line="360" w:lineRule="auto"/>
              <w:jc w:val="center"/>
              <w:rPr>
                <w:b/>
                <w:color w:val="000000"/>
                <w:szCs w:val="21"/>
              </w:rPr>
            </w:pPr>
            <w:r>
              <w:rPr>
                <w:rFonts w:hAnsi="宋体"/>
                <w:color w:val="000000"/>
                <w:szCs w:val="21"/>
              </w:rPr>
              <w:t>副主任</w:t>
            </w:r>
          </w:p>
        </w:tc>
        <w:tc>
          <w:tcPr>
            <w:tcW w:w="1100" w:type="dxa"/>
            <w:vAlign w:val="center"/>
          </w:tcPr>
          <w:p>
            <w:pPr>
              <w:widowControl/>
              <w:spacing w:line="360" w:lineRule="auto"/>
              <w:jc w:val="center"/>
              <w:rPr>
                <w:szCs w:val="21"/>
              </w:rPr>
            </w:pPr>
            <w:r>
              <w:rPr>
                <w:rFonts w:hAnsi="宋体"/>
                <w:szCs w:val="21"/>
              </w:rPr>
              <w:t>李晋国</w:t>
            </w:r>
          </w:p>
        </w:tc>
        <w:tc>
          <w:tcPr>
            <w:tcW w:w="2970" w:type="dxa"/>
            <w:vAlign w:val="center"/>
          </w:tcPr>
          <w:p>
            <w:pPr>
              <w:spacing w:line="360" w:lineRule="auto"/>
              <w:jc w:val="center"/>
              <w:rPr>
                <w:color w:val="000000"/>
                <w:szCs w:val="21"/>
              </w:rPr>
            </w:pPr>
            <w:r>
              <w:rPr>
                <w:rFonts w:hAnsi="宋体"/>
                <w:color w:val="000000"/>
                <w:szCs w:val="21"/>
              </w:rPr>
              <w:t>晋城职业技术学院</w:t>
            </w:r>
          </w:p>
        </w:tc>
        <w:tc>
          <w:tcPr>
            <w:tcW w:w="1382" w:type="dxa"/>
            <w:vAlign w:val="center"/>
          </w:tcPr>
          <w:p>
            <w:pPr>
              <w:widowControl/>
              <w:spacing w:line="360" w:lineRule="auto"/>
              <w:jc w:val="center"/>
              <w:rPr>
                <w:color w:val="000000"/>
                <w:szCs w:val="21"/>
              </w:rPr>
            </w:pPr>
            <w:r>
              <w:rPr>
                <w:rFonts w:hAnsi="宋体"/>
                <w:color w:val="000000"/>
                <w:szCs w:val="21"/>
              </w:rPr>
              <w:t>硕士</w:t>
            </w:r>
            <w:r>
              <w:rPr>
                <w:color w:val="000000"/>
                <w:szCs w:val="21"/>
              </w:rPr>
              <w:t>/</w:t>
            </w:r>
            <w:r>
              <w:rPr>
                <w:rFonts w:hAnsi="宋体"/>
                <w:color w:val="000000"/>
                <w:szCs w:val="21"/>
              </w:rPr>
              <w:t>讲师</w:t>
            </w:r>
          </w:p>
        </w:tc>
        <w:tc>
          <w:tcPr>
            <w:tcW w:w="2114" w:type="dxa"/>
            <w:vAlign w:val="center"/>
          </w:tcPr>
          <w:p>
            <w:pPr>
              <w:widowControl/>
              <w:spacing w:line="360" w:lineRule="auto"/>
              <w:jc w:val="center"/>
              <w:rPr>
                <w:color w:val="000000"/>
                <w:szCs w:val="21"/>
              </w:rPr>
            </w:pPr>
            <w:r>
              <w:rPr>
                <w:rFonts w:hAnsi="宋体"/>
                <w:color w:val="000000"/>
                <w:szCs w:val="21"/>
              </w:rPr>
              <w:t>晋职院考评办主任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956" w:type="dxa"/>
            <w:vMerge w:val="continue"/>
            <w:vAlign w:val="center"/>
          </w:tcPr>
          <w:p>
            <w:pPr>
              <w:spacing w:line="360" w:lineRule="auto"/>
              <w:jc w:val="center"/>
              <w:rPr>
                <w:kern w:val="0"/>
                <w:szCs w:val="21"/>
              </w:rPr>
            </w:pPr>
          </w:p>
        </w:tc>
        <w:tc>
          <w:tcPr>
            <w:tcW w:w="1100" w:type="dxa"/>
            <w:vAlign w:val="center"/>
          </w:tcPr>
          <w:p>
            <w:pPr>
              <w:pStyle w:val="67"/>
              <w:ind w:firstLine="0" w:firstLineChars="0"/>
              <w:jc w:val="center"/>
              <w:rPr>
                <w:rFonts w:cs="Times New Roman"/>
                <w:kern w:val="0"/>
                <w:szCs w:val="21"/>
              </w:rPr>
            </w:pPr>
            <w:r>
              <w:rPr>
                <w:rFonts w:hAnsi="宋体" w:cs="Times New Roman"/>
                <w:szCs w:val="21"/>
              </w:rPr>
              <w:t>碗海鹰</w:t>
            </w:r>
          </w:p>
        </w:tc>
        <w:tc>
          <w:tcPr>
            <w:tcW w:w="2970" w:type="dxa"/>
            <w:vAlign w:val="center"/>
          </w:tcPr>
          <w:p>
            <w:pPr>
              <w:spacing w:line="360" w:lineRule="auto"/>
              <w:ind w:left="-109" w:leftChars="-52" w:right="-92" w:rightChars="-44"/>
              <w:jc w:val="center"/>
              <w:rPr>
                <w:szCs w:val="21"/>
              </w:rPr>
            </w:pPr>
            <w:r>
              <w:rPr>
                <w:rFonts w:hAnsi="宋体"/>
                <w:szCs w:val="21"/>
              </w:rPr>
              <w:t>晋城市华美瑞泽新材料有限公司</w:t>
            </w:r>
          </w:p>
        </w:tc>
        <w:tc>
          <w:tcPr>
            <w:tcW w:w="1382" w:type="dxa"/>
            <w:vAlign w:val="center"/>
          </w:tcPr>
          <w:p>
            <w:pPr>
              <w:pStyle w:val="5"/>
              <w:spacing w:after="0" w:line="360" w:lineRule="auto"/>
              <w:jc w:val="center"/>
              <w:rPr>
                <w:kern w:val="0"/>
                <w:szCs w:val="21"/>
              </w:rPr>
            </w:pPr>
            <w:r>
              <w:rPr>
                <w:rFonts w:hAnsi="宋体"/>
                <w:kern w:val="0"/>
                <w:szCs w:val="21"/>
              </w:rPr>
              <w:t>博士</w:t>
            </w:r>
          </w:p>
        </w:tc>
        <w:tc>
          <w:tcPr>
            <w:tcW w:w="2114" w:type="dxa"/>
            <w:vAlign w:val="center"/>
          </w:tcPr>
          <w:p>
            <w:pPr>
              <w:spacing w:line="360" w:lineRule="auto"/>
              <w:jc w:val="center"/>
              <w:rPr>
                <w:kern w:val="0"/>
                <w:szCs w:val="21"/>
              </w:rPr>
            </w:pPr>
            <w:r>
              <w:rPr>
                <w:rFonts w:hAnsi="宋体"/>
                <w:kern w:val="0"/>
                <w:szCs w:val="21"/>
              </w:rPr>
              <w:t>总经理兼技术总监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956" w:type="dxa"/>
            <w:vMerge w:val="restart"/>
            <w:vAlign w:val="center"/>
          </w:tcPr>
          <w:p>
            <w:pPr>
              <w:widowControl/>
              <w:spacing w:line="360" w:lineRule="auto"/>
              <w:jc w:val="center"/>
              <w:rPr>
                <w:rFonts w:hAnsi="宋体"/>
                <w:color w:val="000000"/>
                <w:szCs w:val="21"/>
              </w:rPr>
            </w:pPr>
            <w:r>
              <w:rPr>
                <w:rFonts w:hAnsi="宋体"/>
                <w:color w:val="000000"/>
                <w:szCs w:val="21"/>
              </w:rPr>
              <w:t>委</w:t>
            </w:r>
          </w:p>
          <w:p>
            <w:pPr>
              <w:widowControl/>
              <w:spacing w:line="360" w:lineRule="auto"/>
              <w:jc w:val="center"/>
              <w:rPr>
                <w:rFonts w:hAnsi="宋体"/>
                <w:color w:val="000000"/>
                <w:szCs w:val="21"/>
              </w:rPr>
            </w:pPr>
          </w:p>
          <w:p>
            <w:pPr>
              <w:widowControl/>
              <w:spacing w:line="360" w:lineRule="auto"/>
              <w:jc w:val="center"/>
              <w:rPr>
                <w:rFonts w:hAnsi="宋体"/>
                <w:color w:val="000000"/>
                <w:szCs w:val="21"/>
              </w:rPr>
            </w:pPr>
          </w:p>
          <w:p>
            <w:pPr>
              <w:widowControl/>
              <w:spacing w:line="360" w:lineRule="auto"/>
              <w:jc w:val="center"/>
              <w:rPr>
                <w:rFonts w:hAnsi="宋体"/>
                <w:color w:val="000000"/>
                <w:szCs w:val="21"/>
              </w:rPr>
            </w:pPr>
          </w:p>
          <w:p>
            <w:pPr>
              <w:widowControl/>
              <w:spacing w:line="360" w:lineRule="auto"/>
              <w:jc w:val="center"/>
              <w:rPr>
                <w:rFonts w:hAnsi="宋体"/>
                <w:color w:val="000000"/>
                <w:szCs w:val="21"/>
              </w:rPr>
            </w:pPr>
          </w:p>
          <w:p>
            <w:pPr>
              <w:widowControl/>
              <w:spacing w:line="360" w:lineRule="auto"/>
              <w:jc w:val="center"/>
              <w:rPr>
                <w:color w:val="000000"/>
                <w:szCs w:val="21"/>
              </w:rPr>
            </w:pPr>
            <w:r>
              <w:rPr>
                <w:rFonts w:hAnsi="宋体"/>
                <w:color w:val="000000"/>
                <w:szCs w:val="21"/>
              </w:rPr>
              <w:t>员</w:t>
            </w:r>
          </w:p>
        </w:tc>
        <w:tc>
          <w:tcPr>
            <w:tcW w:w="1100" w:type="dxa"/>
            <w:vAlign w:val="center"/>
          </w:tcPr>
          <w:p>
            <w:pPr>
              <w:pStyle w:val="5"/>
              <w:spacing w:after="0" w:line="360" w:lineRule="auto"/>
              <w:jc w:val="center"/>
              <w:rPr>
                <w:szCs w:val="21"/>
              </w:rPr>
            </w:pPr>
            <w:r>
              <w:rPr>
                <w:rFonts w:hint="eastAsia"/>
                <w:szCs w:val="21"/>
              </w:rPr>
              <w:t>苗海霞</w:t>
            </w:r>
          </w:p>
        </w:tc>
        <w:tc>
          <w:tcPr>
            <w:tcW w:w="2970" w:type="dxa"/>
            <w:vAlign w:val="center"/>
          </w:tcPr>
          <w:p>
            <w:pPr>
              <w:pStyle w:val="5"/>
              <w:spacing w:after="0" w:line="360" w:lineRule="auto"/>
              <w:jc w:val="center"/>
              <w:rPr>
                <w:color w:val="000000"/>
                <w:szCs w:val="21"/>
              </w:rPr>
            </w:pPr>
            <w:r>
              <w:rPr>
                <w:rFonts w:hAnsi="宋体"/>
                <w:color w:val="000000"/>
                <w:szCs w:val="21"/>
              </w:rPr>
              <w:t>晋城职业技术学院</w:t>
            </w:r>
          </w:p>
        </w:tc>
        <w:tc>
          <w:tcPr>
            <w:tcW w:w="1382" w:type="dxa"/>
            <w:vAlign w:val="center"/>
          </w:tcPr>
          <w:p>
            <w:pPr>
              <w:spacing w:line="360" w:lineRule="auto"/>
              <w:jc w:val="center"/>
              <w:rPr>
                <w:szCs w:val="21"/>
              </w:rPr>
            </w:pPr>
            <w:r>
              <w:rPr>
                <w:rFonts w:hAnsi="宋体"/>
                <w:color w:val="000000"/>
                <w:szCs w:val="21"/>
              </w:rPr>
              <w:t>博士</w:t>
            </w:r>
            <w:r>
              <w:rPr>
                <w:color w:val="000000"/>
                <w:szCs w:val="21"/>
              </w:rPr>
              <w:t>/</w:t>
            </w:r>
            <w:r>
              <w:rPr>
                <w:rFonts w:hAnsi="宋体"/>
                <w:color w:val="000000"/>
                <w:szCs w:val="21"/>
              </w:rPr>
              <w:t>副教授</w:t>
            </w:r>
          </w:p>
        </w:tc>
        <w:tc>
          <w:tcPr>
            <w:tcW w:w="2114" w:type="dxa"/>
            <w:vAlign w:val="center"/>
          </w:tcPr>
          <w:p>
            <w:pPr>
              <w:spacing w:line="360" w:lineRule="auto"/>
              <w:jc w:val="center"/>
              <w:rPr>
                <w:szCs w:val="21"/>
              </w:rPr>
            </w:pPr>
            <w:r>
              <w:rPr>
                <w:rFonts w:hint="eastAsia"/>
                <w:szCs w:val="21"/>
              </w:rPr>
              <w:t>专业主任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956" w:type="dxa"/>
            <w:vMerge w:val="continue"/>
            <w:vAlign w:val="center"/>
          </w:tcPr>
          <w:p>
            <w:pPr>
              <w:widowControl/>
              <w:spacing w:line="360" w:lineRule="auto"/>
              <w:jc w:val="center"/>
              <w:rPr>
                <w:rFonts w:hAnsi="宋体"/>
                <w:color w:val="000000"/>
                <w:szCs w:val="21"/>
              </w:rPr>
            </w:pPr>
          </w:p>
        </w:tc>
        <w:tc>
          <w:tcPr>
            <w:tcW w:w="1100" w:type="dxa"/>
            <w:vAlign w:val="center"/>
          </w:tcPr>
          <w:p>
            <w:pPr>
              <w:pStyle w:val="5"/>
              <w:spacing w:after="0" w:line="360" w:lineRule="auto"/>
              <w:jc w:val="center"/>
              <w:rPr>
                <w:szCs w:val="21"/>
              </w:rPr>
            </w:pPr>
            <w:r>
              <w:rPr>
                <w:rFonts w:hint="eastAsia"/>
                <w:szCs w:val="21"/>
              </w:rPr>
              <w:t>牛学丽</w:t>
            </w:r>
          </w:p>
        </w:tc>
        <w:tc>
          <w:tcPr>
            <w:tcW w:w="2970" w:type="dxa"/>
            <w:vAlign w:val="center"/>
          </w:tcPr>
          <w:p>
            <w:pPr>
              <w:pStyle w:val="5"/>
              <w:spacing w:after="0" w:line="360" w:lineRule="auto"/>
              <w:jc w:val="center"/>
              <w:rPr>
                <w:rFonts w:hAnsi="宋体"/>
                <w:color w:val="000000"/>
                <w:szCs w:val="21"/>
              </w:rPr>
            </w:pPr>
            <w:r>
              <w:rPr>
                <w:rFonts w:hAnsi="宋体"/>
                <w:color w:val="000000"/>
                <w:szCs w:val="21"/>
              </w:rPr>
              <w:t>晋城职业技术学院</w:t>
            </w:r>
          </w:p>
        </w:tc>
        <w:tc>
          <w:tcPr>
            <w:tcW w:w="1382" w:type="dxa"/>
            <w:vAlign w:val="center"/>
          </w:tcPr>
          <w:p>
            <w:pPr>
              <w:spacing w:line="360" w:lineRule="auto"/>
              <w:jc w:val="center"/>
              <w:rPr>
                <w:rFonts w:hAnsi="宋体"/>
                <w:color w:val="000000"/>
                <w:szCs w:val="21"/>
              </w:rPr>
            </w:pPr>
            <w:r>
              <w:rPr>
                <w:rFonts w:hAnsi="宋体"/>
                <w:color w:val="000000"/>
                <w:szCs w:val="21"/>
              </w:rPr>
              <w:t>博士</w:t>
            </w:r>
            <w:r>
              <w:rPr>
                <w:color w:val="000000"/>
                <w:szCs w:val="21"/>
              </w:rPr>
              <w:t>/</w:t>
            </w:r>
            <w:r>
              <w:rPr>
                <w:rFonts w:hAnsi="宋体"/>
                <w:color w:val="000000"/>
                <w:szCs w:val="21"/>
              </w:rPr>
              <w:t>副教授</w:t>
            </w:r>
          </w:p>
        </w:tc>
        <w:tc>
          <w:tcPr>
            <w:tcW w:w="2114" w:type="dxa"/>
            <w:vAlign w:val="center"/>
          </w:tcPr>
          <w:p>
            <w:pPr>
              <w:spacing w:line="360" w:lineRule="auto"/>
              <w:jc w:val="center"/>
              <w:rPr>
                <w:szCs w:val="21"/>
              </w:rPr>
            </w:pPr>
            <w:r>
              <w:rPr>
                <w:rFonts w:hint="eastAsia"/>
                <w:szCs w:val="21"/>
              </w:rPr>
              <w:t>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956" w:type="dxa"/>
            <w:vMerge w:val="continue"/>
            <w:vAlign w:val="center"/>
          </w:tcPr>
          <w:p>
            <w:pPr>
              <w:widowControl/>
              <w:spacing w:line="360" w:lineRule="auto"/>
              <w:jc w:val="center"/>
              <w:rPr>
                <w:rFonts w:hAnsi="宋体"/>
                <w:color w:val="000000"/>
                <w:szCs w:val="21"/>
              </w:rPr>
            </w:pPr>
          </w:p>
        </w:tc>
        <w:tc>
          <w:tcPr>
            <w:tcW w:w="1100" w:type="dxa"/>
            <w:vAlign w:val="center"/>
          </w:tcPr>
          <w:p>
            <w:pPr>
              <w:pStyle w:val="5"/>
              <w:spacing w:after="0" w:line="360" w:lineRule="auto"/>
              <w:jc w:val="center"/>
              <w:rPr>
                <w:rFonts w:hAnsi="宋体"/>
                <w:szCs w:val="21"/>
              </w:rPr>
            </w:pPr>
            <w:r>
              <w:rPr>
                <w:rFonts w:hAnsi="宋体"/>
                <w:szCs w:val="21"/>
              </w:rPr>
              <w:t>席琦</w:t>
            </w:r>
          </w:p>
        </w:tc>
        <w:tc>
          <w:tcPr>
            <w:tcW w:w="2970" w:type="dxa"/>
            <w:vAlign w:val="center"/>
          </w:tcPr>
          <w:p>
            <w:pPr>
              <w:pStyle w:val="5"/>
              <w:spacing w:after="0" w:line="360" w:lineRule="auto"/>
              <w:jc w:val="center"/>
              <w:rPr>
                <w:rFonts w:hAnsi="宋体"/>
                <w:color w:val="000000"/>
                <w:szCs w:val="21"/>
              </w:rPr>
            </w:pPr>
            <w:r>
              <w:rPr>
                <w:rFonts w:hAnsi="宋体"/>
                <w:color w:val="000000"/>
                <w:szCs w:val="21"/>
              </w:rPr>
              <w:t>晋城职业技术学院</w:t>
            </w:r>
          </w:p>
        </w:tc>
        <w:tc>
          <w:tcPr>
            <w:tcW w:w="1382" w:type="dxa"/>
            <w:vAlign w:val="center"/>
          </w:tcPr>
          <w:p>
            <w:pPr>
              <w:spacing w:line="360" w:lineRule="auto"/>
              <w:jc w:val="center"/>
              <w:rPr>
                <w:rFonts w:hAnsi="宋体"/>
                <w:color w:val="000000"/>
                <w:szCs w:val="21"/>
              </w:rPr>
            </w:pPr>
            <w:r>
              <w:rPr>
                <w:rFonts w:hAnsi="宋体"/>
                <w:color w:val="000000"/>
                <w:szCs w:val="21"/>
              </w:rPr>
              <w:t>硕士</w:t>
            </w:r>
            <w:r>
              <w:rPr>
                <w:color w:val="000000"/>
                <w:szCs w:val="21"/>
              </w:rPr>
              <w:t>/</w:t>
            </w:r>
            <w:r>
              <w:rPr>
                <w:rFonts w:hAnsi="宋体"/>
                <w:color w:val="000000"/>
                <w:szCs w:val="21"/>
              </w:rPr>
              <w:t>副教授</w:t>
            </w:r>
          </w:p>
        </w:tc>
        <w:tc>
          <w:tcPr>
            <w:tcW w:w="2114" w:type="dxa"/>
            <w:vAlign w:val="center"/>
          </w:tcPr>
          <w:p>
            <w:pPr>
              <w:spacing w:line="360" w:lineRule="auto"/>
              <w:jc w:val="center"/>
              <w:rPr>
                <w:rFonts w:hAnsi="宋体"/>
                <w:color w:val="000000"/>
                <w:szCs w:val="21"/>
              </w:rPr>
            </w:pPr>
            <w:r>
              <w:rPr>
                <w:rFonts w:hint="eastAsia" w:hAnsi="宋体"/>
                <w:color w:val="000000"/>
                <w:szCs w:val="21"/>
              </w:rPr>
              <w:t>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956" w:type="dxa"/>
            <w:vMerge w:val="continue"/>
            <w:vAlign w:val="center"/>
          </w:tcPr>
          <w:p>
            <w:pPr>
              <w:widowControl/>
              <w:spacing w:line="360" w:lineRule="auto"/>
              <w:jc w:val="center"/>
              <w:rPr>
                <w:rFonts w:hAnsi="宋体"/>
                <w:color w:val="000000"/>
                <w:szCs w:val="21"/>
              </w:rPr>
            </w:pPr>
          </w:p>
        </w:tc>
        <w:tc>
          <w:tcPr>
            <w:tcW w:w="1100" w:type="dxa"/>
            <w:vAlign w:val="center"/>
          </w:tcPr>
          <w:p>
            <w:pPr>
              <w:pStyle w:val="5"/>
              <w:spacing w:after="0" w:line="360" w:lineRule="auto"/>
              <w:jc w:val="center"/>
              <w:rPr>
                <w:szCs w:val="21"/>
              </w:rPr>
            </w:pPr>
            <w:r>
              <w:rPr>
                <w:rFonts w:hint="eastAsia"/>
                <w:szCs w:val="21"/>
              </w:rPr>
              <w:t>焦福仁</w:t>
            </w:r>
          </w:p>
        </w:tc>
        <w:tc>
          <w:tcPr>
            <w:tcW w:w="2970" w:type="dxa"/>
            <w:vAlign w:val="center"/>
          </w:tcPr>
          <w:p>
            <w:pPr>
              <w:pStyle w:val="5"/>
              <w:spacing w:after="0" w:line="360" w:lineRule="auto"/>
              <w:jc w:val="center"/>
              <w:rPr>
                <w:szCs w:val="21"/>
              </w:rPr>
            </w:pPr>
            <w:r>
              <w:rPr>
                <w:rFonts w:hint="eastAsia"/>
                <w:szCs w:val="21"/>
              </w:rPr>
              <w:t>晋城职业技术学院</w:t>
            </w:r>
          </w:p>
        </w:tc>
        <w:tc>
          <w:tcPr>
            <w:tcW w:w="1382" w:type="dxa"/>
            <w:vAlign w:val="center"/>
          </w:tcPr>
          <w:p>
            <w:pPr>
              <w:pStyle w:val="5"/>
              <w:spacing w:after="0" w:line="360" w:lineRule="auto"/>
              <w:jc w:val="center"/>
              <w:rPr>
                <w:szCs w:val="21"/>
              </w:rPr>
            </w:pPr>
            <w:r>
              <w:rPr>
                <w:rFonts w:hint="eastAsia"/>
                <w:szCs w:val="21"/>
              </w:rPr>
              <w:t>学士/副教授</w:t>
            </w:r>
          </w:p>
        </w:tc>
        <w:tc>
          <w:tcPr>
            <w:tcW w:w="2114" w:type="dxa"/>
            <w:vAlign w:val="center"/>
          </w:tcPr>
          <w:p>
            <w:pPr>
              <w:pStyle w:val="5"/>
              <w:spacing w:after="0" w:line="360" w:lineRule="auto"/>
              <w:jc w:val="center"/>
              <w:rPr>
                <w:szCs w:val="21"/>
              </w:rPr>
            </w:pPr>
            <w:r>
              <w:rPr>
                <w:rFonts w:hint="eastAsia"/>
                <w:szCs w:val="21"/>
              </w:rPr>
              <w:t>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956" w:type="dxa"/>
            <w:vMerge w:val="continue"/>
            <w:vAlign w:val="center"/>
          </w:tcPr>
          <w:p>
            <w:pPr>
              <w:widowControl/>
              <w:spacing w:line="360" w:lineRule="auto"/>
              <w:jc w:val="center"/>
              <w:rPr>
                <w:rFonts w:hAnsi="宋体"/>
                <w:color w:val="000000"/>
                <w:szCs w:val="21"/>
              </w:rPr>
            </w:pPr>
          </w:p>
        </w:tc>
        <w:tc>
          <w:tcPr>
            <w:tcW w:w="1100" w:type="dxa"/>
            <w:vAlign w:val="center"/>
          </w:tcPr>
          <w:p>
            <w:pPr>
              <w:pStyle w:val="5"/>
              <w:spacing w:after="0" w:line="360" w:lineRule="auto"/>
              <w:jc w:val="center"/>
              <w:rPr>
                <w:szCs w:val="21"/>
              </w:rPr>
            </w:pPr>
            <w:r>
              <w:rPr>
                <w:rFonts w:hint="eastAsia"/>
                <w:szCs w:val="21"/>
              </w:rPr>
              <w:t>杜爱国</w:t>
            </w:r>
          </w:p>
        </w:tc>
        <w:tc>
          <w:tcPr>
            <w:tcW w:w="2970" w:type="dxa"/>
            <w:vAlign w:val="center"/>
          </w:tcPr>
          <w:p>
            <w:pPr>
              <w:pStyle w:val="5"/>
              <w:spacing w:after="0" w:line="360" w:lineRule="auto"/>
              <w:jc w:val="center"/>
              <w:rPr>
                <w:szCs w:val="21"/>
              </w:rPr>
            </w:pPr>
            <w:r>
              <w:rPr>
                <w:rFonts w:hint="eastAsia"/>
                <w:szCs w:val="21"/>
              </w:rPr>
              <w:t>晋城职业技术学院</w:t>
            </w:r>
          </w:p>
        </w:tc>
        <w:tc>
          <w:tcPr>
            <w:tcW w:w="1382" w:type="dxa"/>
            <w:vAlign w:val="center"/>
          </w:tcPr>
          <w:p>
            <w:pPr>
              <w:pStyle w:val="5"/>
              <w:spacing w:after="0" w:line="360" w:lineRule="auto"/>
              <w:jc w:val="center"/>
              <w:rPr>
                <w:szCs w:val="21"/>
              </w:rPr>
            </w:pPr>
            <w:r>
              <w:rPr>
                <w:rFonts w:hint="eastAsia"/>
                <w:szCs w:val="21"/>
              </w:rPr>
              <w:t>学士/副教授</w:t>
            </w:r>
          </w:p>
        </w:tc>
        <w:tc>
          <w:tcPr>
            <w:tcW w:w="2114" w:type="dxa"/>
            <w:vAlign w:val="center"/>
          </w:tcPr>
          <w:p>
            <w:pPr>
              <w:pStyle w:val="5"/>
              <w:spacing w:after="0" w:line="360" w:lineRule="auto"/>
              <w:jc w:val="center"/>
              <w:rPr>
                <w:szCs w:val="21"/>
              </w:rPr>
            </w:pPr>
            <w:r>
              <w:rPr>
                <w:rFonts w:hint="eastAsia"/>
                <w:szCs w:val="21"/>
              </w:rPr>
              <w:t>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956" w:type="dxa"/>
            <w:vMerge w:val="continue"/>
            <w:vAlign w:val="center"/>
          </w:tcPr>
          <w:p>
            <w:pPr>
              <w:widowControl/>
              <w:spacing w:line="360" w:lineRule="auto"/>
              <w:jc w:val="center"/>
              <w:rPr>
                <w:color w:val="000000"/>
                <w:szCs w:val="21"/>
              </w:rPr>
            </w:pPr>
          </w:p>
        </w:tc>
        <w:tc>
          <w:tcPr>
            <w:tcW w:w="1100" w:type="dxa"/>
            <w:vAlign w:val="center"/>
          </w:tcPr>
          <w:p>
            <w:pPr>
              <w:pStyle w:val="67"/>
              <w:ind w:firstLine="0" w:firstLineChars="0"/>
              <w:jc w:val="center"/>
              <w:rPr>
                <w:rFonts w:hAnsi="宋体" w:cs="Times New Roman"/>
                <w:szCs w:val="21"/>
              </w:rPr>
            </w:pPr>
            <w:r>
              <w:rPr>
                <w:rFonts w:hAnsi="宋体" w:cs="Times New Roman"/>
                <w:szCs w:val="21"/>
              </w:rPr>
              <w:t>杨国华</w:t>
            </w:r>
          </w:p>
        </w:tc>
        <w:tc>
          <w:tcPr>
            <w:tcW w:w="2970" w:type="dxa"/>
            <w:vAlign w:val="center"/>
          </w:tcPr>
          <w:p>
            <w:pPr>
              <w:pStyle w:val="67"/>
              <w:ind w:firstLine="0" w:firstLineChars="0"/>
              <w:jc w:val="center"/>
              <w:rPr>
                <w:rFonts w:hAnsi="宋体"/>
                <w:color w:val="000000"/>
                <w:szCs w:val="21"/>
              </w:rPr>
            </w:pPr>
            <w:r>
              <w:rPr>
                <w:rFonts w:hAnsi="宋体" w:cs="Times New Roman"/>
                <w:szCs w:val="21"/>
              </w:rPr>
              <w:t>兰花集团</w:t>
            </w:r>
          </w:p>
        </w:tc>
        <w:tc>
          <w:tcPr>
            <w:tcW w:w="1382" w:type="dxa"/>
            <w:vAlign w:val="center"/>
          </w:tcPr>
          <w:p>
            <w:pPr>
              <w:pStyle w:val="67"/>
              <w:ind w:firstLine="0" w:firstLineChars="0"/>
              <w:jc w:val="center"/>
              <w:rPr>
                <w:rFonts w:hAnsi="宋体"/>
                <w:color w:val="000000"/>
                <w:szCs w:val="21"/>
              </w:rPr>
            </w:pPr>
            <w:r>
              <w:rPr>
                <w:rFonts w:hAnsi="宋体" w:cs="Times New Roman"/>
                <w:szCs w:val="21"/>
              </w:rPr>
              <w:t>高级工程师</w:t>
            </w:r>
          </w:p>
        </w:tc>
        <w:tc>
          <w:tcPr>
            <w:tcW w:w="2114" w:type="dxa"/>
            <w:vAlign w:val="center"/>
          </w:tcPr>
          <w:p>
            <w:pPr>
              <w:pStyle w:val="67"/>
              <w:ind w:firstLine="0" w:firstLineChars="0"/>
              <w:jc w:val="center"/>
              <w:rPr>
                <w:rFonts w:hAnsi="宋体"/>
                <w:color w:val="000000"/>
                <w:szCs w:val="21"/>
              </w:rPr>
            </w:pPr>
            <w:r>
              <w:rPr>
                <w:rFonts w:hAnsi="宋体" w:cs="Times New Roman"/>
                <w:szCs w:val="21"/>
              </w:rPr>
              <w:t>人事处副处长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956" w:type="dxa"/>
            <w:vMerge w:val="continue"/>
          </w:tcPr>
          <w:p>
            <w:pPr>
              <w:widowControl/>
              <w:spacing w:line="360" w:lineRule="auto"/>
              <w:jc w:val="center"/>
              <w:rPr>
                <w:color w:val="000000"/>
                <w:szCs w:val="21"/>
              </w:rPr>
            </w:pPr>
          </w:p>
        </w:tc>
        <w:tc>
          <w:tcPr>
            <w:tcW w:w="1100" w:type="dxa"/>
            <w:vAlign w:val="center"/>
          </w:tcPr>
          <w:p>
            <w:pPr>
              <w:pStyle w:val="67"/>
              <w:ind w:firstLine="0" w:firstLineChars="0"/>
              <w:jc w:val="center"/>
              <w:rPr>
                <w:rFonts w:hAnsi="宋体" w:cs="Times New Roman"/>
                <w:szCs w:val="21"/>
              </w:rPr>
            </w:pPr>
            <w:r>
              <w:rPr>
                <w:rFonts w:hAnsi="宋体" w:cs="Times New Roman"/>
                <w:szCs w:val="21"/>
              </w:rPr>
              <w:t>崔进军</w:t>
            </w:r>
          </w:p>
        </w:tc>
        <w:tc>
          <w:tcPr>
            <w:tcW w:w="2970" w:type="dxa"/>
            <w:vAlign w:val="center"/>
          </w:tcPr>
          <w:p>
            <w:pPr>
              <w:pStyle w:val="67"/>
              <w:ind w:firstLine="0" w:firstLineChars="0"/>
              <w:jc w:val="center"/>
              <w:rPr>
                <w:rFonts w:hAnsi="宋体"/>
                <w:color w:val="000000"/>
                <w:szCs w:val="21"/>
              </w:rPr>
            </w:pPr>
            <w:r>
              <w:rPr>
                <w:rFonts w:hAnsi="宋体" w:cs="Times New Roman"/>
                <w:szCs w:val="21"/>
              </w:rPr>
              <w:t>山西兰花科创阳化分公司</w:t>
            </w:r>
          </w:p>
        </w:tc>
        <w:tc>
          <w:tcPr>
            <w:tcW w:w="1382" w:type="dxa"/>
            <w:vAlign w:val="center"/>
          </w:tcPr>
          <w:p>
            <w:pPr>
              <w:pStyle w:val="67"/>
              <w:ind w:firstLine="0" w:firstLineChars="0"/>
              <w:jc w:val="center"/>
              <w:rPr>
                <w:rFonts w:hAnsi="宋体"/>
                <w:color w:val="000000"/>
                <w:szCs w:val="21"/>
              </w:rPr>
            </w:pPr>
            <w:r>
              <w:rPr>
                <w:rFonts w:hAnsi="宋体" w:cs="Times New Roman"/>
                <w:szCs w:val="21"/>
              </w:rPr>
              <w:t>高级工程师</w:t>
            </w:r>
          </w:p>
        </w:tc>
        <w:tc>
          <w:tcPr>
            <w:tcW w:w="2114" w:type="dxa"/>
            <w:vAlign w:val="center"/>
          </w:tcPr>
          <w:p>
            <w:pPr>
              <w:pStyle w:val="67"/>
              <w:ind w:firstLine="0" w:firstLineChars="0"/>
              <w:jc w:val="center"/>
              <w:rPr>
                <w:rFonts w:hAnsi="宋体"/>
                <w:color w:val="000000"/>
                <w:szCs w:val="21"/>
              </w:rPr>
            </w:pPr>
            <w:r>
              <w:rPr>
                <w:rFonts w:hAnsi="宋体" w:cs="Times New Roman"/>
                <w:szCs w:val="21"/>
              </w:rPr>
              <w:t>技术科科长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956" w:type="dxa"/>
            <w:vMerge w:val="continue"/>
          </w:tcPr>
          <w:p>
            <w:pPr>
              <w:widowControl/>
              <w:spacing w:line="360" w:lineRule="auto"/>
              <w:jc w:val="center"/>
              <w:rPr>
                <w:color w:val="000000"/>
                <w:szCs w:val="21"/>
              </w:rPr>
            </w:pPr>
          </w:p>
        </w:tc>
        <w:tc>
          <w:tcPr>
            <w:tcW w:w="1100" w:type="dxa"/>
            <w:vAlign w:val="center"/>
          </w:tcPr>
          <w:p>
            <w:pPr>
              <w:pStyle w:val="67"/>
              <w:ind w:firstLine="0" w:firstLineChars="0"/>
              <w:jc w:val="center"/>
              <w:rPr>
                <w:rFonts w:hAnsi="宋体" w:cs="Times New Roman"/>
                <w:szCs w:val="21"/>
              </w:rPr>
            </w:pPr>
            <w:r>
              <w:rPr>
                <w:rFonts w:hAnsi="宋体" w:cs="Times New Roman"/>
                <w:szCs w:val="21"/>
              </w:rPr>
              <w:t>王维兵</w:t>
            </w:r>
          </w:p>
        </w:tc>
        <w:tc>
          <w:tcPr>
            <w:tcW w:w="2970" w:type="dxa"/>
            <w:vAlign w:val="center"/>
          </w:tcPr>
          <w:p>
            <w:pPr>
              <w:pStyle w:val="67"/>
              <w:ind w:firstLine="0" w:firstLineChars="0"/>
              <w:jc w:val="center"/>
              <w:rPr>
                <w:rFonts w:hAnsi="宋体"/>
                <w:color w:val="000000"/>
                <w:szCs w:val="21"/>
              </w:rPr>
            </w:pPr>
            <w:r>
              <w:rPr>
                <w:rFonts w:hAnsi="宋体" w:cs="Times New Roman"/>
                <w:szCs w:val="21"/>
              </w:rPr>
              <w:t>山西兰花科创化肥公司</w:t>
            </w:r>
          </w:p>
        </w:tc>
        <w:tc>
          <w:tcPr>
            <w:tcW w:w="1382" w:type="dxa"/>
            <w:vAlign w:val="center"/>
          </w:tcPr>
          <w:p>
            <w:pPr>
              <w:pStyle w:val="67"/>
              <w:ind w:firstLine="0" w:firstLineChars="0"/>
              <w:jc w:val="center"/>
              <w:rPr>
                <w:rFonts w:hAnsi="宋体"/>
                <w:color w:val="000000"/>
                <w:szCs w:val="21"/>
              </w:rPr>
            </w:pPr>
            <w:r>
              <w:rPr>
                <w:rFonts w:hAnsi="宋体" w:cs="Times New Roman"/>
                <w:szCs w:val="21"/>
              </w:rPr>
              <w:t>高级工程师</w:t>
            </w:r>
          </w:p>
        </w:tc>
        <w:tc>
          <w:tcPr>
            <w:tcW w:w="2114" w:type="dxa"/>
            <w:vAlign w:val="center"/>
          </w:tcPr>
          <w:p>
            <w:pPr>
              <w:pStyle w:val="67"/>
              <w:ind w:firstLine="0" w:firstLineChars="0"/>
              <w:jc w:val="center"/>
              <w:rPr>
                <w:rFonts w:hAnsi="宋体"/>
                <w:color w:val="000000"/>
                <w:szCs w:val="21"/>
              </w:rPr>
            </w:pPr>
            <w:r>
              <w:rPr>
                <w:rFonts w:hAnsi="宋体" w:cs="Times New Roman"/>
                <w:szCs w:val="21"/>
              </w:rPr>
              <w:t>生产科科长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956" w:type="dxa"/>
            <w:vMerge w:val="continue"/>
          </w:tcPr>
          <w:p>
            <w:pPr>
              <w:widowControl/>
              <w:spacing w:line="360" w:lineRule="auto"/>
              <w:jc w:val="center"/>
              <w:rPr>
                <w:color w:val="000000"/>
                <w:szCs w:val="21"/>
              </w:rPr>
            </w:pPr>
          </w:p>
        </w:tc>
        <w:tc>
          <w:tcPr>
            <w:tcW w:w="1100" w:type="dxa"/>
            <w:vAlign w:val="center"/>
          </w:tcPr>
          <w:p>
            <w:pPr>
              <w:pStyle w:val="67"/>
              <w:ind w:firstLine="0" w:firstLineChars="0"/>
              <w:jc w:val="center"/>
              <w:rPr>
                <w:rFonts w:hAnsi="宋体" w:cs="Times New Roman"/>
                <w:szCs w:val="21"/>
              </w:rPr>
            </w:pPr>
            <w:r>
              <w:rPr>
                <w:rFonts w:hAnsi="宋体" w:cs="Times New Roman"/>
                <w:szCs w:val="21"/>
              </w:rPr>
              <w:t>王波</w:t>
            </w:r>
          </w:p>
        </w:tc>
        <w:tc>
          <w:tcPr>
            <w:tcW w:w="2970" w:type="dxa"/>
            <w:vAlign w:val="center"/>
          </w:tcPr>
          <w:p>
            <w:pPr>
              <w:pStyle w:val="67"/>
              <w:ind w:firstLine="0" w:firstLineChars="0"/>
              <w:jc w:val="center"/>
              <w:rPr>
                <w:rFonts w:hAnsi="宋体"/>
                <w:color w:val="000000"/>
                <w:szCs w:val="21"/>
              </w:rPr>
            </w:pPr>
            <w:r>
              <w:rPr>
                <w:rFonts w:hAnsi="宋体" w:cs="Times New Roman"/>
                <w:szCs w:val="21"/>
              </w:rPr>
              <w:t>晋城化肥股份有限公司</w:t>
            </w:r>
          </w:p>
        </w:tc>
        <w:tc>
          <w:tcPr>
            <w:tcW w:w="1382" w:type="dxa"/>
            <w:vAlign w:val="center"/>
          </w:tcPr>
          <w:p>
            <w:pPr>
              <w:pStyle w:val="67"/>
              <w:ind w:firstLine="0" w:firstLineChars="0"/>
              <w:jc w:val="center"/>
              <w:rPr>
                <w:rFonts w:hAnsi="宋体"/>
                <w:color w:val="000000"/>
                <w:szCs w:val="21"/>
              </w:rPr>
            </w:pPr>
            <w:r>
              <w:rPr>
                <w:rFonts w:hAnsi="宋体" w:cs="Times New Roman"/>
                <w:szCs w:val="21"/>
              </w:rPr>
              <w:t>高级工程师</w:t>
            </w:r>
          </w:p>
        </w:tc>
        <w:tc>
          <w:tcPr>
            <w:tcW w:w="2114" w:type="dxa"/>
            <w:vAlign w:val="center"/>
          </w:tcPr>
          <w:p>
            <w:pPr>
              <w:pStyle w:val="67"/>
              <w:ind w:firstLine="0" w:firstLineChars="0"/>
              <w:jc w:val="center"/>
              <w:rPr>
                <w:rFonts w:hAnsi="宋体"/>
                <w:color w:val="000000"/>
                <w:szCs w:val="21"/>
              </w:rPr>
            </w:pPr>
            <w:r>
              <w:rPr>
                <w:rFonts w:hAnsi="宋体" w:cs="Times New Roman"/>
                <w:szCs w:val="21"/>
              </w:rPr>
              <w:t>人力资源处处长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956" w:type="dxa"/>
            <w:vMerge w:val="continue"/>
          </w:tcPr>
          <w:p>
            <w:pPr>
              <w:widowControl/>
              <w:spacing w:line="360" w:lineRule="auto"/>
              <w:jc w:val="center"/>
              <w:rPr>
                <w:color w:val="000000"/>
                <w:szCs w:val="21"/>
              </w:rPr>
            </w:pPr>
          </w:p>
        </w:tc>
        <w:tc>
          <w:tcPr>
            <w:tcW w:w="1100" w:type="dxa"/>
            <w:vAlign w:val="center"/>
          </w:tcPr>
          <w:p>
            <w:pPr>
              <w:pStyle w:val="67"/>
              <w:ind w:firstLine="0" w:firstLineChars="0"/>
              <w:jc w:val="center"/>
              <w:rPr>
                <w:rFonts w:hAnsi="宋体" w:cs="Times New Roman"/>
                <w:szCs w:val="21"/>
              </w:rPr>
            </w:pPr>
            <w:r>
              <w:rPr>
                <w:rFonts w:hAnsi="宋体" w:cs="Times New Roman"/>
                <w:szCs w:val="21"/>
              </w:rPr>
              <w:t>刘卫军</w:t>
            </w:r>
          </w:p>
        </w:tc>
        <w:tc>
          <w:tcPr>
            <w:tcW w:w="2970" w:type="dxa"/>
            <w:vAlign w:val="center"/>
          </w:tcPr>
          <w:p>
            <w:pPr>
              <w:pStyle w:val="67"/>
              <w:ind w:firstLine="0" w:firstLineChars="0"/>
              <w:jc w:val="center"/>
              <w:rPr>
                <w:rFonts w:hAnsi="宋体"/>
                <w:color w:val="000000"/>
                <w:szCs w:val="21"/>
              </w:rPr>
            </w:pPr>
            <w:r>
              <w:rPr>
                <w:rFonts w:hAnsi="宋体" w:cs="Times New Roman"/>
                <w:szCs w:val="21"/>
              </w:rPr>
              <w:t>兰花科创阳化分公司</w:t>
            </w:r>
          </w:p>
        </w:tc>
        <w:tc>
          <w:tcPr>
            <w:tcW w:w="1382" w:type="dxa"/>
            <w:vAlign w:val="center"/>
          </w:tcPr>
          <w:p>
            <w:pPr>
              <w:pStyle w:val="67"/>
              <w:ind w:firstLine="0" w:firstLineChars="0"/>
              <w:jc w:val="center"/>
              <w:rPr>
                <w:rFonts w:hAnsi="宋体"/>
                <w:color w:val="000000"/>
                <w:szCs w:val="21"/>
              </w:rPr>
            </w:pPr>
            <w:r>
              <w:rPr>
                <w:rFonts w:hAnsi="宋体" w:cs="Times New Roman"/>
                <w:szCs w:val="21"/>
              </w:rPr>
              <w:t>高级工程师</w:t>
            </w:r>
          </w:p>
        </w:tc>
        <w:tc>
          <w:tcPr>
            <w:tcW w:w="2114" w:type="dxa"/>
            <w:vAlign w:val="center"/>
          </w:tcPr>
          <w:p>
            <w:pPr>
              <w:pStyle w:val="67"/>
              <w:ind w:firstLine="0" w:firstLineChars="0"/>
              <w:jc w:val="center"/>
              <w:rPr>
                <w:rFonts w:hAnsi="宋体"/>
                <w:color w:val="000000"/>
                <w:szCs w:val="21"/>
              </w:rPr>
            </w:pPr>
            <w:r>
              <w:rPr>
                <w:rFonts w:hAnsi="宋体" w:cs="Times New Roman"/>
                <w:szCs w:val="21"/>
              </w:rPr>
              <w:t>工会主席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956" w:type="dxa"/>
            <w:vMerge w:val="continue"/>
          </w:tcPr>
          <w:p>
            <w:pPr>
              <w:widowControl/>
              <w:spacing w:line="360" w:lineRule="auto"/>
              <w:jc w:val="center"/>
              <w:rPr>
                <w:color w:val="000000"/>
                <w:szCs w:val="21"/>
              </w:rPr>
            </w:pPr>
          </w:p>
        </w:tc>
        <w:tc>
          <w:tcPr>
            <w:tcW w:w="1100" w:type="dxa"/>
            <w:vAlign w:val="center"/>
          </w:tcPr>
          <w:p>
            <w:pPr>
              <w:pStyle w:val="67"/>
              <w:ind w:firstLine="0" w:firstLineChars="0"/>
              <w:jc w:val="center"/>
              <w:rPr>
                <w:rFonts w:hAnsi="宋体" w:cs="Times New Roman"/>
                <w:szCs w:val="21"/>
              </w:rPr>
            </w:pPr>
            <w:r>
              <w:rPr>
                <w:rFonts w:hAnsi="宋体" w:cs="Times New Roman"/>
                <w:szCs w:val="21"/>
              </w:rPr>
              <w:t>王西栋</w:t>
            </w:r>
          </w:p>
        </w:tc>
        <w:tc>
          <w:tcPr>
            <w:tcW w:w="2970" w:type="dxa"/>
            <w:vAlign w:val="center"/>
          </w:tcPr>
          <w:p>
            <w:pPr>
              <w:pStyle w:val="67"/>
              <w:ind w:firstLine="0" w:firstLineChars="0"/>
              <w:jc w:val="center"/>
              <w:rPr>
                <w:rFonts w:hAnsi="宋体"/>
                <w:color w:val="000000"/>
                <w:szCs w:val="21"/>
              </w:rPr>
            </w:pPr>
            <w:r>
              <w:rPr>
                <w:rFonts w:hAnsi="宋体" w:cs="Times New Roman"/>
                <w:szCs w:val="21"/>
              </w:rPr>
              <w:t>山西兰花</w:t>
            </w:r>
            <w:r>
              <w:rPr>
                <w:rFonts w:hint="eastAsia" w:hAnsi="宋体" w:cs="Times New Roman"/>
                <w:szCs w:val="21"/>
              </w:rPr>
              <w:t>新</w:t>
            </w:r>
            <w:r>
              <w:rPr>
                <w:rFonts w:hAnsi="宋体" w:cs="Times New Roman"/>
                <w:szCs w:val="21"/>
              </w:rPr>
              <w:t>能化工有限公司</w:t>
            </w:r>
          </w:p>
        </w:tc>
        <w:tc>
          <w:tcPr>
            <w:tcW w:w="1382" w:type="dxa"/>
            <w:vAlign w:val="center"/>
          </w:tcPr>
          <w:p>
            <w:pPr>
              <w:pStyle w:val="67"/>
              <w:ind w:firstLine="0" w:firstLineChars="0"/>
              <w:jc w:val="center"/>
              <w:rPr>
                <w:rFonts w:hAnsi="宋体"/>
                <w:color w:val="000000"/>
                <w:szCs w:val="21"/>
              </w:rPr>
            </w:pPr>
            <w:r>
              <w:rPr>
                <w:rFonts w:hAnsi="宋体" w:cs="Times New Roman"/>
                <w:szCs w:val="21"/>
              </w:rPr>
              <w:t>高级工程师</w:t>
            </w:r>
          </w:p>
        </w:tc>
        <w:tc>
          <w:tcPr>
            <w:tcW w:w="2114" w:type="dxa"/>
            <w:vAlign w:val="center"/>
          </w:tcPr>
          <w:p>
            <w:pPr>
              <w:pStyle w:val="67"/>
              <w:ind w:firstLine="0" w:firstLineChars="0"/>
              <w:jc w:val="center"/>
              <w:rPr>
                <w:rFonts w:hAnsi="宋体"/>
                <w:color w:val="000000"/>
                <w:szCs w:val="21"/>
              </w:rPr>
            </w:pPr>
            <w:r>
              <w:rPr>
                <w:rFonts w:hint="eastAsia" w:hAnsi="宋体" w:cs="Times New Roman"/>
                <w:szCs w:val="21"/>
              </w:rPr>
              <w:t>董事长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atLeast"/>
          <w:jc w:val="center"/>
        </w:trPr>
        <w:tc>
          <w:tcPr>
            <w:tcW w:w="956" w:type="dxa"/>
            <w:vMerge w:val="continue"/>
          </w:tcPr>
          <w:p>
            <w:pPr>
              <w:widowControl/>
              <w:spacing w:line="360" w:lineRule="auto"/>
              <w:jc w:val="center"/>
              <w:rPr>
                <w:color w:val="000000"/>
                <w:szCs w:val="21"/>
              </w:rPr>
            </w:pPr>
          </w:p>
        </w:tc>
        <w:tc>
          <w:tcPr>
            <w:tcW w:w="1100" w:type="dxa"/>
            <w:vAlign w:val="center"/>
          </w:tcPr>
          <w:p>
            <w:pPr>
              <w:pStyle w:val="67"/>
              <w:ind w:firstLine="0" w:firstLineChars="0"/>
              <w:jc w:val="center"/>
              <w:rPr>
                <w:rFonts w:hAnsi="宋体" w:cs="Times New Roman"/>
                <w:szCs w:val="21"/>
              </w:rPr>
            </w:pPr>
            <w:r>
              <w:rPr>
                <w:rFonts w:hAnsi="宋体" w:cs="Times New Roman"/>
                <w:szCs w:val="21"/>
              </w:rPr>
              <w:t>李青</w:t>
            </w:r>
          </w:p>
        </w:tc>
        <w:tc>
          <w:tcPr>
            <w:tcW w:w="2970" w:type="dxa"/>
            <w:vAlign w:val="center"/>
          </w:tcPr>
          <w:p>
            <w:pPr>
              <w:pStyle w:val="67"/>
              <w:ind w:firstLine="0" w:firstLineChars="0"/>
              <w:jc w:val="center"/>
              <w:rPr>
                <w:rFonts w:hAnsi="宋体"/>
                <w:color w:val="000000"/>
                <w:szCs w:val="21"/>
              </w:rPr>
            </w:pPr>
            <w:r>
              <w:rPr>
                <w:rFonts w:hAnsi="宋体" w:cs="Times New Roman"/>
                <w:szCs w:val="21"/>
              </w:rPr>
              <w:t>晋城市泽锦生物科技有限公司</w:t>
            </w:r>
          </w:p>
        </w:tc>
        <w:tc>
          <w:tcPr>
            <w:tcW w:w="1382" w:type="dxa"/>
            <w:vAlign w:val="center"/>
          </w:tcPr>
          <w:p>
            <w:pPr>
              <w:pStyle w:val="67"/>
              <w:ind w:firstLine="0" w:firstLineChars="0"/>
              <w:jc w:val="center"/>
              <w:rPr>
                <w:rFonts w:hAnsi="宋体"/>
                <w:color w:val="000000"/>
                <w:szCs w:val="21"/>
              </w:rPr>
            </w:pPr>
            <w:r>
              <w:rPr>
                <w:rFonts w:hAnsi="宋体" w:cs="Times New Roman"/>
                <w:szCs w:val="21"/>
              </w:rPr>
              <w:t>高级工程师</w:t>
            </w:r>
          </w:p>
        </w:tc>
        <w:tc>
          <w:tcPr>
            <w:tcW w:w="2114" w:type="dxa"/>
            <w:vAlign w:val="center"/>
          </w:tcPr>
          <w:p>
            <w:pPr>
              <w:pStyle w:val="67"/>
              <w:ind w:firstLine="0" w:firstLineChars="0"/>
              <w:jc w:val="center"/>
              <w:rPr>
                <w:rFonts w:hAnsi="宋体"/>
                <w:color w:val="000000"/>
                <w:szCs w:val="21"/>
              </w:rPr>
            </w:pPr>
            <w:r>
              <w:rPr>
                <w:rFonts w:hAnsi="宋体" w:cs="Times New Roman"/>
                <w:szCs w:val="21"/>
              </w:rPr>
              <w:t>总经理</w:t>
            </w:r>
          </w:p>
        </w:tc>
      </w:tr>
    </w:tbl>
    <w:p>
      <w:pPr>
        <w:spacing w:line="360" w:lineRule="auto"/>
        <w:ind w:firstLine="300" w:firstLineChars="100"/>
        <w:rPr>
          <w:sz w:val="24"/>
        </w:rPr>
      </w:pPr>
      <w:bookmarkStart w:id="110" w:name="_Toc23920"/>
      <w:r>
        <w:rPr>
          <w:rFonts w:ascii="黑体" w:hAnsi="黑体" w:eastAsia="黑体"/>
          <w:sz w:val="30"/>
          <w:szCs w:val="30"/>
        </w:rPr>
        <w:t>（二）人才培养方案管理与实施的制度保障</w:t>
      </w:r>
      <w:bookmarkEnd w:id="110"/>
    </w:p>
    <w:p>
      <w:pPr>
        <w:spacing w:line="360" w:lineRule="auto"/>
        <w:ind w:firstLine="480" w:firstLineChars="200"/>
        <w:rPr>
          <w:sz w:val="24"/>
        </w:rPr>
      </w:pPr>
      <w:r>
        <w:rPr>
          <w:rFonts w:hAnsi="宋体"/>
          <w:sz w:val="24"/>
        </w:rPr>
        <w:t>为实现人才培养方案的正常运行，根据高职教育规律和我院实际情况，在教学管理上实行学院和教学系两级管理，严格执行学院制定的教学工作规范、教学计划、课程标准和教学日志制度，严格教学事故的认定与处理，严格执行教学评价制度，严格执行课堂教学和实践教学过程的检查制度，严格教学文件的规范管理，保证人才培养方案的顺利实施、教学秩序的稳定和教学质量的提高。</w:t>
      </w:r>
    </w:p>
    <w:p>
      <w:pPr>
        <w:pStyle w:val="7"/>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1</w:t>
      </w:r>
      <w:r>
        <w:rPr>
          <w:rFonts w:hint="eastAsia" w:ascii="Times New Roman" w:hAnsi="宋体" w:cs="Times New Roman"/>
          <w:sz w:val="24"/>
          <w:szCs w:val="24"/>
        </w:rPr>
        <w:t>.</w:t>
      </w:r>
      <w:r>
        <w:rPr>
          <w:rFonts w:ascii="Times New Roman" w:hAnsi="宋体" w:cs="Times New Roman"/>
          <w:sz w:val="24"/>
          <w:szCs w:val="24"/>
        </w:rPr>
        <w:t>院系两级管理体制</w:t>
      </w:r>
    </w:p>
    <w:p>
      <w:pPr>
        <w:spacing w:line="360" w:lineRule="auto"/>
        <w:ind w:firstLine="480" w:firstLineChars="200"/>
        <w:rPr>
          <w:sz w:val="24"/>
        </w:rPr>
      </w:pPr>
      <w:r>
        <w:rPr>
          <w:rFonts w:hAnsi="宋体"/>
          <w:sz w:val="24"/>
        </w:rPr>
        <w:t>以</w:t>
      </w:r>
      <w:r>
        <w:rPr>
          <w:rFonts w:hint="eastAsia"/>
          <w:sz w:val="24"/>
        </w:rPr>
        <w:t>“</w:t>
      </w:r>
      <w:r>
        <w:rPr>
          <w:rFonts w:hAnsi="宋体"/>
          <w:sz w:val="24"/>
        </w:rPr>
        <w:t>院长</w:t>
      </w:r>
      <w:r>
        <w:rPr>
          <w:sz w:val="24"/>
        </w:rPr>
        <w:t>—</w:t>
      </w:r>
      <w:r>
        <w:rPr>
          <w:rFonts w:hAnsi="宋体"/>
          <w:sz w:val="24"/>
        </w:rPr>
        <w:t>分管副院长</w:t>
      </w:r>
      <w:r>
        <w:rPr>
          <w:sz w:val="24"/>
        </w:rPr>
        <w:t>—</w:t>
      </w:r>
      <w:r>
        <w:rPr>
          <w:rFonts w:hAnsi="宋体"/>
          <w:sz w:val="24"/>
        </w:rPr>
        <w:t>教务处</w:t>
      </w:r>
      <w:r>
        <w:rPr>
          <w:rFonts w:hint="eastAsia"/>
          <w:sz w:val="24"/>
        </w:rPr>
        <w:t>”</w:t>
      </w:r>
      <w:r>
        <w:rPr>
          <w:rFonts w:hAnsi="宋体"/>
          <w:sz w:val="24"/>
        </w:rPr>
        <w:t>为院级管理和以</w:t>
      </w:r>
      <w:r>
        <w:rPr>
          <w:rFonts w:hint="eastAsia"/>
          <w:sz w:val="24"/>
        </w:rPr>
        <w:t>“</w:t>
      </w:r>
      <w:r>
        <w:rPr>
          <w:rFonts w:hAnsi="宋体"/>
          <w:sz w:val="24"/>
        </w:rPr>
        <w:t>系主任</w:t>
      </w:r>
      <w:r>
        <w:rPr>
          <w:sz w:val="24"/>
        </w:rPr>
        <w:t>—</w:t>
      </w:r>
      <w:r>
        <w:rPr>
          <w:rFonts w:hAnsi="宋体"/>
          <w:sz w:val="24"/>
        </w:rPr>
        <w:t>分管副主任</w:t>
      </w:r>
      <w:r>
        <w:rPr>
          <w:sz w:val="24"/>
        </w:rPr>
        <w:t>—</w:t>
      </w:r>
      <w:r>
        <w:rPr>
          <w:rFonts w:hAnsi="宋体"/>
          <w:sz w:val="24"/>
        </w:rPr>
        <w:t>专业主任</w:t>
      </w:r>
      <w:r>
        <w:rPr>
          <w:sz w:val="24"/>
        </w:rPr>
        <w:t>—</w:t>
      </w:r>
      <w:r>
        <w:rPr>
          <w:rFonts w:hAnsi="宋体"/>
          <w:sz w:val="24"/>
        </w:rPr>
        <w:t>教学秘书</w:t>
      </w:r>
      <w:r>
        <w:rPr>
          <w:rFonts w:hint="eastAsia"/>
          <w:sz w:val="24"/>
        </w:rPr>
        <w:t>”</w:t>
      </w:r>
      <w:r>
        <w:rPr>
          <w:rFonts w:hAnsi="宋体"/>
          <w:sz w:val="24"/>
        </w:rPr>
        <w:t>为系级管理的两级教学管理体系，分别承担管理教学的工作，从而明确了学院、系部各自的工作范围、职责、权利和义务。院级工作的重心是突出目标管理、重在决策监督。教学管理重心移到系一级，管理工作重点突出过程管理和组织落实。</w:t>
      </w:r>
    </w:p>
    <w:p>
      <w:pPr>
        <w:pStyle w:val="7"/>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2</w:t>
      </w:r>
      <w:r>
        <w:rPr>
          <w:rFonts w:hint="eastAsia" w:ascii="Times New Roman" w:hAnsi="宋体" w:cs="Times New Roman"/>
          <w:sz w:val="24"/>
          <w:szCs w:val="24"/>
        </w:rPr>
        <w:t>.</w:t>
      </w:r>
      <w:r>
        <w:rPr>
          <w:rFonts w:ascii="Times New Roman" w:hAnsi="宋体" w:cs="Times New Roman"/>
          <w:sz w:val="24"/>
          <w:szCs w:val="24"/>
        </w:rPr>
        <w:t>人才培养方案实施的方案设计</w:t>
      </w:r>
    </w:p>
    <w:p>
      <w:pPr>
        <w:spacing w:line="360" w:lineRule="auto"/>
        <w:ind w:firstLine="480" w:firstLineChars="200"/>
        <w:rPr>
          <w:sz w:val="24"/>
        </w:rPr>
      </w:pPr>
      <w:r>
        <w:rPr>
          <w:rFonts w:hAnsi="宋体"/>
          <w:sz w:val="24"/>
        </w:rPr>
        <w:t>（</w:t>
      </w:r>
      <w:r>
        <w:rPr>
          <w:sz w:val="24"/>
        </w:rPr>
        <w:t>1</w:t>
      </w:r>
      <w:r>
        <w:rPr>
          <w:rFonts w:hAnsi="宋体"/>
          <w:sz w:val="24"/>
        </w:rPr>
        <w:t>）组织制定课程标准</w:t>
      </w:r>
    </w:p>
    <w:p>
      <w:pPr>
        <w:spacing w:line="360" w:lineRule="auto"/>
        <w:ind w:firstLine="480" w:firstLineChars="200"/>
        <w:rPr>
          <w:sz w:val="24"/>
        </w:rPr>
      </w:pPr>
      <w:r>
        <w:rPr>
          <w:rFonts w:hAnsi="宋体"/>
          <w:sz w:val="24"/>
        </w:rPr>
        <w:t>课程标准是落实培养目标和人才培养方案最基本的教学文件，应准确的贯彻人才培养方案所体现的教育思想和培养目标。课程标准内容包括本课程的性质、学时、学分、课程目标、课程内容、教学实施、考核评价等，由专业教研室组织编制。</w:t>
      </w:r>
    </w:p>
    <w:p>
      <w:pPr>
        <w:spacing w:line="360" w:lineRule="auto"/>
        <w:ind w:firstLine="480" w:firstLineChars="200"/>
        <w:rPr>
          <w:sz w:val="24"/>
        </w:rPr>
      </w:pPr>
      <w:r>
        <w:rPr>
          <w:rFonts w:hAnsi="宋体"/>
          <w:sz w:val="24"/>
        </w:rPr>
        <w:t>（</w:t>
      </w:r>
      <w:r>
        <w:rPr>
          <w:sz w:val="24"/>
        </w:rPr>
        <w:t>2</w:t>
      </w:r>
      <w:r>
        <w:rPr>
          <w:rFonts w:hAnsi="宋体"/>
          <w:sz w:val="24"/>
        </w:rPr>
        <w:t>）课堂教学的组织管理</w:t>
      </w:r>
    </w:p>
    <w:p>
      <w:pPr>
        <w:spacing w:line="360" w:lineRule="auto"/>
        <w:ind w:firstLine="480" w:firstLineChars="200"/>
        <w:rPr>
          <w:sz w:val="24"/>
        </w:rPr>
      </w:pPr>
      <w:r>
        <w:rPr>
          <w:rFonts w:hAnsi="宋体"/>
          <w:sz w:val="24"/>
        </w:rPr>
        <w:t>系聘任有相应学识水平、有责任心、有教学经验的专任或兼职教师任课。组织任课教师认真研究课程标准，组织编写或选用与标准相适应的教材和教学参考资料；要求教师认真履行《教师岗位职责》，按教学规律讲好每一节课；组织教师开展教学方法的讨论和研究，努力学习现代信息技术，推广计算机辅助教学，不断提高教学质量。</w:t>
      </w:r>
    </w:p>
    <w:p>
      <w:pPr>
        <w:spacing w:line="360" w:lineRule="auto"/>
        <w:ind w:firstLine="480" w:firstLineChars="200"/>
        <w:rPr>
          <w:sz w:val="24"/>
        </w:rPr>
      </w:pPr>
      <w:r>
        <w:rPr>
          <w:rFonts w:hAnsi="宋体"/>
          <w:sz w:val="24"/>
        </w:rPr>
        <w:t>（</w:t>
      </w:r>
      <w:r>
        <w:rPr>
          <w:sz w:val="24"/>
        </w:rPr>
        <w:t>3</w:t>
      </w:r>
      <w:r>
        <w:rPr>
          <w:rFonts w:hAnsi="宋体"/>
          <w:sz w:val="24"/>
        </w:rPr>
        <w:t>）校内实践性教学的组织管理</w:t>
      </w:r>
    </w:p>
    <w:p>
      <w:pPr>
        <w:spacing w:line="360" w:lineRule="auto"/>
        <w:ind w:firstLine="480" w:firstLineChars="200"/>
        <w:rPr>
          <w:sz w:val="24"/>
        </w:rPr>
      </w:pPr>
      <w:r>
        <w:rPr>
          <w:rFonts w:hAnsi="宋体"/>
          <w:sz w:val="24"/>
        </w:rPr>
        <w:t>根据职业教育的特点，合理开发实践性教学课程并加强项目任务的实施。实践性教学内容要严格按人才培养方案和课程标准的要求进行教学，保证课时，保证质量。任课教师要组织好每一节实践课教学，训练学生的专业基本技能和综合能力；充分发挥校内实习基地的教学资源，做到教学做合一，体现工学结合、做中学、学中做。</w:t>
      </w:r>
    </w:p>
    <w:p>
      <w:pPr>
        <w:pStyle w:val="7"/>
        <w:spacing w:line="360" w:lineRule="auto"/>
        <w:ind w:firstLine="480" w:firstLineChars="200"/>
        <w:rPr>
          <w:rFonts w:ascii="Times New Roman" w:hAnsi="Times New Roman" w:cs="Times New Roman"/>
          <w:sz w:val="24"/>
          <w:szCs w:val="24"/>
        </w:rPr>
      </w:pPr>
      <w:r>
        <w:rPr>
          <w:rFonts w:ascii="Times New Roman" w:hAnsi="宋体" w:cs="Times New Roman"/>
          <w:sz w:val="24"/>
        </w:rPr>
        <w:t>（</w:t>
      </w:r>
      <w:r>
        <w:rPr>
          <w:rFonts w:ascii="Times New Roman" w:hAnsi="Times New Roman" w:cs="Times New Roman"/>
          <w:sz w:val="24"/>
        </w:rPr>
        <w:t>4</w:t>
      </w:r>
      <w:r>
        <w:rPr>
          <w:rFonts w:ascii="Times New Roman" w:hAnsi="宋体" w:cs="Times New Roman"/>
          <w:sz w:val="24"/>
        </w:rPr>
        <w:t>）校外</w:t>
      </w:r>
      <w:r>
        <w:rPr>
          <w:rFonts w:ascii="Times New Roman" w:hAnsi="宋体" w:cs="Times New Roman"/>
          <w:sz w:val="24"/>
          <w:szCs w:val="24"/>
        </w:rPr>
        <w:t>实习实训的组织管理</w:t>
      </w:r>
    </w:p>
    <w:p>
      <w:pPr>
        <w:spacing w:line="360" w:lineRule="auto"/>
        <w:ind w:firstLine="480" w:firstLineChars="200"/>
        <w:rPr>
          <w:rFonts w:ascii="宋体" w:hAnsi="宋体"/>
          <w:sz w:val="24"/>
        </w:rPr>
      </w:pPr>
      <w:r>
        <w:rPr>
          <w:rFonts w:hAnsi="宋体"/>
          <w:sz w:val="24"/>
        </w:rPr>
        <w:t>跟岗实习和顶岗实习作为工学结合人才培养模式的重要组成部分，相较于校内教学组织而言，更需规范和管理。</w:t>
      </w:r>
      <w:r>
        <w:rPr>
          <w:rFonts w:ascii="宋体" w:hAnsi="宋体"/>
          <w:sz w:val="24"/>
        </w:rPr>
        <w:t>为此，学校制订了《校外</w:t>
      </w:r>
      <w:r>
        <w:rPr>
          <w:rFonts w:hint="eastAsia" w:ascii="宋体" w:hAnsi="宋体"/>
          <w:sz w:val="24"/>
        </w:rPr>
        <w:t>跟</w:t>
      </w:r>
      <w:r>
        <w:rPr>
          <w:rFonts w:ascii="宋体" w:hAnsi="宋体"/>
          <w:sz w:val="24"/>
        </w:rPr>
        <w:t>岗实习管理制度》</w:t>
      </w:r>
      <w:r>
        <w:rPr>
          <w:rFonts w:hint="eastAsia" w:ascii="宋体" w:hAnsi="宋体"/>
          <w:sz w:val="24"/>
        </w:rPr>
        <w:t>和</w:t>
      </w:r>
      <w:r>
        <w:rPr>
          <w:rFonts w:ascii="宋体" w:hAnsi="宋体"/>
          <w:sz w:val="24"/>
        </w:rPr>
        <w:t>《校外顶岗实习管理制度》</w:t>
      </w:r>
      <w:r>
        <w:rPr>
          <w:rFonts w:hint="eastAsia" w:ascii="宋体" w:hAnsi="宋体"/>
          <w:sz w:val="24"/>
        </w:rPr>
        <w:t>。在跟岗实习期间，专业教师适应“互联网+职业教育”新要求，利用现代信息技术开设多门专业网络课程，学生要求选修5门继续学习，做到网络平台学习和跟岗实习紧密结合；在顶岗实习期间，制定了</w:t>
      </w:r>
      <w:r>
        <w:rPr>
          <w:rFonts w:ascii="宋体" w:hAnsi="宋体"/>
          <w:sz w:val="24"/>
        </w:rPr>
        <w:t>一系列学生顶岗实习的作业文件，包括：《学生顶岗实习协议书》、《顶岗实习任务书》、《兼职教师顶岗实习周记》、《指导教师日志》、《学生实习日志》、《顶岗实习鉴定表》，以这些作业文件内容指导顶岗实习全过程，使顶岗实习教学环节有组织、有计划、有考核，有落实，保证了人才培养方案的顺利实施。</w:t>
      </w:r>
    </w:p>
    <w:p>
      <w:pPr>
        <w:spacing w:line="360" w:lineRule="auto"/>
        <w:ind w:firstLine="480" w:firstLineChars="200"/>
        <w:rPr>
          <w:sz w:val="24"/>
        </w:rPr>
      </w:pPr>
      <w:r>
        <w:rPr>
          <w:rFonts w:hAnsi="宋体"/>
          <w:sz w:val="24"/>
        </w:rPr>
        <w:t>（</w:t>
      </w:r>
      <w:r>
        <w:rPr>
          <w:sz w:val="24"/>
        </w:rPr>
        <w:t>5</w:t>
      </w:r>
      <w:r>
        <w:rPr>
          <w:rFonts w:hAnsi="宋体"/>
          <w:sz w:val="24"/>
        </w:rPr>
        <w:t>）对学生考核的管理</w:t>
      </w:r>
    </w:p>
    <w:p>
      <w:pPr>
        <w:spacing w:line="360" w:lineRule="auto"/>
        <w:ind w:firstLine="480" w:firstLineChars="200"/>
        <w:rPr>
          <w:rFonts w:ascii="宋体" w:hAnsi="宋体"/>
          <w:sz w:val="24"/>
        </w:rPr>
      </w:pPr>
      <w:r>
        <w:rPr>
          <w:rFonts w:hAnsi="宋体"/>
          <w:sz w:val="24"/>
        </w:rPr>
        <w:t>凡是培养方案规定开设的课程都要对学生进行考核。根据课程特点和性质采用多样化的考核方式和方法，考核重点放在学生的综合素质和能力的评价方面</w:t>
      </w:r>
      <w:r>
        <w:rPr>
          <w:rFonts w:hint="eastAsia" w:ascii="宋体" w:hAnsi="宋体"/>
          <w:sz w:val="24"/>
        </w:rPr>
        <w:t>。</w:t>
      </w:r>
    </w:p>
    <w:p>
      <w:pPr>
        <w:pStyle w:val="3"/>
        <w:ind w:firstLine="480" w:firstLineChars="150"/>
        <w:rPr>
          <w:b w:val="0"/>
        </w:rPr>
      </w:pPr>
      <w:bookmarkStart w:id="111" w:name="_Toc21895"/>
      <w:bookmarkStart w:id="112" w:name="_Toc17278767"/>
      <w:r>
        <w:rPr>
          <w:rFonts w:hint="eastAsia"/>
          <w:b w:val="0"/>
        </w:rPr>
        <w:t>二、双师教学团队建设的保障</w:t>
      </w:r>
      <w:bookmarkEnd w:id="106"/>
      <w:bookmarkEnd w:id="107"/>
      <w:bookmarkEnd w:id="108"/>
      <w:bookmarkEnd w:id="109"/>
      <w:bookmarkEnd w:id="111"/>
      <w:bookmarkEnd w:id="112"/>
    </w:p>
    <w:p>
      <w:pPr>
        <w:spacing w:line="360" w:lineRule="auto"/>
        <w:ind w:firstLine="300" w:firstLineChars="100"/>
        <w:rPr>
          <w:rFonts w:ascii="黑体" w:hAnsi="黑体" w:eastAsia="黑体"/>
          <w:sz w:val="30"/>
          <w:szCs w:val="30"/>
        </w:rPr>
      </w:pPr>
      <w:bookmarkStart w:id="113" w:name="_Toc339985622"/>
      <w:bookmarkStart w:id="114" w:name="_Toc339913821"/>
      <w:bookmarkStart w:id="115" w:name="_Toc11492"/>
      <w:bookmarkStart w:id="116" w:name="_Toc341338657"/>
      <w:r>
        <w:rPr>
          <w:rFonts w:ascii="黑体" w:hAnsi="黑体" w:eastAsia="黑体"/>
          <w:sz w:val="30"/>
          <w:szCs w:val="30"/>
        </w:rPr>
        <w:t>（一）教学团队的结构</w:t>
      </w:r>
    </w:p>
    <w:p>
      <w:pPr>
        <w:spacing w:line="360" w:lineRule="auto"/>
        <w:ind w:firstLine="480" w:firstLineChars="200"/>
        <w:rPr>
          <w:sz w:val="24"/>
        </w:rPr>
      </w:pPr>
      <w:r>
        <w:rPr>
          <w:sz w:val="24"/>
        </w:rPr>
        <w:t>1</w:t>
      </w:r>
      <w:r>
        <w:rPr>
          <w:rFonts w:hint="eastAsia" w:hAnsi="宋体"/>
          <w:sz w:val="24"/>
        </w:rPr>
        <w:t>.</w:t>
      </w:r>
      <w:r>
        <w:rPr>
          <w:rFonts w:hAnsi="宋体"/>
          <w:sz w:val="24"/>
        </w:rPr>
        <w:t>教学团队的构成</w:t>
      </w:r>
    </w:p>
    <w:p>
      <w:pPr>
        <w:spacing w:line="360" w:lineRule="auto"/>
        <w:ind w:firstLine="480" w:firstLineChars="200"/>
        <w:rPr>
          <w:sz w:val="24"/>
        </w:rPr>
      </w:pPr>
      <w:bookmarkStart w:id="117" w:name="_Toc265790477"/>
      <w:r>
        <w:rPr>
          <w:rFonts w:hAnsi="宋体"/>
          <w:sz w:val="24"/>
        </w:rPr>
        <w:t>本专业的教学团队由本院专任教师和企业兼职教师共同构成。</w:t>
      </w:r>
      <w:bookmarkEnd w:id="117"/>
    </w:p>
    <w:p>
      <w:pPr>
        <w:spacing w:line="360" w:lineRule="auto"/>
        <w:ind w:firstLine="480" w:firstLineChars="200"/>
        <w:rPr>
          <w:sz w:val="24"/>
        </w:rPr>
      </w:pPr>
      <w:r>
        <w:rPr>
          <w:rFonts w:hAnsi="宋体"/>
          <w:sz w:val="24"/>
        </w:rPr>
        <w:t>（</w:t>
      </w:r>
      <w:r>
        <w:rPr>
          <w:sz w:val="24"/>
        </w:rPr>
        <w:t>1</w:t>
      </w:r>
      <w:r>
        <w:rPr>
          <w:rFonts w:hAnsi="宋体"/>
          <w:sz w:val="24"/>
        </w:rPr>
        <w:t>）校内专任教师</w:t>
      </w:r>
    </w:p>
    <w:p>
      <w:pPr>
        <w:spacing w:line="360" w:lineRule="auto"/>
        <w:ind w:firstLine="480" w:firstLineChars="200"/>
        <w:rPr>
          <w:sz w:val="24"/>
        </w:rPr>
      </w:pPr>
      <w:r>
        <w:rPr>
          <w:rFonts w:hAnsi="宋体"/>
          <w:sz w:val="24"/>
        </w:rPr>
        <w:t>本专业师资力量比较雄厚，</w:t>
      </w:r>
      <w:r>
        <w:rPr>
          <w:rFonts w:hint="eastAsia" w:ascii="宋体" w:hAnsi="宋体" w:cs="宋体"/>
          <w:sz w:val="24"/>
        </w:rPr>
        <w:t>有专任教师11名，其中教授1人，副教授3人，专任核心课程教师5人，双师型教师比例为100%。专任教师均为研究生学历，其中，博士3人，硕士8人。</w:t>
      </w:r>
      <w:r>
        <w:rPr>
          <w:rFonts w:hAnsi="宋体"/>
          <w:sz w:val="24"/>
        </w:rPr>
        <w:t>本团队是一支年龄、职称、及学历结构合理，理论与实践水平较高，责任心强的团队。</w:t>
      </w:r>
    </w:p>
    <w:p>
      <w:pPr>
        <w:spacing w:line="360" w:lineRule="auto"/>
        <w:jc w:val="center"/>
        <w:rPr>
          <w:bCs/>
          <w:sz w:val="24"/>
        </w:rPr>
      </w:pPr>
      <w:r>
        <w:rPr>
          <w:rFonts w:hAnsi="宋体"/>
          <w:bCs/>
          <w:sz w:val="24"/>
        </w:rPr>
        <w:t>表</w:t>
      </w:r>
      <w:r>
        <w:rPr>
          <w:bCs/>
          <w:sz w:val="24"/>
        </w:rPr>
        <w:t xml:space="preserve">5.2  </w:t>
      </w:r>
      <w:r>
        <w:rPr>
          <w:rFonts w:hAnsi="宋体"/>
          <w:bCs/>
          <w:sz w:val="24"/>
        </w:rPr>
        <w:t>校内主要专任教师配置情况</w:t>
      </w:r>
    </w:p>
    <w:tbl>
      <w:tblPr>
        <w:tblStyle w:val="1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1385"/>
        <w:gridCol w:w="745"/>
        <w:gridCol w:w="2355"/>
        <w:gridCol w:w="755"/>
        <w:gridCol w:w="1962"/>
        <w:gridCol w:w="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847" w:type="dxa"/>
            <w:noWrap/>
            <w:vAlign w:val="center"/>
          </w:tcPr>
          <w:p>
            <w:pPr>
              <w:spacing w:line="300" w:lineRule="exact"/>
              <w:jc w:val="center"/>
              <w:rPr>
                <w:rFonts w:ascii="宋体" w:hAnsi="宋体" w:eastAsia="宋体" w:cs="Times New Roman"/>
                <w:b/>
                <w:szCs w:val="21"/>
              </w:rPr>
            </w:pPr>
            <w:r>
              <w:rPr>
                <w:rFonts w:hint="eastAsia" w:ascii="宋体" w:hAnsi="宋体" w:eastAsia="宋体" w:cs="Times New Roman"/>
                <w:b/>
                <w:szCs w:val="21"/>
              </w:rPr>
              <w:t>姓名</w:t>
            </w:r>
          </w:p>
        </w:tc>
        <w:tc>
          <w:tcPr>
            <w:tcW w:w="1385" w:type="dxa"/>
            <w:noWrap/>
            <w:vAlign w:val="center"/>
          </w:tcPr>
          <w:p>
            <w:pPr>
              <w:spacing w:line="300" w:lineRule="exact"/>
              <w:jc w:val="center"/>
              <w:rPr>
                <w:rFonts w:ascii="宋体" w:hAnsi="宋体" w:eastAsia="宋体" w:cs="Times New Roman"/>
                <w:b/>
                <w:szCs w:val="21"/>
              </w:rPr>
            </w:pPr>
            <w:r>
              <w:rPr>
                <w:rFonts w:hint="eastAsia" w:ascii="宋体" w:hAnsi="宋体" w:eastAsia="宋体" w:cs="Times New Roman"/>
                <w:b/>
                <w:szCs w:val="21"/>
              </w:rPr>
              <w:t>学历/学位</w:t>
            </w:r>
          </w:p>
        </w:tc>
        <w:tc>
          <w:tcPr>
            <w:tcW w:w="745" w:type="dxa"/>
            <w:noWrap/>
            <w:vAlign w:val="center"/>
          </w:tcPr>
          <w:p>
            <w:pPr>
              <w:spacing w:line="300" w:lineRule="exact"/>
              <w:jc w:val="center"/>
              <w:rPr>
                <w:rFonts w:ascii="宋体" w:hAnsi="宋体" w:eastAsia="宋体" w:cs="Times New Roman"/>
                <w:b/>
                <w:szCs w:val="21"/>
              </w:rPr>
            </w:pPr>
            <w:r>
              <w:rPr>
                <w:rFonts w:hint="eastAsia" w:ascii="宋体" w:hAnsi="宋体" w:eastAsia="宋体" w:cs="Times New Roman"/>
                <w:b/>
                <w:szCs w:val="21"/>
              </w:rPr>
              <w:t>职称</w:t>
            </w:r>
          </w:p>
        </w:tc>
        <w:tc>
          <w:tcPr>
            <w:tcW w:w="2355" w:type="dxa"/>
            <w:noWrap/>
            <w:vAlign w:val="center"/>
          </w:tcPr>
          <w:p>
            <w:pPr>
              <w:spacing w:line="300" w:lineRule="exact"/>
              <w:jc w:val="center"/>
              <w:rPr>
                <w:rFonts w:ascii="宋体" w:hAnsi="宋体" w:eastAsia="宋体" w:cs="Times New Roman"/>
                <w:b/>
                <w:szCs w:val="21"/>
              </w:rPr>
            </w:pPr>
            <w:r>
              <w:rPr>
                <w:rFonts w:hint="eastAsia" w:ascii="宋体" w:hAnsi="宋体" w:eastAsia="宋体" w:cs="Times New Roman"/>
                <w:b/>
                <w:szCs w:val="21"/>
              </w:rPr>
              <w:t>职业资格证书</w:t>
            </w:r>
          </w:p>
        </w:tc>
        <w:tc>
          <w:tcPr>
            <w:tcW w:w="755" w:type="dxa"/>
            <w:noWrap/>
            <w:vAlign w:val="center"/>
          </w:tcPr>
          <w:p>
            <w:pPr>
              <w:spacing w:line="300" w:lineRule="exact"/>
              <w:jc w:val="center"/>
              <w:rPr>
                <w:rFonts w:ascii="宋体" w:hAnsi="宋体" w:eastAsia="宋体" w:cs="Times New Roman"/>
                <w:b/>
                <w:szCs w:val="21"/>
              </w:rPr>
            </w:pPr>
            <w:r>
              <w:rPr>
                <w:rFonts w:hint="eastAsia" w:ascii="宋体" w:hAnsi="宋体" w:eastAsia="宋体" w:cs="Times New Roman"/>
                <w:b/>
                <w:szCs w:val="21"/>
              </w:rPr>
              <w:t>专业</w:t>
            </w:r>
          </w:p>
          <w:p>
            <w:pPr>
              <w:spacing w:line="300" w:lineRule="exact"/>
              <w:jc w:val="center"/>
              <w:rPr>
                <w:rFonts w:ascii="宋体" w:hAnsi="宋体" w:eastAsia="宋体" w:cs="Times New Roman"/>
                <w:b/>
                <w:szCs w:val="21"/>
              </w:rPr>
            </w:pPr>
            <w:r>
              <w:rPr>
                <w:rFonts w:hint="eastAsia" w:ascii="宋体" w:hAnsi="宋体" w:eastAsia="宋体" w:cs="Times New Roman"/>
                <w:b/>
                <w:szCs w:val="21"/>
              </w:rPr>
              <w:t>方向</w:t>
            </w:r>
          </w:p>
        </w:tc>
        <w:tc>
          <w:tcPr>
            <w:tcW w:w="1962" w:type="dxa"/>
            <w:noWrap/>
            <w:vAlign w:val="center"/>
          </w:tcPr>
          <w:p>
            <w:pPr>
              <w:spacing w:line="300" w:lineRule="exact"/>
              <w:jc w:val="center"/>
              <w:rPr>
                <w:rFonts w:ascii="宋体" w:hAnsi="宋体" w:eastAsia="宋体" w:cs="Times New Roman"/>
                <w:b/>
                <w:szCs w:val="21"/>
              </w:rPr>
            </w:pPr>
            <w:r>
              <w:rPr>
                <w:rFonts w:hint="eastAsia" w:ascii="宋体" w:hAnsi="宋体" w:eastAsia="宋体" w:cs="Times New Roman"/>
                <w:b/>
                <w:szCs w:val="21"/>
              </w:rPr>
              <w:t>承担教学任务</w:t>
            </w:r>
          </w:p>
        </w:tc>
        <w:tc>
          <w:tcPr>
            <w:tcW w:w="473" w:type="dxa"/>
            <w:noWrap/>
            <w:vAlign w:val="center"/>
          </w:tcPr>
          <w:p>
            <w:pPr>
              <w:spacing w:line="300" w:lineRule="exact"/>
              <w:jc w:val="center"/>
              <w:rPr>
                <w:rFonts w:ascii="宋体" w:hAnsi="宋体" w:eastAsia="宋体" w:cs="Times New Roman"/>
                <w:b/>
                <w:szCs w:val="21"/>
              </w:rPr>
            </w:pPr>
            <w:r>
              <w:rPr>
                <w:rFonts w:hint="eastAsia" w:ascii="宋体" w:hAnsi="宋体" w:eastAsia="宋体" w:cs="Times New Roman"/>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847" w:type="dxa"/>
            <w:noWrap/>
            <w:vAlign w:val="center"/>
          </w:tcPr>
          <w:p>
            <w:pPr>
              <w:spacing w:line="300" w:lineRule="exact"/>
              <w:jc w:val="center"/>
              <w:rPr>
                <w:rFonts w:ascii="宋体" w:hAnsi="宋体" w:eastAsia="宋体" w:cs="Times New Roman"/>
                <w:szCs w:val="21"/>
              </w:rPr>
            </w:pPr>
            <w:r>
              <w:rPr>
                <w:rFonts w:hint="eastAsia" w:ascii="宋体" w:hAnsi="宋体" w:eastAsia="宋体" w:cs="宋体"/>
                <w:color w:val="000000"/>
                <w:kern w:val="0"/>
                <w:szCs w:val="21"/>
              </w:rPr>
              <w:t>吉晋兰</w:t>
            </w:r>
          </w:p>
        </w:tc>
        <w:tc>
          <w:tcPr>
            <w:tcW w:w="1385" w:type="dxa"/>
            <w:noWrap/>
            <w:vAlign w:val="center"/>
          </w:tcPr>
          <w:p>
            <w:pPr>
              <w:spacing w:line="300" w:lineRule="exact"/>
              <w:jc w:val="center"/>
              <w:rPr>
                <w:rFonts w:ascii="宋体" w:hAnsi="宋体" w:eastAsia="宋体" w:cs="Times New Roman"/>
                <w:szCs w:val="21"/>
              </w:rPr>
            </w:pPr>
            <w:r>
              <w:rPr>
                <w:rFonts w:hint="eastAsia" w:ascii="宋体" w:hAnsi="宋体" w:eastAsia="宋体" w:cs="宋体"/>
                <w:szCs w:val="21"/>
              </w:rPr>
              <w:t>博士研究生/博士学位</w:t>
            </w:r>
          </w:p>
        </w:tc>
        <w:tc>
          <w:tcPr>
            <w:tcW w:w="745" w:type="dxa"/>
            <w:noWrap/>
            <w:vAlign w:val="center"/>
          </w:tcPr>
          <w:p>
            <w:pPr>
              <w:spacing w:line="300" w:lineRule="exact"/>
              <w:jc w:val="center"/>
              <w:rPr>
                <w:rFonts w:ascii="宋体" w:hAnsi="宋体" w:eastAsia="宋体" w:cs="Times New Roman"/>
                <w:szCs w:val="21"/>
              </w:rPr>
            </w:pPr>
            <w:r>
              <w:rPr>
                <w:rFonts w:hint="eastAsia" w:ascii="宋体" w:hAnsi="宋体" w:eastAsia="宋体" w:cs="宋体"/>
                <w:kern w:val="0"/>
                <w:szCs w:val="21"/>
              </w:rPr>
              <w:t>教授</w:t>
            </w:r>
          </w:p>
        </w:tc>
        <w:tc>
          <w:tcPr>
            <w:tcW w:w="2355" w:type="dxa"/>
            <w:noWrap/>
            <w:vAlign w:val="center"/>
          </w:tcPr>
          <w:p>
            <w:pPr>
              <w:spacing w:line="300" w:lineRule="exact"/>
              <w:jc w:val="center"/>
              <w:rPr>
                <w:rFonts w:ascii="宋体" w:hAnsi="宋体" w:eastAsia="宋体" w:cs="Times New Roman"/>
                <w:szCs w:val="21"/>
              </w:rPr>
            </w:pPr>
            <w:r>
              <w:rPr>
                <w:rFonts w:hint="eastAsia" w:ascii="宋体" w:hAnsi="宋体" w:eastAsia="宋体" w:cs="Times New Roman"/>
                <w:szCs w:val="21"/>
              </w:rPr>
              <w:t>化学检验工一级、</w:t>
            </w:r>
          </w:p>
          <w:p>
            <w:pPr>
              <w:spacing w:line="300" w:lineRule="exact"/>
              <w:jc w:val="center"/>
              <w:rPr>
                <w:rFonts w:ascii="宋体" w:hAnsi="宋体" w:eastAsia="宋体" w:cs="Times New Roman"/>
                <w:szCs w:val="21"/>
              </w:rPr>
            </w:pPr>
            <w:r>
              <w:rPr>
                <w:rFonts w:hint="eastAsia" w:ascii="宋体" w:hAnsi="宋体" w:eastAsia="宋体" w:cs="Times New Roman"/>
                <w:szCs w:val="21"/>
              </w:rPr>
              <w:t>化妆品配制工三级</w:t>
            </w:r>
          </w:p>
        </w:tc>
        <w:tc>
          <w:tcPr>
            <w:tcW w:w="755" w:type="dxa"/>
            <w:noWrap/>
            <w:vAlign w:val="center"/>
          </w:tcPr>
          <w:p>
            <w:pPr>
              <w:spacing w:line="300" w:lineRule="exact"/>
              <w:jc w:val="center"/>
              <w:rPr>
                <w:rFonts w:ascii="宋体" w:hAnsi="宋体" w:eastAsia="宋体" w:cs="宋体"/>
                <w:szCs w:val="21"/>
              </w:rPr>
            </w:pPr>
            <w:r>
              <w:rPr>
                <w:rFonts w:hint="eastAsia" w:ascii="宋体" w:hAnsi="宋体" w:eastAsia="宋体" w:cs="宋体"/>
                <w:szCs w:val="21"/>
              </w:rPr>
              <w:t>环境</w:t>
            </w:r>
          </w:p>
          <w:p>
            <w:pPr>
              <w:spacing w:line="300" w:lineRule="exact"/>
              <w:jc w:val="center"/>
              <w:rPr>
                <w:rFonts w:ascii="宋体" w:hAnsi="宋体" w:eastAsia="宋体" w:cs="Times New Roman"/>
                <w:szCs w:val="21"/>
              </w:rPr>
            </w:pPr>
            <w:r>
              <w:rPr>
                <w:rFonts w:hint="eastAsia" w:ascii="宋体" w:hAnsi="宋体" w:eastAsia="宋体" w:cs="宋体"/>
                <w:szCs w:val="21"/>
              </w:rPr>
              <w:t>化学</w:t>
            </w:r>
          </w:p>
        </w:tc>
        <w:tc>
          <w:tcPr>
            <w:tcW w:w="1962" w:type="dxa"/>
            <w:noWrap/>
            <w:vAlign w:val="center"/>
          </w:tcPr>
          <w:p>
            <w:pPr>
              <w:widowControl/>
              <w:spacing w:line="350" w:lineRule="atLeast"/>
              <w:jc w:val="center"/>
              <w:textAlignment w:val="center"/>
              <w:rPr>
                <w:rFonts w:ascii="宋体" w:hAnsi="宋体" w:eastAsia="宋体" w:cs="Times New Roman"/>
                <w:kern w:val="0"/>
                <w:szCs w:val="21"/>
              </w:rPr>
            </w:pPr>
            <w:r>
              <w:rPr>
                <w:rFonts w:hint="eastAsia" w:ascii="宋体" w:hAnsi="宋体" w:eastAsia="宋体" w:cs="Times New Roman"/>
                <w:kern w:val="0"/>
                <w:szCs w:val="21"/>
              </w:rPr>
              <w:t>化工安全与环保</w:t>
            </w:r>
          </w:p>
          <w:p>
            <w:pPr>
              <w:widowControl/>
              <w:spacing w:line="350" w:lineRule="atLeast"/>
              <w:jc w:val="center"/>
              <w:textAlignment w:val="center"/>
              <w:rPr>
                <w:rFonts w:ascii="宋体" w:hAnsi="宋体" w:eastAsia="宋体" w:cs="Times New Roman"/>
                <w:kern w:val="0"/>
                <w:szCs w:val="21"/>
              </w:rPr>
            </w:pPr>
            <w:r>
              <w:rPr>
                <w:rFonts w:hint="eastAsia" w:ascii="宋体" w:hAnsi="宋体" w:eastAsia="宋体" w:cs="Times New Roman"/>
                <w:kern w:val="0"/>
                <w:szCs w:val="21"/>
              </w:rPr>
              <w:t>煤化工工艺学</w:t>
            </w:r>
          </w:p>
        </w:tc>
        <w:tc>
          <w:tcPr>
            <w:tcW w:w="473" w:type="dxa"/>
            <w:noWrap/>
            <w:vAlign w:val="center"/>
          </w:tcPr>
          <w:p>
            <w:pPr>
              <w:spacing w:line="300" w:lineRule="exact"/>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847" w:type="dxa"/>
            <w:noWrap/>
            <w:vAlign w:val="center"/>
          </w:tcPr>
          <w:p>
            <w:pPr>
              <w:spacing w:line="300" w:lineRule="exact"/>
              <w:rPr>
                <w:rFonts w:ascii="宋体" w:hAnsi="宋体" w:eastAsia="宋体" w:cs="Times New Roman"/>
                <w:szCs w:val="21"/>
              </w:rPr>
            </w:pPr>
            <w:r>
              <w:rPr>
                <w:rFonts w:hint="eastAsia" w:ascii="宋体" w:hAnsi="宋体" w:eastAsia="宋体" w:cs="Times New Roman"/>
                <w:szCs w:val="21"/>
              </w:rPr>
              <w:t>牛学丽</w:t>
            </w:r>
          </w:p>
        </w:tc>
        <w:tc>
          <w:tcPr>
            <w:tcW w:w="1385" w:type="dxa"/>
            <w:noWrap/>
            <w:vAlign w:val="center"/>
          </w:tcPr>
          <w:p>
            <w:pPr>
              <w:spacing w:line="300" w:lineRule="exact"/>
              <w:jc w:val="center"/>
              <w:rPr>
                <w:rFonts w:ascii="宋体" w:hAnsi="宋体" w:eastAsia="宋体" w:cs="Times New Roman"/>
                <w:szCs w:val="21"/>
              </w:rPr>
            </w:pPr>
            <w:r>
              <w:rPr>
                <w:rFonts w:hint="eastAsia" w:ascii="宋体" w:hAnsi="宋体" w:eastAsia="宋体" w:cs="宋体"/>
                <w:szCs w:val="21"/>
              </w:rPr>
              <w:t>博士研究生/博士学位</w:t>
            </w:r>
          </w:p>
        </w:tc>
        <w:tc>
          <w:tcPr>
            <w:tcW w:w="745" w:type="dxa"/>
            <w:noWrap/>
            <w:vAlign w:val="center"/>
          </w:tcPr>
          <w:p>
            <w:pPr>
              <w:spacing w:line="300" w:lineRule="exact"/>
              <w:jc w:val="center"/>
              <w:rPr>
                <w:rFonts w:ascii="宋体" w:hAnsi="宋体" w:eastAsia="宋体" w:cs="Times New Roman"/>
                <w:szCs w:val="21"/>
              </w:rPr>
            </w:pPr>
            <w:r>
              <w:rPr>
                <w:rFonts w:hint="eastAsia" w:ascii="宋体" w:hAnsi="宋体" w:eastAsia="宋体" w:cs="宋体"/>
                <w:kern w:val="0"/>
                <w:szCs w:val="21"/>
              </w:rPr>
              <w:t>副教授</w:t>
            </w:r>
          </w:p>
        </w:tc>
        <w:tc>
          <w:tcPr>
            <w:tcW w:w="2355" w:type="dxa"/>
            <w:noWrap/>
            <w:vAlign w:val="center"/>
          </w:tcPr>
          <w:p>
            <w:pPr>
              <w:spacing w:line="300" w:lineRule="exact"/>
              <w:jc w:val="center"/>
              <w:rPr>
                <w:rFonts w:ascii="宋体" w:hAnsi="宋体" w:eastAsia="宋体" w:cs="Times New Roman"/>
                <w:szCs w:val="21"/>
              </w:rPr>
            </w:pPr>
            <w:r>
              <w:rPr>
                <w:rFonts w:hint="eastAsia" w:ascii="宋体" w:hAnsi="宋体" w:eastAsia="宋体" w:cs="Times New Roman"/>
                <w:szCs w:val="21"/>
              </w:rPr>
              <w:t>尿素合成工考评员证、</w:t>
            </w:r>
          </w:p>
          <w:p>
            <w:pPr>
              <w:spacing w:line="300" w:lineRule="exact"/>
              <w:jc w:val="center"/>
              <w:rPr>
                <w:rFonts w:ascii="宋体" w:hAnsi="宋体" w:eastAsia="宋体" w:cs="Times New Roman"/>
                <w:szCs w:val="21"/>
              </w:rPr>
            </w:pPr>
            <w:r>
              <w:rPr>
                <w:rFonts w:hint="eastAsia" w:ascii="宋体" w:hAnsi="宋体" w:eastAsia="宋体" w:cs="Times New Roman"/>
                <w:szCs w:val="21"/>
              </w:rPr>
              <w:t>化工总控工高级技师证</w:t>
            </w:r>
          </w:p>
        </w:tc>
        <w:tc>
          <w:tcPr>
            <w:tcW w:w="755" w:type="dxa"/>
            <w:noWrap/>
            <w:vAlign w:val="center"/>
          </w:tcPr>
          <w:p>
            <w:pPr>
              <w:spacing w:line="300" w:lineRule="exact"/>
              <w:jc w:val="center"/>
              <w:rPr>
                <w:rFonts w:ascii="宋体" w:hAnsi="宋体" w:eastAsia="宋体" w:cs="Times New Roman"/>
                <w:szCs w:val="21"/>
              </w:rPr>
            </w:pPr>
            <w:r>
              <w:rPr>
                <w:rFonts w:hint="eastAsia" w:ascii="宋体" w:hAnsi="宋体" w:eastAsia="宋体" w:cs="Times New Roman"/>
                <w:szCs w:val="21"/>
              </w:rPr>
              <w:t>有机化学</w:t>
            </w:r>
          </w:p>
        </w:tc>
        <w:tc>
          <w:tcPr>
            <w:tcW w:w="1962" w:type="dxa"/>
            <w:noWrap/>
            <w:vAlign w:val="center"/>
          </w:tcPr>
          <w:p>
            <w:pPr>
              <w:spacing w:line="300" w:lineRule="exact"/>
              <w:ind w:firstLine="420" w:firstLineChars="200"/>
              <w:rPr>
                <w:rFonts w:ascii="宋体" w:hAnsi="宋体" w:eastAsia="宋体" w:cs="Times New Roman"/>
                <w:szCs w:val="21"/>
              </w:rPr>
            </w:pPr>
            <w:r>
              <w:rPr>
                <w:rFonts w:hint="eastAsia" w:ascii="宋体" w:hAnsi="宋体" w:eastAsia="宋体" w:cs="Times New Roman"/>
                <w:szCs w:val="21"/>
              </w:rPr>
              <w:t>有机化学</w:t>
            </w:r>
          </w:p>
          <w:p>
            <w:pPr>
              <w:spacing w:line="300" w:lineRule="exact"/>
              <w:ind w:firstLine="420" w:firstLineChars="200"/>
              <w:rPr>
                <w:rFonts w:ascii="宋体" w:hAnsi="宋体" w:eastAsia="宋体" w:cs="Times New Roman"/>
                <w:szCs w:val="21"/>
              </w:rPr>
            </w:pPr>
            <w:r>
              <w:rPr>
                <w:rFonts w:hint="eastAsia" w:ascii="宋体" w:hAnsi="宋体" w:eastAsia="宋体" w:cs="Times New Roman"/>
                <w:szCs w:val="21"/>
              </w:rPr>
              <w:t>仪器分析</w:t>
            </w:r>
          </w:p>
        </w:tc>
        <w:tc>
          <w:tcPr>
            <w:tcW w:w="473" w:type="dxa"/>
            <w:noWrap/>
            <w:vAlign w:val="center"/>
          </w:tcPr>
          <w:p>
            <w:pPr>
              <w:spacing w:line="300" w:lineRule="exact"/>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847" w:type="dxa"/>
            <w:noWrap/>
            <w:vAlign w:val="center"/>
          </w:tcPr>
          <w:p>
            <w:pPr>
              <w:spacing w:line="300" w:lineRule="exact"/>
              <w:jc w:val="center"/>
              <w:rPr>
                <w:rFonts w:ascii="宋体" w:hAnsi="宋体" w:eastAsia="宋体" w:cs="Times New Roman"/>
                <w:szCs w:val="21"/>
              </w:rPr>
            </w:pPr>
            <w:r>
              <w:rPr>
                <w:rFonts w:hint="eastAsia" w:ascii="宋体" w:hAnsi="宋体" w:eastAsia="宋体" w:cs="Times New Roman"/>
                <w:szCs w:val="21"/>
              </w:rPr>
              <w:t>席琦</w:t>
            </w:r>
          </w:p>
        </w:tc>
        <w:tc>
          <w:tcPr>
            <w:tcW w:w="1385" w:type="dxa"/>
            <w:noWrap/>
            <w:vAlign w:val="center"/>
          </w:tcPr>
          <w:p>
            <w:pPr>
              <w:spacing w:line="300" w:lineRule="exact"/>
              <w:jc w:val="center"/>
              <w:rPr>
                <w:rFonts w:ascii="宋体" w:hAnsi="宋体" w:eastAsia="宋体" w:cs="Times New Roman"/>
                <w:szCs w:val="21"/>
              </w:rPr>
            </w:pPr>
            <w:r>
              <w:rPr>
                <w:rFonts w:hint="eastAsia" w:ascii="宋体" w:hAnsi="宋体" w:eastAsia="宋体" w:cs="宋体"/>
                <w:kern w:val="0"/>
                <w:szCs w:val="21"/>
              </w:rPr>
              <w:t>本科/硕士</w:t>
            </w:r>
          </w:p>
        </w:tc>
        <w:tc>
          <w:tcPr>
            <w:tcW w:w="745" w:type="dxa"/>
            <w:noWrap/>
            <w:vAlign w:val="center"/>
          </w:tcPr>
          <w:p>
            <w:pPr>
              <w:spacing w:line="300" w:lineRule="exact"/>
              <w:jc w:val="center"/>
              <w:rPr>
                <w:rFonts w:ascii="宋体" w:hAnsi="宋体" w:eastAsia="宋体" w:cs="Times New Roman"/>
                <w:szCs w:val="21"/>
              </w:rPr>
            </w:pPr>
            <w:r>
              <w:rPr>
                <w:rFonts w:hint="eastAsia" w:ascii="宋体" w:hAnsi="宋体" w:eastAsia="宋体" w:cs="宋体"/>
                <w:kern w:val="0"/>
                <w:szCs w:val="21"/>
              </w:rPr>
              <w:t>副教授</w:t>
            </w:r>
          </w:p>
        </w:tc>
        <w:tc>
          <w:tcPr>
            <w:tcW w:w="2355" w:type="dxa"/>
            <w:noWrap/>
            <w:vAlign w:val="center"/>
          </w:tcPr>
          <w:p>
            <w:pPr>
              <w:spacing w:line="300" w:lineRule="exact"/>
              <w:jc w:val="center"/>
              <w:rPr>
                <w:rFonts w:ascii="宋体" w:hAnsi="宋体" w:eastAsia="宋体" w:cs="Times New Roman"/>
                <w:szCs w:val="21"/>
              </w:rPr>
            </w:pPr>
            <w:r>
              <w:rPr>
                <w:rFonts w:hint="eastAsia" w:ascii="宋体" w:hAnsi="宋体" w:eastAsia="宋体" w:cs="Times New Roman"/>
                <w:szCs w:val="21"/>
              </w:rPr>
              <w:t>尿素合成工考评员证、</w:t>
            </w:r>
          </w:p>
          <w:p>
            <w:pPr>
              <w:spacing w:line="300" w:lineRule="exact"/>
              <w:jc w:val="center"/>
              <w:rPr>
                <w:rFonts w:ascii="宋体" w:hAnsi="宋体" w:eastAsia="宋体" w:cs="Times New Roman"/>
                <w:szCs w:val="21"/>
              </w:rPr>
            </w:pPr>
            <w:r>
              <w:rPr>
                <w:rFonts w:hint="eastAsia" w:ascii="宋体" w:hAnsi="宋体" w:eastAsia="宋体" w:cs="Times New Roman"/>
                <w:szCs w:val="21"/>
              </w:rPr>
              <w:t>化工总控工高级技师证</w:t>
            </w:r>
          </w:p>
        </w:tc>
        <w:tc>
          <w:tcPr>
            <w:tcW w:w="755" w:type="dxa"/>
            <w:noWrap/>
            <w:vAlign w:val="center"/>
          </w:tcPr>
          <w:p>
            <w:pPr>
              <w:spacing w:line="300" w:lineRule="exact"/>
              <w:jc w:val="center"/>
              <w:rPr>
                <w:rFonts w:ascii="宋体" w:hAnsi="宋体" w:eastAsia="宋体" w:cs="Times New Roman"/>
                <w:szCs w:val="21"/>
              </w:rPr>
            </w:pPr>
            <w:r>
              <w:rPr>
                <w:rFonts w:hint="eastAsia" w:ascii="宋体" w:hAnsi="宋体" w:eastAsia="宋体" w:cs="Times New Roman"/>
                <w:szCs w:val="21"/>
              </w:rPr>
              <w:t>化学</w:t>
            </w:r>
          </w:p>
          <w:p>
            <w:pPr>
              <w:spacing w:line="300" w:lineRule="exact"/>
              <w:jc w:val="center"/>
              <w:rPr>
                <w:rFonts w:ascii="宋体" w:hAnsi="宋体" w:eastAsia="宋体" w:cs="Times New Roman"/>
                <w:szCs w:val="21"/>
              </w:rPr>
            </w:pPr>
            <w:r>
              <w:rPr>
                <w:rFonts w:hint="eastAsia" w:ascii="宋体" w:hAnsi="宋体" w:eastAsia="宋体" w:cs="Times New Roman"/>
                <w:szCs w:val="21"/>
              </w:rPr>
              <w:t>教育</w:t>
            </w:r>
          </w:p>
        </w:tc>
        <w:tc>
          <w:tcPr>
            <w:tcW w:w="1962" w:type="dxa"/>
            <w:noWrap/>
            <w:vAlign w:val="center"/>
          </w:tcPr>
          <w:p>
            <w:pPr>
              <w:spacing w:line="300" w:lineRule="exact"/>
              <w:jc w:val="center"/>
              <w:rPr>
                <w:rFonts w:ascii="宋体" w:hAnsi="宋体" w:eastAsia="宋体" w:cs="Times New Roman"/>
                <w:szCs w:val="21"/>
              </w:rPr>
            </w:pPr>
            <w:r>
              <w:rPr>
                <w:rFonts w:hint="eastAsia" w:ascii="宋体" w:hAnsi="宋体" w:eastAsia="宋体" w:cs="Times New Roman"/>
                <w:szCs w:val="21"/>
              </w:rPr>
              <w:t>无机及分析化学</w:t>
            </w:r>
          </w:p>
          <w:p>
            <w:pPr>
              <w:spacing w:line="300" w:lineRule="exact"/>
              <w:jc w:val="center"/>
              <w:rPr>
                <w:rFonts w:ascii="宋体" w:hAnsi="宋体" w:eastAsia="宋体" w:cs="Times New Roman"/>
                <w:szCs w:val="21"/>
              </w:rPr>
            </w:pPr>
            <w:r>
              <w:rPr>
                <w:rFonts w:hint="eastAsia" w:ascii="宋体" w:hAnsi="宋体" w:eastAsia="宋体" w:cs="Times New Roman"/>
                <w:szCs w:val="21"/>
              </w:rPr>
              <w:t>化工文献检索</w:t>
            </w:r>
          </w:p>
        </w:tc>
        <w:tc>
          <w:tcPr>
            <w:tcW w:w="473" w:type="dxa"/>
            <w:noWrap/>
            <w:vAlign w:val="center"/>
          </w:tcPr>
          <w:p>
            <w:pPr>
              <w:spacing w:line="300" w:lineRule="exact"/>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847" w:type="dxa"/>
            <w:noWrap/>
            <w:vAlign w:val="center"/>
          </w:tcPr>
          <w:p>
            <w:pPr>
              <w:spacing w:line="300" w:lineRule="exact"/>
              <w:jc w:val="center"/>
              <w:rPr>
                <w:rFonts w:ascii="宋体" w:hAnsi="宋体" w:eastAsia="宋体" w:cs="Times New Roman"/>
                <w:szCs w:val="21"/>
              </w:rPr>
            </w:pPr>
            <w:r>
              <w:rPr>
                <w:rFonts w:hint="eastAsia" w:ascii="宋体" w:hAnsi="宋体" w:eastAsia="宋体" w:cs="宋体"/>
                <w:kern w:val="0"/>
                <w:szCs w:val="21"/>
              </w:rPr>
              <w:t>苗海霞</w:t>
            </w:r>
          </w:p>
        </w:tc>
        <w:tc>
          <w:tcPr>
            <w:tcW w:w="1385" w:type="dxa"/>
            <w:noWrap/>
            <w:vAlign w:val="center"/>
          </w:tcPr>
          <w:p>
            <w:pPr>
              <w:spacing w:line="300" w:lineRule="exact"/>
              <w:jc w:val="center"/>
              <w:rPr>
                <w:rFonts w:ascii="宋体" w:hAnsi="宋体" w:eastAsia="宋体" w:cs="Times New Roman"/>
                <w:szCs w:val="21"/>
              </w:rPr>
            </w:pPr>
            <w:r>
              <w:rPr>
                <w:rFonts w:hint="eastAsia" w:ascii="宋体" w:hAnsi="宋体" w:eastAsia="宋体" w:cs="宋体"/>
                <w:szCs w:val="21"/>
              </w:rPr>
              <w:t>博士研究生/博士学位</w:t>
            </w:r>
          </w:p>
        </w:tc>
        <w:tc>
          <w:tcPr>
            <w:tcW w:w="745" w:type="dxa"/>
            <w:noWrap/>
            <w:vAlign w:val="center"/>
          </w:tcPr>
          <w:p>
            <w:pPr>
              <w:spacing w:line="300" w:lineRule="exact"/>
              <w:jc w:val="center"/>
              <w:rPr>
                <w:rFonts w:ascii="宋体" w:hAnsi="宋体" w:eastAsia="宋体" w:cs="Times New Roman"/>
                <w:szCs w:val="21"/>
              </w:rPr>
            </w:pPr>
            <w:r>
              <w:rPr>
                <w:rFonts w:hint="eastAsia" w:ascii="宋体" w:hAnsi="宋体" w:eastAsia="宋体" w:cs="Times New Roman"/>
                <w:szCs w:val="21"/>
              </w:rPr>
              <w:t>副教授</w:t>
            </w:r>
          </w:p>
        </w:tc>
        <w:tc>
          <w:tcPr>
            <w:tcW w:w="2355" w:type="dxa"/>
            <w:noWrap/>
            <w:vAlign w:val="center"/>
          </w:tcPr>
          <w:p>
            <w:pPr>
              <w:spacing w:line="300" w:lineRule="exact"/>
              <w:jc w:val="center"/>
              <w:rPr>
                <w:rFonts w:ascii="宋体" w:hAnsi="宋体" w:eastAsia="宋体" w:cs="Times New Roman"/>
                <w:szCs w:val="21"/>
              </w:rPr>
            </w:pPr>
            <w:r>
              <w:rPr>
                <w:rFonts w:hint="eastAsia" w:ascii="宋体" w:hAnsi="宋体" w:eastAsia="宋体" w:cs="Times New Roman"/>
                <w:szCs w:val="21"/>
              </w:rPr>
              <w:t>尿素合成工考评员证、</w:t>
            </w:r>
          </w:p>
          <w:p>
            <w:pPr>
              <w:spacing w:line="300" w:lineRule="exact"/>
              <w:jc w:val="center"/>
              <w:rPr>
                <w:rFonts w:ascii="宋体" w:hAnsi="宋体" w:eastAsia="宋体" w:cs="Times New Roman"/>
                <w:szCs w:val="21"/>
              </w:rPr>
            </w:pPr>
            <w:r>
              <w:rPr>
                <w:rFonts w:hint="eastAsia" w:ascii="宋体" w:hAnsi="宋体" w:eastAsia="宋体" w:cs="Times New Roman"/>
                <w:szCs w:val="21"/>
              </w:rPr>
              <w:t>化工总控工高级技师证</w:t>
            </w:r>
          </w:p>
        </w:tc>
        <w:tc>
          <w:tcPr>
            <w:tcW w:w="755" w:type="dxa"/>
            <w:noWrap/>
            <w:vAlign w:val="center"/>
          </w:tcPr>
          <w:p>
            <w:pPr>
              <w:spacing w:line="300" w:lineRule="exact"/>
              <w:jc w:val="center"/>
              <w:rPr>
                <w:rFonts w:ascii="宋体" w:hAnsi="宋体" w:eastAsia="宋体" w:cs="Times New Roman"/>
                <w:szCs w:val="21"/>
              </w:rPr>
            </w:pPr>
            <w:r>
              <w:rPr>
                <w:rFonts w:hint="eastAsia" w:ascii="宋体" w:hAnsi="宋体" w:eastAsia="宋体" w:cs="宋体"/>
                <w:kern w:val="0"/>
                <w:szCs w:val="21"/>
              </w:rPr>
              <w:t>化学工程</w:t>
            </w:r>
          </w:p>
        </w:tc>
        <w:tc>
          <w:tcPr>
            <w:tcW w:w="1962" w:type="dxa"/>
            <w:noWrap/>
            <w:vAlign w:val="center"/>
          </w:tcPr>
          <w:p>
            <w:pPr>
              <w:spacing w:line="300" w:lineRule="exact"/>
              <w:jc w:val="center"/>
              <w:rPr>
                <w:rFonts w:ascii="宋体" w:hAnsi="宋体" w:eastAsia="宋体" w:cs="宋体"/>
                <w:kern w:val="0"/>
                <w:szCs w:val="21"/>
              </w:rPr>
            </w:pPr>
            <w:r>
              <w:rPr>
                <w:rFonts w:hint="eastAsia" w:ascii="宋体" w:hAnsi="宋体" w:eastAsia="宋体" w:cs="宋体"/>
                <w:kern w:val="0"/>
                <w:szCs w:val="21"/>
              </w:rPr>
              <w:t>化工设备基础</w:t>
            </w:r>
          </w:p>
          <w:p>
            <w:pPr>
              <w:spacing w:line="300" w:lineRule="exact"/>
              <w:jc w:val="center"/>
              <w:rPr>
                <w:rFonts w:ascii="宋体" w:hAnsi="宋体" w:eastAsia="宋体" w:cs="Times New Roman"/>
                <w:szCs w:val="21"/>
              </w:rPr>
            </w:pPr>
            <w:r>
              <w:rPr>
                <w:rFonts w:hint="eastAsia" w:ascii="宋体" w:hAnsi="宋体" w:eastAsia="宋体" w:cs="Times New Roman"/>
                <w:szCs w:val="21"/>
              </w:rPr>
              <w:t>无机化工生产技术</w:t>
            </w:r>
          </w:p>
        </w:tc>
        <w:tc>
          <w:tcPr>
            <w:tcW w:w="473" w:type="dxa"/>
            <w:noWrap/>
            <w:vAlign w:val="center"/>
          </w:tcPr>
          <w:p>
            <w:pPr>
              <w:widowControl/>
              <w:spacing w:line="300" w:lineRule="exact"/>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847" w:type="dxa"/>
            <w:noWrap/>
            <w:vAlign w:val="center"/>
          </w:tcPr>
          <w:p>
            <w:pPr>
              <w:spacing w:line="300" w:lineRule="exact"/>
              <w:jc w:val="center"/>
              <w:rPr>
                <w:rFonts w:ascii="宋体" w:hAnsi="宋体" w:eastAsia="宋体" w:cs="Times New Roman"/>
                <w:szCs w:val="21"/>
              </w:rPr>
            </w:pPr>
            <w:r>
              <w:rPr>
                <w:rFonts w:hint="eastAsia" w:ascii="宋体" w:hAnsi="宋体" w:eastAsia="宋体" w:cs="宋体"/>
                <w:kern w:val="0"/>
                <w:szCs w:val="21"/>
              </w:rPr>
              <w:t>李沁军</w:t>
            </w:r>
          </w:p>
        </w:tc>
        <w:tc>
          <w:tcPr>
            <w:tcW w:w="1385" w:type="dxa"/>
            <w:noWrap/>
            <w:vAlign w:val="center"/>
          </w:tcPr>
          <w:p>
            <w:pPr>
              <w:spacing w:line="300" w:lineRule="exact"/>
              <w:jc w:val="center"/>
              <w:rPr>
                <w:rFonts w:ascii="宋体" w:hAnsi="宋体" w:eastAsia="宋体" w:cs="Times New Roman"/>
                <w:szCs w:val="21"/>
              </w:rPr>
            </w:pPr>
            <w:r>
              <w:rPr>
                <w:rFonts w:hint="eastAsia" w:ascii="宋体" w:hAnsi="宋体" w:eastAsia="宋体" w:cs="宋体"/>
                <w:kern w:val="0"/>
                <w:szCs w:val="21"/>
              </w:rPr>
              <w:t>本科/学士</w:t>
            </w:r>
          </w:p>
        </w:tc>
        <w:tc>
          <w:tcPr>
            <w:tcW w:w="745" w:type="dxa"/>
            <w:noWrap/>
            <w:vAlign w:val="center"/>
          </w:tcPr>
          <w:p>
            <w:pPr>
              <w:spacing w:line="300" w:lineRule="exact"/>
              <w:jc w:val="center"/>
              <w:rPr>
                <w:rFonts w:ascii="宋体" w:hAnsi="宋体" w:eastAsia="宋体" w:cs="Times New Roman"/>
                <w:szCs w:val="21"/>
              </w:rPr>
            </w:pPr>
            <w:r>
              <w:rPr>
                <w:rFonts w:hint="eastAsia" w:ascii="宋体" w:hAnsi="宋体" w:eastAsia="宋体" w:cs="Times New Roman"/>
                <w:szCs w:val="21"/>
              </w:rPr>
              <w:t>讲师</w:t>
            </w:r>
          </w:p>
        </w:tc>
        <w:tc>
          <w:tcPr>
            <w:tcW w:w="2355" w:type="dxa"/>
            <w:noWrap/>
            <w:vAlign w:val="center"/>
          </w:tcPr>
          <w:p>
            <w:pPr>
              <w:spacing w:line="300" w:lineRule="exact"/>
              <w:jc w:val="center"/>
              <w:rPr>
                <w:rFonts w:ascii="宋体" w:hAnsi="宋体" w:eastAsia="宋体" w:cs="Times New Roman"/>
                <w:szCs w:val="21"/>
              </w:rPr>
            </w:pPr>
            <w:r>
              <w:rPr>
                <w:rFonts w:hint="eastAsia" w:ascii="宋体" w:hAnsi="宋体" w:eastAsia="宋体" w:cs="Times New Roman"/>
                <w:szCs w:val="21"/>
              </w:rPr>
              <w:t>尿素合成工考评员证、</w:t>
            </w:r>
          </w:p>
          <w:p>
            <w:pPr>
              <w:spacing w:line="300" w:lineRule="exact"/>
              <w:jc w:val="center"/>
              <w:rPr>
                <w:rFonts w:ascii="宋体" w:hAnsi="宋体" w:eastAsia="宋体" w:cs="Times New Roman"/>
                <w:szCs w:val="21"/>
              </w:rPr>
            </w:pPr>
            <w:r>
              <w:rPr>
                <w:rFonts w:hint="eastAsia" w:ascii="宋体" w:hAnsi="宋体" w:eastAsia="宋体" w:cs="Times New Roman"/>
                <w:szCs w:val="21"/>
              </w:rPr>
              <w:t>化工总控工高级技师证</w:t>
            </w:r>
          </w:p>
        </w:tc>
        <w:tc>
          <w:tcPr>
            <w:tcW w:w="755" w:type="dxa"/>
            <w:noWrap/>
            <w:vAlign w:val="center"/>
          </w:tcPr>
          <w:p>
            <w:pPr>
              <w:spacing w:line="300" w:lineRule="exact"/>
              <w:jc w:val="center"/>
              <w:rPr>
                <w:rFonts w:ascii="宋体" w:hAnsi="宋体" w:eastAsia="宋体" w:cs="Times New Roman"/>
                <w:szCs w:val="21"/>
              </w:rPr>
            </w:pPr>
            <w:r>
              <w:rPr>
                <w:rFonts w:hint="eastAsia" w:ascii="宋体" w:hAnsi="宋体" w:eastAsia="宋体" w:cs="宋体"/>
                <w:kern w:val="0"/>
                <w:szCs w:val="21"/>
              </w:rPr>
              <w:t>化学工程</w:t>
            </w:r>
          </w:p>
        </w:tc>
        <w:tc>
          <w:tcPr>
            <w:tcW w:w="1962" w:type="dxa"/>
            <w:noWrap/>
            <w:vAlign w:val="center"/>
          </w:tcPr>
          <w:p>
            <w:pPr>
              <w:spacing w:line="300" w:lineRule="exact"/>
              <w:jc w:val="center"/>
              <w:rPr>
                <w:rFonts w:ascii="宋体" w:hAnsi="宋体" w:eastAsia="宋体" w:cs="Times New Roman"/>
                <w:szCs w:val="21"/>
              </w:rPr>
            </w:pPr>
            <w:r>
              <w:rPr>
                <w:rFonts w:hint="eastAsia" w:ascii="宋体" w:hAnsi="宋体" w:eastAsia="宋体" w:cs="Times New Roman"/>
                <w:szCs w:val="21"/>
              </w:rPr>
              <w:t>化工仪表</w:t>
            </w:r>
          </w:p>
          <w:p>
            <w:pPr>
              <w:spacing w:line="300" w:lineRule="exact"/>
              <w:jc w:val="center"/>
              <w:rPr>
                <w:rFonts w:ascii="宋体" w:hAnsi="宋体" w:eastAsia="宋体" w:cs="Times New Roman"/>
                <w:szCs w:val="21"/>
              </w:rPr>
            </w:pPr>
            <w:r>
              <w:rPr>
                <w:rFonts w:hint="eastAsia" w:ascii="宋体" w:hAnsi="宋体" w:eastAsia="宋体" w:cs="Times New Roman"/>
                <w:szCs w:val="21"/>
              </w:rPr>
              <w:t>化工设备基础</w:t>
            </w:r>
          </w:p>
        </w:tc>
        <w:tc>
          <w:tcPr>
            <w:tcW w:w="473" w:type="dxa"/>
            <w:noWrap/>
            <w:vAlign w:val="center"/>
          </w:tcPr>
          <w:p>
            <w:pPr>
              <w:spacing w:line="300" w:lineRule="exact"/>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847" w:type="dxa"/>
            <w:noWrap/>
            <w:vAlign w:val="center"/>
          </w:tcPr>
          <w:p>
            <w:pPr>
              <w:spacing w:line="300" w:lineRule="exact"/>
              <w:jc w:val="center"/>
              <w:rPr>
                <w:rFonts w:ascii="宋体" w:hAnsi="宋体" w:eastAsia="宋体" w:cs="Times New Roman"/>
                <w:szCs w:val="21"/>
              </w:rPr>
            </w:pPr>
            <w:r>
              <w:rPr>
                <w:rFonts w:hint="eastAsia" w:ascii="宋体" w:hAnsi="宋体" w:eastAsia="宋体" w:cs="Times New Roman"/>
                <w:szCs w:val="21"/>
              </w:rPr>
              <w:t>耿长青</w:t>
            </w:r>
          </w:p>
        </w:tc>
        <w:tc>
          <w:tcPr>
            <w:tcW w:w="1385" w:type="dxa"/>
            <w:noWrap/>
            <w:vAlign w:val="center"/>
          </w:tcPr>
          <w:p>
            <w:pPr>
              <w:spacing w:line="300" w:lineRule="exact"/>
              <w:jc w:val="center"/>
              <w:rPr>
                <w:rFonts w:ascii="宋体" w:hAnsi="宋体" w:eastAsia="宋体" w:cs="Times New Roman"/>
                <w:szCs w:val="21"/>
              </w:rPr>
            </w:pPr>
            <w:r>
              <w:rPr>
                <w:rFonts w:hint="eastAsia" w:ascii="宋体" w:hAnsi="宋体" w:eastAsia="宋体" w:cs="宋体"/>
                <w:szCs w:val="21"/>
              </w:rPr>
              <w:t>硕士研究生/硕士学位</w:t>
            </w:r>
          </w:p>
        </w:tc>
        <w:tc>
          <w:tcPr>
            <w:tcW w:w="745" w:type="dxa"/>
            <w:noWrap/>
            <w:vAlign w:val="center"/>
          </w:tcPr>
          <w:p>
            <w:pPr>
              <w:spacing w:line="300" w:lineRule="exact"/>
              <w:jc w:val="center"/>
              <w:rPr>
                <w:rFonts w:ascii="宋体" w:hAnsi="宋体" w:eastAsia="宋体" w:cs="Times New Roman"/>
                <w:szCs w:val="21"/>
              </w:rPr>
            </w:pPr>
            <w:r>
              <w:rPr>
                <w:rFonts w:hint="eastAsia" w:ascii="宋体" w:hAnsi="宋体" w:eastAsia="宋体" w:cs="Times New Roman"/>
                <w:szCs w:val="21"/>
              </w:rPr>
              <w:t>讲师</w:t>
            </w:r>
          </w:p>
        </w:tc>
        <w:tc>
          <w:tcPr>
            <w:tcW w:w="2355" w:type="dxa"/>
            <w:noWrap/>
            <w:vAlign w:val="center"/>
          </w:tcPr>
          <w:p>
            <w:pPr>
              <w:spacing w:line="300" w:lineRule="exact"/>
              <w:jc w:val="center"/>
              <w:rPr>
                <w:rFonts w:ascii="宋体" w:hAnsi="宋体" w:eastAsia="宋体" w:cs="Times New Roman"/>
                <w:szCs w:val="21"/>
              </w:rPr>
            </w:pPr>
            <w:r>
              <w:rPr>
                <w:rFonts w:hint="eastAsia" w:ascii="宋体" w:hAnsi="宋体" w:eastAsia="宋体" w:cs="Times New Roman"/>
                <w:szCs w:val="21"/>
              </w:rPr>
              <w:t>尿素合成工考评员证、</w:t>
            </w:r>
          </w:p>
          <w:p>
            <w:pPr>
              <w:spacing w:line="300" w:lineRule="exact"/>
              <w:jc w:val="center"/>
              <w:rPr>
                <w:rFonts w:ascii="宋体" w:hAnsi="宋体" w:eastAsia="宋体" w:cs="Times New Roman"/>
                <w:szCs w:val="21"/>
              </w:rPr>
            </w:pPr>
            <w:r>
              <w:rPr>
                <w:rFonts w:hint="eastAsia" w:ascii="宋体" w:hAnsi="宋体" w:eastAsia="宋体" w:cs="Times New Roman"/>
                <w:szCs w:val="21"/>
              </w:rPr>
              <w:t>化工总控工高级技师证</w:t>
            </w:r>
          </w:p>
        </w:tc>
        <w:tc>
          <w:tcPr>
            <w:tcW w:w="755" w:type="dxa"/>
            <w:noWrap/>
            <w:vAlign w:val="center"/>
          </w:tcPr>
          <w:p>
            <w:pPr>
              <w:spacing w:line="300" w:lineRule="exact"/>
              <w:jc w:val="center"/>
              <w:rPr>
                <w:rFonts w:ascii="宋体" w:hAnsi="宋体" w:eastAsia="宋体" w:cs="Times New Roman"/>
                <w:szCs w:val="21"/>
              </w:rPr>
            </w:pPr>
            <w:r>
              <w:rPr>
                <w:rFonts w:hint="eastAsia" w:ascii="宋体" w:hAnsi="宋体" w:eastAsia="宋体" w:cs="Times New Roman"/>
                <w:szCs w:val="21"/>
              </w:rPr>
              <w:t>应用化工</w:t>
            </w:r>
          </w:p>
        </w:tc>
        <w:tc>
          <w:tcPr>
            <w:tcW w:w="1962" w:type="dxa"/>
            <w:noWrap/>
            <w:vAlign w:val="center"/>
          </w:tcPr>
          <w:p>
            <w:pPr>
              <w:spacing w:line="300" w:lineRule="exact"/>
              <w:jc w:val="center"/>
              <w:rPr>
                <w:rFonts w:ascii="宋体" w:hAnsi="宋体" w:eastAsia="宋体" w:cs="Times New Roman"/>
                <w:szCs w:val="21"/>
              </w:rPr>
            </w:pPr>
            <w:r>
              <w:rPr>
                <w:rFonts w:hint="eastAsia" w:ascii="宋体" w:hAnsi="宋体" w:eastAsia="宋体" w:cs="Times New Roman"/>
                <w:szCs w:val="21"/>
              </w:rPr>
              <w:t>工业分析</w:t>
            </w:r>
          </w:p>
          <w:p>
            <w:pPr>
              <w:spacing w:line="300" w:lineRule="exact"/>
              <w:jc w:val="center"/>
              <w:rPr>
                <w:rFonts w:ascii="宋体" w:hAnsi="宋体" w:eastAsia="宋体" w:cs="Times New Roman"/>
                <w:szCs w:val="21"/>
              </w:rPr>
            </w:pPr>
            <w:r>
              <w:rPr>
                <w:rFonts w:hint="eastAsia" w:ascii="宋体" w:hAnsi="宋体" w:eastAsia="宋体" w:cs="Times New Roman"/>
                <w:szCs w:val="21"/>
              </w:rPr>
              <w:t>化工制图</w:t>
            </w:r>
          </w:p>
        </w:tc>
        <w:tc>
          <w:tcPr>
            <w:tcW w:w="473" w:type="dxa"/>
            <w:noWrap/>
            <w:vAlign w:val="center"/>
          </w:tcPr>
          <w:p>
            <w:pPr>
              <w:spacing w:line="300" w:lineRule="exact"/>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847" w:type="dxa"/>
            <w:noWrap/>
            <w:vAlign w:val="center"/>
          </w:tcPr>
          <w:p>
            <w:pPr>
              <w:spacing w:line="300" w:lineRule="exact"/>
              <w:jc w:val="center"/>
              <w:rPr>
                <w:rFonts w:ascii="宋体" w:hAnsi="宋体" w:eastAsia="宋体" w:cs="Times New Roman"/>
                <w:szCs w:val="21"/>
              </w:rPr>
            </w:pPr>
            <w:r>
              <w:rPr>
                <w:rFonts w:hint="eastAsia" w:ascii="宋体" w:hAnsi="宋体" w:eastAsia="宋体" w:cs="宋体"/>
                <w:szCs w:val="21"/>
              </w:rPr>
              <w:t>王艳芬</w:t>
            </w:r>
          </w:p>
        </w:tc>
        <w:tc>
          <w:tcPr>
            <w:tcW w:w="1385" w:type="dxa"/>
            <w:noWrap/>
            <w:vAlign w:val="center"/>
          </w:tcPr>
          <w:p>
            <w:pPr>
              <w:spacing w:line="300" w:lineRule="exact"/>
              <w:jc w:val="center"/>
              <w:rPr>
                <w:rFonts w:ascii="宋体" w:hAnsi="宋体" w:eastAsia="宋体" w:cs="Times New Roman"/>
                <w:szCs w:val="21"/>
              </w:rPr>
            </w:pPr>
            <w:r>
              <w:rPr>
                <w:rFonts w:hint="eastAsia" w:ascii="宋体" w:hAnsi="宋体" w:eastAsia="宋体" w:cs="宋体"/>
                <w:szCs w:val="21"/>
              </w:rPr>
              <w:t>硕士研究生/硕士学位</w:t>
            </w:r>
          </w:p>
        </w:tc>
        <w:tc>
          <w:tcPr>
            <w:tcW w:w="745" w:type="dxa"/>
            <w:noWrap/>
            <w:vAlign w:val="center"/>
          </w:tcPr>
          <w:p>
            <w:pPr>
              <w:spacing w:line="300" w:lineRule="exact"/>
              <w:jc w:val="center"/>
              <w:rPr>
                <w:rFonts w:ascii="宋体" w:hAnsi="宋体" w:eastAsia="宋体" w:cs="Times New Roman"/>
                <w:szCs w:val="21"/>
              </w:rPr>
            </w:pPr>
            <w:r>
              <w:rPr>
                <w:rFonts w:hint="eastAsia" w:ascii="宋体" w:hAnsi="宋体" w:eastAsia="宋体" w:cs="Times New Roman"/>
                <w:szCs w:val="21"/>
              </w:rPr>
              <w:t>讲师</w:t>
            </w:r>
          </w:p>
        </w:tc>
        <w:tc>
          <w:tcPr>
            <w:tcW w:w="2355" w:type="dxa"/>
            <w:noWrap/>
            <w:vAlign w:val="center"/>
          </w:tcPr>
          <w:p>
            <w:pPr>
              <w:spacing w:line="300" w:lineRule="exact"/>
              <w:jc w:val="center"/>
              <w:rPr>
                <w:rFonts w:ascii="宋体" w:hAnsi="宋体" w:eastAsia="宋体" w:cs="Times New Roman"/>
                <w:szCs w:val="21"/>
              </w:rPr>
            </w:pPr>
            <w:r>
              <w:rPr>
                <w:rFonts w:hint="eastAsia" w:ascii="宋体" w:hAnsi="宋体" w:eastAsia="宋体" w:cs="Times New Roman"/>
                <w:szCs w:val="21"/>
              </w:rPr>
              <w:t>尿素合成工考评员证、</w:t>
            </w:r>
          </w:p>
          <w:p>
            <w:pPr>
              <w:spacing w:line="300" w:lineRule="exact"/>
              <w:jc w:val="center"/>
              <w:rPr>
                <w:rFonts w:ascii="宋体" w:hAnsi="宋体" w:eastAsia="宋体" w:cs="Times New Roman"/>
                <w:szCs w:val="21"/>
              </w:rPr>
            </w:pPr>
            <w:r>
              <w:rPr>
                <w:rFonts w:hint="eastAsia" w:ascii="宋体" w:hAnsi="宋体" w:eastAsia="宋体" w:cs="Times New Roman"/>
                <w:szCs w:val="21"/>
              </w:rPr>
              <w:t>化工总控工高级技师证</w:t>
            </w:r>
          </w:p>
        </w:tc>
        <w:tc>
          <w:tcPr>
            <w:tcW w:w="755" w:type="dxa"/>
            <w:noWrap/>
            <w:vAlign w:val="center"/>
          </w:tcPr>
          <w:p>
            <w:pPr>
              <w:spacing w:line="300" w:lineRule="exact"/>
              <w:jc w:val="center"/>
              <w:rPr>
                <w:rFonts w:ascii="宋体" w:hAnsi="宋体" w:eastAsia="宋体" w:cs="Times New Roman"/>
                <w:szCs w:val="21"/>
              </w:rPr>
            </w:pPr>
            <w:r>
              <w:rPr>
                <w:rFonts w:hint="eastAsia" w:ascii="宋体" w:hAnsi="宋体" w:eastAsia="宋体" w:cs="Times New Roman"/>
                <w:szCs w:val="21"/>
              </w:rPr>
              <w:t>物理</w:t>
            </w:r>
          </w:p>
          <w:p>
            <w:pPr>
              <w:spacing w:line="300" w:lineRule="exact"/>
              <w:jc w:val="center"/>
              <w:rPr>
                <w:rFonts w:ascii="宋体" w:hAnsi="宋体" w:eastAsia="宋体" w:cs="Times New Roman"/>
                <w:szCs w:val="21"/>
              </w:rPr>
            </w:pPr>
            <w:r>
              <w:rPr>
                <w:rFonts w:hint="eastAsia" w:ascii="宋体" w:hAnsi="宋体" w:eastAsia="宋体" w:cs="Times New Roman"/>
                <w:szCs w:val="21"/>
              </w:rPr>
              <w:t>化学</w:t>
            </w:r>
          </w:p>
        </w:tc>
        <w:tc>
          <w:tcPr>
            <w:tcW w:w="1962" w:type="dxa"/>
            <w:noWrap/>
            <w:vAlign w:val="center"/>
          </w:tcPr>
          <w:p>
            <w:pPr>
              <w:spacing w:line="300" w:lineRule="exact"/>
              <w:jc w:val="center"/>
              <w:rPr>
                <w:rFonts w:ascii="宋体" w:hAnsi="宋体" w:eastAsia="宋体" w:cs="宋体"/>
                <w:szCs w:val="21"/>
              </w:rPr>
            </w:pPr>
            <w:r>
              <w:rPr>
                <w:rFonts w:hint="eastAsia" w:ascii="宋体" w:hAnsi="宋体" w:eastAsia="宋体" w:cs="宋体"/>
                <w:szCs w:val="21"/>
              </w:rPr>
              <w:t>分析化学实验</w:t>
            </w:r>
          </w:p>
          <w:p>
            <w:pPr>
              <w:spacing w:line="300" w:lineRule="exact"/>
              <w:jc w:val="center"/>
              <w:rPr>
                <w:rFonts w:ascii="宋体" w:hAnsi="宋体" w:eastAsia="宋体" w:cs="Times New Roman"/>
                <w:szCs w:val="21"/>
              </w:rPr>
            </w:pPr>
            <w:r>
              <w:rPr>
                <w:rFonts w:hint="eastAsia" w:ascii="宋体" w:hAnsi="宋体" w:eastAsia="宋体" w:cs="宋体"/>
                <w:szCs w:val="21"/>
              </w:rPr>
              <w:t>化工产品检验</w:t>
            </w:r>
          </w:p>
        </w:tc>
        <w:tc>
          <w:tcPr>
            <w:tcW w:w="473" w:type="dxa"/>
            <w:noWrap/>
            <w:vAlign w:val="center"/>
          </w:tcPr>
          <w:p>
            <w:pPr>
              <w:spacing w:line="300" w:lineRule="exact"/>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847" w:type="dxa"/>
            <w:noWrap/>
            <w:vAlign w:val="center"/>
          </w:tcPr>
          <w:p>
            <w:pPr>
              <w:spacing w:line="300" w:lineRule="exact"/>
              <w:jc w:val="center"/>
              <w:rPr>
                <w:rFonts w:ascii="宋体" w:hAnsi="宋体" w:eastAsia="宋体" w:cs="Times New Roman"/>
                <w:szCs w:val="21"/>
              </w:rPr>
            </w:pPr>
            <w:r>
              <w:rPr>
                <w:rFonts w:hint="eastAsia" w:ascii="宋体" w:hAnsi="宋体" w:eastAsia="宋体" w:cs="宋体"/>
                <w:szCs w:val="21"/>
              </w:rPr>
              <w:t>李晋国</w:t>
            </w:r>
          </w:p>
        </w:tc>
        <w:tc>
          <w:tcPr>
            <w:tcW w:w="1385" w:type="dxa"/>
            <w:noWrap/>
            <w:vAlign w:val="center"/>
          </w:tcPr>
          <w:p>
            <w:pPr>
              <w:spacing w:line="300" w:lineRule="exact"/>
              <w:jc w:val="center"/>
              <w:rPr>
                <w:rFonts w:ascii="宋体" w:hAnsi="宋体" w:eastAsia="宋体" w:cs="Times New Roman"/>
                <w:szCs w:val="21"/>
              </w:rPr>
            </w:pPr>
            <w:r>
              <w:rPr>
                <w:rFonts w:hint="eastAsia" w:ascii="宋体" w:hAnsi="宋体" w:eastAsia="宋体" w:cs="宋体"/>
                <w:kern w:val="0"/>
                <w:szCs w:val="21"/>
              </w:rPr>
              <w:t>本科/硕士</w:t>
            </w:r>
          </w:p>
        </w:tc>
        <w:tc>
          <w:tcPr>
            <w:tcW w:w="745" w:type="dxa"/>
            <w:noWrap/>
            <w:vAlign w:val="center"/>
          </w:tcPr>
          <w:p>
            <w:pPr>
              <w:spacing w:line="300" w:lineRule="exact"/>
              <w:jc w:val="center"/>
              <w:rPr>
                <w:rFonts w:ascii="宋体" w:hAnsi="宋体" w:eastAsia="宋体" w:cs="Times New Roman"/>
                <w:szCs w:val="21"/>
              </w:rPr>
            </w:pPr>
            <w:r>
              <w:rPr>
                <w:rFonts w:hint="eastAsia" w:ascii="宋体" w:hAnsi="宋体" w:eastAsia="宋体" w:cs="Times New Roman"/>
                <w:szCs w:val="21"/>
              </w:rPr>
              <w:t>讲师</w:t>
            </w:r>
          </w:p>
        </w:tc>
        <w:tc>
          <w:tcPr>
            <w:tcW w:w="2355" w:type="dxa"/>
            <w:noWrap/>
            <w:vAlign w:val="center"/>
          </w:tcPr>
          <w:p>
            <w:pPr>
              <w:spacing w:line="300" w:lineRule="exact"/>
              <w:jc w:val="center"/>
              <w:rPr>
                <w:rFonts w:ascii="宋体" w:hAnsi="宋体" w:eastAsia="宋体" w:cs="Times New Roman"/>
                <w:szCs w:val="21"/>
              </w:rPr>
            </w:pPr>
            <w:r>
              <w:rPr>
                <w:rFonts w:hint="eastAsia" w:ascii="宋体" w:hAnsi="宋体" w:eastAsia="宋体" w:cs="Times New Roman"/>
                <w:szCs w:val="21"/>
              </w:rPr>
              <w:t>尿素合成工考评员证、</w:t>
            </w:r>
          </w:p>
          <w:p>
            <w:pPr>
              <w:spacing w:line="300" w:lineRule="exact"/>
              <w:jc w:val="center"/>
              <w:rPr>
                <w:rFonts w:ascii="宋体" w:hAnsi="宋体" w:eastAsia="宋体" w:cs="Times New Roman"/>
                <w:szCs w:val="21"/>
              </w:rPr>
            </w:pPr>
            <w:r>
              <w:rPr>
                <w:rFonts w:hint="eastAsia" w:ascii="宋体" w:hAnsi="宋体" w:eastAsia="宋体" w:cs="Times New Roman"/>
                <w:szCs w:val="21"/>
              </w:rPr>
              <w:t>化工总控工高级技师证</w:t>
            </w:r>
          </w:p>
        </w:tc>
        <w:tc>
          <w:tcPr>
            <w:tcW w:w="755" w:type="dxa"/>
            <w:noWrap/>
            <w:vAlign w:val="center"/>
          </w:tcPr>
          <w:p>
            <w:pPr>
              <w:spacing w:line="300" w:lineRule="exact"/>
              <w:jc w:val="center"/>
              <w:rPr>
                <w:rFonts w:ascii="宋体" w:hAnsi="宋体" w:eastAsia="宋体" w:cs="Times New Roman"/>
                <w:szCs w:val="21"/>
              </w:rPr>
            </w:pPr>
            <w:r>
              <w:rPr>
                <w:rFonts w:hint="eastAsia" w:ascii="宋体" w:hAnsi="宋体" w:eastAsia="宋体" w:cs="Times New Roman"/>
                <w:szCs w:val="21"/>
              </w:rPr>
              <w:t>化学教育</w:t>
            </w:r>
          </w:p>
        </w:tc>
        <w:tc>
          <w:tcPr>
            <w:tcW w:w="1962" w:type="dxa"/>
            <w:noWrap/>
            <w:vAlign w:val="center"/>
          </w:tcPr>
          <w:p>
            <w:pPr>
              <w:spacing w:line="300" w:lineRule="exact"/>
              <w:jc w:val="center"/>
              <w:rPr>
                <w:rFonts w:ascii="宋体" w:hAnsi="宋体" w:eastAsia="宋体" w:cs="Times New Roman"/>
                <w:szCs w:val="21"/>
              </w:rPr>
            </w:pPr>
            <w:r>
              <w:rPr>
                <w:rFonts w:hint="eastAsia" w:ascii="宋体" w:hAnsi="宋体" w:eastAsia="宋体" w:cs="Times New Roman"/>
                <w:szCs w:val="21"/>
              </w:rPr>
              <w:t>有机化学</w:t>
            </w:r>
          </w:p>
          <w:p>
            <w:pPr>
              <w:spacing w:line="300" w:lineRule="exact"/>
              <w:jc w:val="center"/>
              <w:rPr>
                <w:rFonts w:ascii="宋体" w:hAnsi="宋体" w:eastAsia="宋体" w:cs="Times New Roman"/>
                <w:szCs w:val="21"/>
              </w:rPr>
            </w:pPr>
            <w:r>
              <w:rPr>
                <w:rFonts w:hint="eastAsia" w:ascii="宋体" w:hAnsi="宋体" w:eastAsia="宋体" w:cs="Times New Roman"/>
                <w:szCs w:val="21"/>
              </w:rPr>
              <w:t>基础化学</w:t>
            </w:r>
          </w:p>
        </w:tc>
        <w:tc>
          <w:tcPr>
            <w:tcW w:w="473" w:type="dxa"/>
            <w:noWrap/>
            <w:vAlign w:val="center"/>
          </w:tcPr>
          <w:p>
            <w:pPr>
              <w:spacing w:line="300" w:lineRule="exact"/>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847" w:type="dxa"/>
            <w:noWrap/>
            <w:vAlign w:val="center"/>
          </w:tcPr>
          <w:p>
            <w:pPr>
              <w:spacing w:line="300" w:lineRule="exact"/>
              <w:jc w:val="center"/>
              <w:rPr>
                <w:rFonts w:ascii="宋体" w:hAnsi="宋体" w:eastAsia="宋体" w:cs="Times New Roman"/>
                <w:szCs w:val="21"/>
              </w:rPr>
            </w:pPr>
            <w:r>
              <w:rPr>
                <w:rFonts w:hint="eastAsia" w:ascii="宋体" w:hAnsi="宋体" w:eastAsia="宋体" w:cs="宋体"/>
                <w:szCs w:val="21"/>
              </w:rPr>
              <w:t>张丽娜</w:t>
            </w:r>
          </w:p>
        </w:tc>
        <w:tc>
          <w:tcPr>
            <w:tcW w:w="1385" w:type="dxa"/>
            <w:noWrap/>
            <w:vAlign w:val="center"/>
          </w:tcPr>
          <w:p>
            <w:pPr>
              <w:spacing w:line="300" w:lineRule="exact"/>
              <w:jc w:val="center"/>
              <w:rPr>
                <w:rFonts w:ascii="宋体" w:hAnsi="宋体" w:eastAsia="宋体" w:cs="Times New Roman"/>
                <w:szCs w:val="21"/>
              </w:rPr>
            </w:pPr>
            <w:r>
              <w:rPr>
                <w:rFonts w:hint="eastAsia" w:ascii="宋体" w:hAnsi="宋体" w:eastAsia="宋体" w:cs="宋体"/>
                <w:szCs w:val="21"/>
              </w:rPr>
              <w:t>硕士研究生/硕士学位</w:t>
            </w:r>
          </w:p>
        </w:tc>
        <w:tc>
          <w:tcPr>
            <w:tcW w:w="745" w:type="dxa"/>
            <w:noWrap/>
            <w:vAlign w:val="center"/>
          </w:tcPr>
          <w:p>
            <w:pPr>
              <w:spacing w:line="300" w:lineRule="exact"/>
              <w:jc w:val="center"/>
              <w:rPr>
                <w:rFonts w:ascii="宋体" w:hAnsi="宋体" w:eastAsia="宋体" w:cs="Times New Roman"/>
                <w:szCs w:val="21"/>
              </w:rPr>
            </w:pPr>
            <w:r>
              <w:rPr>
                <w:rFonts w:hint="eastAsia" w:ascii="宋体" w:hAnsi="宋体" w:eastAsia="宋体" w:cs="Times New Roman"/>
                <w:szCs w:val="21"/>
              </w:rPr>
              <w:t>讲师</w:t>
            </w:r>
          </w:p>
        </w:tc>
        <w:tc>
          <w:tcPr>
            <w:tcW w:w="2355" w:type="dxa"/>
            <w:noWrap/>
            <w:vAlign w:val="center"/>
          </w:tcPr>
          <w:p>
            <w:pPr>
              <w:spacing w:line="300" w:lineRule="exact"/>
              <w:jc w:val="center"/>
              <w:rPr>
                <w:rFonts w:ascii="宋体" w:hAnsi="宋体" w:eastAsia="宋体" w:cs="Times New Roman"/>
                <w:szCs w:val="21"/>
              </w:rPr>
            </w:pPr>
            <w:r>
              <w:rPr>
                <w:rFonts w:hint="eastAsia" w:ascii="宋体" w:hAnsi="宋体" w:eastAsia="宋体" w:cs="Times New Roman"/>
                <w:szCs w:val="21"/>
              </w:rPr>
              <w:t>尿素合成工考评员证、</w:t>
            </w:r>
          </w:p>
          <w:p>
            <w:pPr>
              <w:spacing w:line="300" w:lineRule="exact"/>
              <w:jc w:val="center"/>
              <w:rPr>
                <w:rFonts w:ascii="宋体" w:hAnsi="宋体" w:eastAsia="宋体" w:cs="Times New Roman"/>
                <w:szCs w:val="21"/>
              </w:rPr>
            </w:pPr>
            <w:r>
              <w:rPr>
                <w:rFonts w:hint="eastAsia" w:ascii="宋体" w:hAnsi="宋体" w:eastAsia="宋体" w:cs="Times New Roman"/>
                <w:szCs w:val="21"/>
              </w:rPr>
              <w:t>化工总控工高级技师证</w:t>
            </w:r>
          </w:p>
        </w:tc>
        <w:tc>
          <w:tcPr>
            <w:tcW w:w="755" w:type="dxa"/>
            <w:noWrap/>
            <w:vAlign w:val="center"/>
          </w:tcPr>
          <w:p>
            <w:pPr>
              <w:spacing w:line="300" w:lineRule="exact"/>
              <w:jc w:val="center"/>
              <w:rPr>
                <w:rFonts w:ascii="宋体" w:hAnsi="宋体" w:eastAsia="宋体" w:cs="Times New Roman"/>
                <w:szCs w:val="21"/>
              </w:rPr>
            </w:pPr>
            <w:r>
              <w:rPr>
                <w:rFonts w:hint="eastAsia" w:ascii="宋体" w:hAnsi="宋体" w:eastAsia="宋体" w:cs="Times New Roman"/>
                <w:szCs w:val="21"/>
              </w:rPr>
              <w:t>无机化工</w:t>
            </w:r>
          </w:p>
        </w:tc>
        <w:tc>
          <w:tcPr>
            <w:tcW w:w="1962" w:type="dxa"/>
            <w:noWrap/>
            <w:vAlign w:val="center"/>
          </w:tcPr>
          <w:p>
            <w:pPr>
              <w:spacing w:line="300" w:lineRule="exact"/>
              <w:jc w:val="center"/>
              <w:rPr>
                <w:rFonts w:ascii="宋体" w:hAnsi="宋体" w:eastAsia="宋体" w:cs="Times New Roman"/>
                <w:szCs w:val="21"/>
              </w:rPr>
            </w:pPr>
            <w:r>
              <w:rPr>
                <w:rFonts w:hint="eastAsia" w:ascii="宋体" w:hAnsi="宋体" w:eastAsia="宋体" w:cs="Times New Roman"/>
                <w:szCs w:val="21"/>
              </w:rPr>
              <w:t>煤化工工艺学</w:t>
            </w:r>
          </w:p>
          <w:p>
            <w:pPr>
              <w:spacing w:line="300" w:lineRule="exact"/>
              <w:jc w:val="center"/>
              <w:rPr>
                <w:rFonts w:ascii="宋体" w:hAnsi="宋体" w:eastAsia="宋体" w:cs="Times New Roman"/>
                <w:szCs w:val="21"/>
              </w:rPr>
            </w:pPr>
            <w:r>
              <w:rPr>
                <w:rFonts w:hint="eastAsia" w:ascii="宋体" w:hAnsi="宋体" w:eastAsia="宋体" w:cs="Times New Roman"/>
                <w:szCs w:val="21"/>
              </w:rPr>
              <w:t>化工制图</w:t>
            </w:r>
          </w:p>
        </w:tc>
        <w:tc>
          <w:tcPr>
            <w:tcW w:w="473" w:type="dxa"/>
            <w:noWrap/>
            <w:vAlign w:val="center"/>
          </w:tcPr>
          <w:p>
            <w:pPr>
              <w:spacing w:line="300" w:lineRule="exact"/>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847" w:type="dxa"/>
            <w:noWrap/>
            <w:vAlign w:val="center"/>
          </w:tcPr>
          <w:p>
            <w:pPr>
              <w:spacing w:line="300" w:lineRule="exact"/>
              <w:jc w:val="center"/>
              <w:rPr>
                <w:rFonts w:ascii="宋体" w:hAnsi="宋体" w:eastAsia="宋体" w:cs="Times New Roman"/>
                <w:szCs w:val="21"/>
              </w:rPr>
            </w:pPr>
            <w:r>
              <w:rPr>
                <w:rFonts w:hint="eastAsia" w:ascii="宋体" w:hAnsi="宋体" w:eastAsia="宋体" w:cs="Times New Roman"/>
                <w:szCs w:val="21"/>
              </w:rPr>
              <w:t>杨艳梅</w:t>
            </w:r>
          </w:p>
        </w:tc>
        <w:tc>
          <w:tcPr>
            <w:tcW w:w="1385" w:type="dxa"/>
            <w:noWrap/>
            <w:vAlign w:val="center"/>
          </w:tcPr>
          <w:p>
            <w:pPr>
              <w:spacing w:line="300" w:lineRule="exact"/>
              <w:jc w:val="center"/>
              <w:rPr>
                <w:rFonts w:ascii="宋体" w:hAnsi="宋体" w:eastAsia="宋体" w:cs="Times New Roman"/>
                <w:szCs w:val="21"/>
              </w:rPr>
            </w:pPr>
            <w:r>
              <w:rPr>
                <w:rFonts w:hint="eastAsia" w:ascii="宋体" w:hAnsi="宋体" w:eastAsia="宋体" w:cs="宋体"/>
                <w:szCs w:val="21"/>
              </w:rPr>
              <w:t>硕士研究生/硕士学位</w:t>
            </w:r>
          </w:p>
        </w:tc>
        <w:tc>
          <w:tcPr>
            <w:tcW w:w="745" w:type="dxa"/>
            <w:noWrap/>
            <w:vAlign w:val="center"/>
          </w:tcPr>
          <w:p>
            <w:pPr>
              <w:spacing w:line="300" w:lineRule="exact"/>
              <w:jc w:val="center"/>
              <w:rPr>
                <w:rFonts w:ascii="宋体" w:hAnsi="宋体" w:eastAsia="宋体" w:cs="Times New Roman"/>
                <w:szCs w:val="21"/>
              </w:rPr>
            </w:pPr>
            <w:r>
              <w:rPr>
                <w:rFonts w:hint="eastAsia" w:ascii="宋体" w:hAnsi="宋体" w:eastAsia="宋体" w:cs="Times New Roman"/>
                <w:szCs w:val="21"/>
              </w:rPr>
              <w:t>助教</w:t>
            </w:r>
          </w:p>
        </w:tc>
        <w:tc>
          <w:tcPr>
            <w:tcW w:w="2355" w:type="dxa"/>
            <w:noWrap/>
            <w:vAlign w:val="center"/>
          </w:tcPr>
          <w:p>
            <w:pPr>
              <w:spacing w:line="300" w:lineRule="exact"/>
              <w:jc w:val="center"/>
              <w:rPr>
                <w:rFonts w:ascii="宋体" w:hAnsi="宋体" w:eastAsia="宋体" w:cs="Times New Roman"/>
                <w:szCs w:val="21"/>
              </w:rPr>
            </w:pPr>
            <w:r>
              <w:rPr>
                <w:rFonts w:hint="eastAsia" w:ascii="宋体" w:hAnsi="宋体" w:eastAsia="宋体" w:cs="Times New Roman"/>
                <w:szCs w:val="21"/>
              </w:rPr>
              <w:t>化工检验工三级</w:t>
            </w:r>
          </w:p>
          <w:p>
            <w:pPr>
              <w:spacing w:line="300" w:lineRule="exact"/>
              <w:jc w:val="center"/>
              <w:rPr>
                <w:rFonts w:ascii="宋体" w:hAnsi="宋体" w:eastAsia="宋体" w:cs="Times New Roman"/>
                <w:szCs w:val="21"/>
              </w:rPr>
            </w:pPr>
            <w:r>
              <w:rPr>
                <w:rFonts w:hint="eastAsia" w:ascii="宋体" w:hAnsi="宋体" w:eastAsia="宋体" w:cs="Times New Roman"/>
                <w:szCs w:val="21"/>
              </w:rPr>
              <w:t>化妆品配制工三级</w:t>
            </w:r>
          </w:p>
        </w:tc>
        <w:tc>
          <w:tcPr>
            <w:tcW w:w="755" w:type="dxa"/>
            <w:noWrap/>
            <w:vAlign w:val="center"/>
          </w:tcPr>
          <w:p>
            <w:pPr>
              <w:spacing w:line="300" w:lineRule="exact"/>
              <w:jc w:val="center"/>
              <w:rPr>
                <w:rFonts w:ascii="宋体" w:hAnsi="宋体" w:eastAsia="宋体" w:cs="Times New Roman"/>
                <w:szCs w:val="21"/>
              </w:rPr>
            </w:pPr>
            <w:r>
              <w:rPr>
                <w:rFonts w:hint="eastAsia" w:ascii="宋体" w:hAnsi="宋体" w:eastAsia="宋体" w:cs="Times New Roman"/>
                <w:szCs w:val="21"/>
              </w:rPr>
              <w:t>化学工程</w:t>
            </w:r>
          </w:p>
        </w:tc>
        <w:tc>
          <w:tcPr>
            <w:tcW w:w="1962" w:type="dxa"/>
            <w:noWrap/>
            <w:vAlign w:val="center"/>
          </w:tcPr>
          <w:p>
            <w:pPr>
              <w:spacing w:line="300" w:lineRule="exact"/>
              <w:jc w:val="center"/>
              <w:rPr>
                <w:rFonts w:ascii="宋体" w:hAnsi="宋体" w:eastAsia="宋体" w:cs="Times New Roman"/>
                <w:szCs w:val="21"/>
              </w:rPr>
            </w:pPr>
            <w:r>
              <w:rPr>
                <w:rFonts w:hint="eastAsia" w:ascii="宋体" w:hAnsi="宋体" w:eastAsia="宋体" w:cs="Times New Roman"/>
                <w:szCs w:val="21"/>
              </w:rPr>
              <w:t>化工单元操作</w:t>
            </w:r>
          </w:p>
        </w:tc>
        <w:tc>
          <w:tcPr>
            <w:tcW w:w="473" w:type="dxa"/>
            <w:noWrap/>
            <w:vAlign w:val="center"/>
          </w:tcPr>
          <w:p>
            <w:pPr>
              <w:spacing w:line="300" w:lineRule="exact"/>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847" w:type="dxa"/>
            <w:noWrap/>
            <w:vAlign w:val="center"/>
          </w:tcPr>
          <w:p>
            <w:pPr>
              <w:jc w:val="center"/>
              <w:rPr>
                <w:rFonts w:ascii="宋体" w:hAnsi="宋体" w:eastAsia="宋体" w:cs="Times New Roman"/>
                <w:szCs w:val="21"/>
              </w:rPr>
            </w:pPr>
            <w:r>
              <w:rPr>
                <w:rFonts w:hint="eastAsia" w:ascii="宋体" w:hAnsi="宋体" w:eastAsia="宋体" w:cs="Times New Roman"/>
                <w:szCs w:val="21"/>
              </w:rPr>
              <w:t>毛倩</w:t>
            </w:r>
          </w:p>
        </w:tc>
        <w:tc>
          <w:tcPr>
            <w:tcW w:w="1385" w:type="dxa"/>
            <w:noWrap/>
            <w:vAlign w:val="center"/>
          </w:tcPr>
          <w:p>
            <w:pPr>
              <w:spacing w:line="300" w:lineRule="exact"/>
              <w:jc w:val="center"/>
              <w:rPr>
                <w:rFonts w:ascii="宋体" w:hAnsi="宋体" w:eastAsia="宋体" w:cs="宋体"/>
                <w:szCs w:val="21"/>
              </w:rPr>
            </w:pPr>
            <w:r>
              <w:rPr>
                <w:rFonts w:hint="eastAsia" w:ascii="宋体" w:hAnsi="宋体" w:eastAsia="宋体" w:cs="宋体"/>
                <w:szCs w:val="21"/>
              </w:rPr>
              <w:t>硕士研究生/硕士学位</w:t>
            </w:r>
          </w:p>
        </w:tc>
        <w:tc>
          <w:tcPr>
            <w:tcW w:w="745" w:type="dxa"/>
            <w:noWrap/>
            <w:vAlign w:val="center"/>
          </w:tcPr>
          <w:p>
            <w:pPr>
              <w:spacing w:line="300" w:lineRule="exact"/>
              <w:jc w:val="center"/>
              <w:rPr>
                <w:rFonts w:ascii="宋体" w:hAnsi="宋体" w:eastAsia="宋体" w:cs="Times New Roman"/>
                <w:szCs w:val="21"/>
              </w:rPr>
            </w:pPr>
            <w:r>
              <w:rPr>
                <w:rFonts w:hint="eastAsia" w:ascii="宋体" w:hAnsi="宋体" w:eastAsia="宋体" w:cs="Times New Roman"/>
                <w:szCs w:val="21"/>
              </w:rPr>
              <w:t>助教</w:t>
            </w:r>
          </w:p>
        </w:tc>
        <w:tc>
          <w:tcPr>
            <w:tcW w:w="2355" w:type="dxa"/>
            <w:noWrap/>
            <w:vAlign w:val="center"/>
          </w:tcPr>
          <w:p>
            <w:pPr>
              <w:spacing w:line="300" w:lineRule="exact"/>
              <w:jc w:val="center"/>
              <w:rPr>
                <w:rFonts w:ascii="宋体" w:hAnsi="宋体" w:eastAsia="宋体" w:cs="Times New Roman"/>
                <w:szCs w:val="21"/>
              </w:rPr>
            </w:pPr>
            <w:r>
              <w:rPr>
                <w:rFonts w:hint="eastAsia" w:ascii="宋体" w:hAnsi="宋体" w:eastAsia="宋体" w:cs="Times New Roman"/>
                <w:szCs w:val="21"/>
              </w:rPr>
              <w:t>化工检验工三级</w:t>
            </w:r>
          </w:p>
          <w:p>
            <w:pPr>
              <w:spacing w:line="300" w:lineRule="exact"/>
              <w:jc w:val="center"/>
              <w:rPr>
                <w:rFonts w:ascii="宋体" w:hAnsi="宋体" w:eastAsia="宋体" w:cs="Times New Roman"/>
                <w:szCs w:val="21"/>
              </w:rPr>
            </w:pPr>
            <w:r>
              <w:rPr>
                <w:rFonts w:hint="eastAsia" w:ascii="宋体" w:hAnsi="宋体" w:eastAsia="宋体" w:cs="Times New Roman"/>
                <w:szCs w:val="21"/>
              </w:rPr>
              <w:t>化妆品配制工三级</w:t>
            </w:r>
          </w:p>
        </w:tc>
        <w:tc>
          <w:tcPr>
            <w:tcW w:w="755" w:type="dxa"/>
            <w:noWrap/>
            <w:vAlign w:val="center"/>
          </w:tcPr>
          <w:p>
            <w:pPr>
              <w:spacing w:line="300" w:lineRule="exact"/>
              <w:jc w:val="center"/>
              <w:rPr>
                <w:rFonts w:ascii="宋体" w:hAnsi="宋体" w:eastAsia="宋体" w:cs="Times New Roman"/>
                <w:szCs w:val="21"/>
              </w:rPr>
            </w:pPr>
            <w:r>
              <w:rPr>
                <w:rFonts w:hint="eastAsia" w:ascii="宋体" w:hAnsi="宋体" w:eastAsia="宋体" w:cs="Times New Roman"/>
                <w:szCs w:val="21"/>
              </w:rPr>
              <w:t>物理化学</w:t>
            </w:r>
          </w:p>
        </w:tc>
        <w:tc>
          <w:tcPr>
            <w:tcW w:w="1962" w:type="dxa"/>
            <w:noWrap/>
            <w:vAlign w:val="center"/>
          </w:tcPr>
          <w:p>
            <w:pPr>
              <w:spacing w:line="300" w:lineRule="exact"/>
              <w:jc w:val="center"/>
              <w:rPr>
                <w:rFonts w:ascii="宋体" w:hAnsi="宋体" w:eastAsia="宋体" w:cs="Times New Roman"/>
                <w:szCs w:val="21"/>
              </w:rPr>
            </w:pPr>
            <w:r>
              <w:rPr>
                <w:rFonts w:hint="eastAsia" w:ascii="宋体" w:hAnsi="宋体" w:eastAsia="宋体" w:cs="Times New Roman"/>
                <w:szCs w:val="21"/>
              </w:rPr>
              <w:t>化工安全与环保</w:t>
            </w:r>
          </w:p>
          <w:p>
            <w:pPr>
              <w:spacing w:line="300" w:lineRule="exact"/>
              <w:jc w:val="center"/>
              <w:rPr>
                <w:rFonts w:ascii="宋体" w:hAnsi="宋体" w:eastAsia="宋体" w:cs="Times New Roman"/>
                <w:szCs w:val="21"/>
              </w:rPr>
            </w:pPr>
            <w:r>
              <w:rPr>
                <w:rFonts w:hint="eastAsia" w:ascii="宋体" w:hAnsi="宋体" w:eastAsia="宋体" w:cs="Times New Roman"/>
                <w:szCs w:val="21"/>
              </w:rPr>
              <w:t>化工产品检验</w:t>
            </w:r>
          </w:p>
        </w:tc>
        <w:tc>
          <w:tcPr>
            <w:tcW w:w="473" w:type="dxa"/>
            <w:noWrap/>
            <w:vAlign w:val="center"/>
          </w:tcPr>
          <w:p>
            <w:pPr>
              <w:spacing w:line="300" w:lineRule="exact"/>
              <w:jc w:val="center"/>
              <w:rPr>
                <w:rFonts w:ascii="宋体" w:hAnsi="宋体" w:eastAsia="宋体" w:cs="Times New Roman"/>
                <w:szCs w:val="21"/>
              </w:rPr>
            </w:pPr>
          </w:p>
          <w:p>
            <w:pPr>
              <w:spacing w:line="300" w:lineRule="exact"/>
              <w:jc w:val="center"/>
              <w:rPr>
                <w:rFonts w:ascii="宋体" w:hAnsi="宋体" w:eastAsia="宋体" w:cs="Times New Roman"/>
                <w:szCs w:val="21"/>
              </w:rPr>
            </w:pPr>
          </w:p>
          <w:p>
            <w:pPr>
              <w:spacing w:line="300" w:lineRule="exact"/>
              <w:jc w:val="center"/>
              <w:rPr>
                <w:rFonts w:ascii="宋体" w:hAnsi="宋体" w:eastAsia="宋体" w:cs="Times New Roman"/>
                <w:szCs w:val="21"/>
              </w:rPr>
            </w:pPr>
          </w:p>
          <w:p>
            <w:pPr>
              <w:spacing w:line="300" w:lineRule="exact"/>
              <w:jc w:val="center"/>
              <w:rPr>
                <w:rFonts w:ascii="宋体" w:hAnsi="宋体" w:eastAsia="宋体" w:cs="Times New Roman"/>
                <w:szCs w:val="21"/>
              </w:rPr>
            </w:pPr>
          </w:p>
        </w:tc>
      </w:tr>
    </w:tbl>
    <w:p>
      <w:pPr>
        <w:spacing w:line="360" w:lineRule="auto"/>
        <w:ind w:firstLine="240" w:firstLineChars="100"/>
        <w:rPr>
          <w:sz w:val="24"/>
        </w:rPr>
      </w:pPr>
      <w:r>
        <w:rPr>
          <w:rFonts w:hAnsi="宋体"/>
          <w:sz w:val="24"/>
        </w:rPr>
        <w:t>（</w:t>
      </w:r>
      <w:r>
        <w:rPr>
          <w:sz w:val="24"/>
        </w:rPr>
        <w:t>2</w:t>
      </w:r>
      <w:r>
        <w:rPr>
          <w:rFonts w:hAnsi="宋体"/>
          <w:sz w:val="24"/>
        </w:rPr>
        <w:t>）兼职教师</w:t>
      </w:r>
    </w:p>
    <w:p>
      <w:pPr>
        <w:spacing w:line="360" w:lineRule="auto"/>
        <w:ind w:firstLine="480" w:firstLineChars="200"/>
        <w:rPr>
          <w:sz w:val="24"/>
        </w:rPr>
      </w:pPr>
      <w:r>
        <w:rPr>
          <w:rFonts w:hAnsi="宋体"/>
          <w:sz w:val="24"/>
        </w:rPr>
        <w:t>本专业从行业企业聘请有</w:t>
      </w:r>
      <w:r>
        <w:rPr>
          <w:rFonts w:hint="eastAsia"/>
          <w:sz w:val="24"/>
        </w:rPr>
        <w:t>7</w:t>
      </w:r>
      <w:r>
        <w:rPr>
          <w:rFonts w:hAnsi="宋体"/>
          <w:sz w:val="24"/>
        </w:rPr>
        <w:t>名既有一定理论水平又有丰富实践经验的技术人员、能工巧匠担任兼职教师，这些兼职教师参与了人才培养方案的制定与修订、课程体系的开发、课程标准的制定及教学项目的开发以及从事了大量的实践教学工作。</w:t>
      </w:r>
    </w:p>
    <w:p>
      <w:pPr>
        <w:spacing w:line="360" w:lineRule="auto"/>
        <w:jc w:val="center"/>
        <w:rPr>
          <w:bCs/>
          <w:sz w:val="24"/>
        </w:rPr>
      </w:pPr>
      <w:r>
        <w:rPr>
          <w:rFonts w:hAnsi="宋体"/>
          <w:bCs/>
          <w:sz w:val="24"/>
        </w:rPr>
        <w:t>表</w:t>
      </w:r>
      <w:r>
        <w:rPr>
          <w:bCs/>
          <w:sz w:val="24"/>
        </w:rPr>
        <w:t xml:space="preserve">5.3 </w:t>
      </w:r>
      <w:r>
        <w:rPr>
          <w:rFonts w:hAnsi="宋体"/>
          <w:bCs/>
          <w:sz w:val="24"/>
        </w:rPr>
        <w:t>校外兼职教师配置情况</w:t>
      </w:r>
    </w:p>
    <w:tbl>
      <w:tblPr>
        <w:tblStyle w:val="18"/>
        <w:tblW w:w="852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51"/>
        <w:gridCol w:w="895"/>
        <w:gridCol w:w="3059"/>
        <w:gridCol w:w="1743"/>
        <w:gridCol w:w="217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11" w:hRule="atLeast"/>
          <w:jc w:val="center"/>
        </w:trPr>
        <w:tc>
          <w:tcPr>
            <w:tcW w:w="651" w:type="dxa"/>
            <w:vAlign w:val="center"/>
          </w:tcPr>
          <w:p>
            <w:pPr>
              <w:pStyle w:val="67"/>
              <w:spacing w:line="380" w:lineRule="exact"/>
              <w:ind w:firstLine="0" w:firstLineChars="0"/>
              <w:jc w:val="center"/>
              <w:rPr>
                <w:rFonts w:cs="Times New Roman"/>
                <w:b/>
                <w:szCs w:val="21"/>
              </w:rPr>
            </w:pPr>
            <w:r>
              <w:rPr>
                <w:rFonts w:hAnsi="宋体" w:cs="Times New Roman"/>
                <w:b/>
                <w:szCs w:val="21"/>
              </w:rPr>
              <w:t>序号</w:t>
            </w:r>
          </w:p>
        </w:tc>
        <w:tc>
          <w:tcPr>
            <w:tcW w:w="895" w:type="dxa"/>
            <w:vAlign w:val="center"/>
          </w:tcPr>
          <w:p>
            <w:pPr>
              <w:pStyle w:val="67"/>
              <w:spacing w:line="380" w:lineRule="exact"/>
              <w:ind w:firstLine="0" w:firstLineChars="0"/>
              <w:jc w:val="center"/>
              <w:rPr>
                <w:rFonts w:cs="Times New Roman"/>
                <w:b/>
                <w:szCs w:val="21"/>
              </w:rPr>
            </w:pPr>
            <w:r>
              <w:rPr>
                <w:rFonts w:hAnsi="宋体" w:cs="Times New Roman"/>
                <w:b/>
                <w:szCs w:val="21"/>
              </w:rPr>
              <w:t>姓名</w:t>
            </w:r>
          </w:p>
        </w:tc>
        <w:tc>
          <w:tcPr>
            <w:tcW w:w="3059" w:type="dxa"/>
            <w:vAlign w:val="center"/>
          </w:tcPr>
          <w:p>
            <w:pPr>
              <w:pStyle w:val="67"/>
              <w:spacing w:line="380" w:lineRule="exact"/>
              <w:ind w:firstLine="0" w:firstLineChars="0"/>
              <w:jc w:val="center"/>
              <w:rPr>
                <w:rFonts w:cs="Times New Roman"/>
                <w:b/>
                <w:szCs w:val="21"/>
              </w:rPr>
            </w:pPr>
            <w:r>
              <w:rPr>
                <w:rFonts w:hAnsi="宋体" w:cs="Times New Roman"/>
                <w:b/>
                <w:szCs w:val="21"/>
              </w:rPr>
              <w:t>所在企业</w:t>
            </w:r>
          </w:p>
        </w:tc>
        <w:tc>
          <w:tcPr>
            <w:tcW w:w="1743" w:type="dxa"/>
            <w:vAlign w:val="center"/>
          </w:tcPr>
          <w:p>
            <w:pPr>
              <w:pStyle w:val="67"/>
              <w:spacing w:line="380" w:lineRule="exact"/>
              <w:ind w:firstLine="0" w:firstLineChars="0"/>
              <w:jc w:val="center"/>
              <w:rPr>
                <w:rFonts w:cs="Times New Roman"/>
                <w:b/>
                <w:szCs w:val="21"/>
              </w:rPr>
            </w:pPr>
            <w:r>
              <w:rPr>
                <w:rFonts w:hAnsi="宋体" w:cs="Times New Roman"/>
                <w:b/>
                <w:szCs w:val="21"/>
              </w:rPr>
              <w:t>职务</w:t>
            </w:r>
          </w:p>
        </w:tc>
        <w:tc>
          <w:tcPr>
            <w:tcW w:w="2174" w:type="dxa"/>
            <w:vAlign w:val="center"/>
          </w:tcPr>
          <w:p>
            <w:pPr>
              <w:pStyle w:val="67"/>
              <w:spacing w:line="380" w:lineRule="exact"/>
              <w:ind w:firstLine="0" w:firstLineChars="0"/>
              <w:jc w:val="center"/>
              <w:rPr>
                <w:rFonts w:cs="Times New Roman"/>
                <w:b/>
                <w:szCs w:val="21"/>
              </w:rPr>
            </w:pPr>
            <w:r>
              <w:rPr>
                <w:rFonts w:hAnsi="宋体" w:cs="Times New Roman"/>
                <w:b/>
                <w:szCs w:val="21"/>
              </w:rPr>
              <w:t>承担教学任务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84" w:hRule="atLeast"/>
          <w:jc w:val="center"/>
        </w:trPr>
        <w:tc>
          <w:tcPr>
            <w:tcW w:w="651" w:type="dxa"/>
            <w:vAlign w:val="center"/>
          </w:tcPr>
          <w:p>
            <w:pPr>
              <w:widowControl/>
              <w:spacing w:line="380" w:lineRule="exact"/>
              <w:jc w:val="center"/>
              <w:rPr>
                <w:kern w:val="0"/>
                <w:szCs w:val="21"/>
              </w:rPr>
            </w:pPr>
            <w:r>
              <w:rPr>
                <w:kern w:val="0"/>
                <w:szCs w:val="21"/>
              </w:rPr>
              <w:t>1</w:t>
            </w:r>
          </w:p>
        </w:tc>
        <w:tc>
          <w:tcPr>
            <w:tcW w:w="895" w:type="dxa"/>
            <w:vAlign w:val="center"/>
          </w:tcPr>
          <w:p>
            <w:pPr>
              <w:pStyle w:val="67"/>
              <w:ind w:firstLine="0" w:firstLineChars="0"/>
              <w:jc w:val="center"/>
              <w:rPr>
                <w:rFonts w:cs="Times New Roman"/>
                <w:kern w:val="0"/>
                <w:szCs w:val="21"/>
              </w:rPr>
            </w:pPr>
            <w:r>
              <w:rPr>
                <w:rFonts w:hAnsi="宋体" w:cs="Times New Roman"/>
                <w:szCs w:val="21"/>
              </w:rPr>
              <w:t>杨国华</w:t>
            </w:r>
          </w:p>
        </w:tc>
        <w:tc>
          <w:tcPr>
            <w:tcW w:w="3059" w:type="dxa"/>
            <w:vAlign w:val="center"/>
          </w:tcPr>
          <w:p>
            <w:pPr>
              <w:pStyle w:val="67"/>
              <w:ind w:firstLine="0" w:firstLineChars="0"/>
              <w:jc w:val="center"/>
              <w:rPr>
                <w:rFonts w:cs="Times New Roman"/>
                <w:kern w:val="0"/>
                <w:szCs w:val="21"/>
              </w:rPr>
            </w:pPr>
            <w:r>
              <w:rPr>
                <w:rFonts w:hAnsi="宋体" w:cs="Times New Roman"/>
                <w:szCs w:val="21"/>
              </w:rPr>
              <w:t>兰花集团</w:t>
            </w:r>
          </w:p>
        </w:tc>
        <w:tc>
          <w:tcPr>
            <w:tcW w:w="1743" w:type="dxa"/>
            <w:vAlign w:val="center"/>
          </w:tcPr>
          <w:p>
            <w:pPr>
              <w:pStyle w:val="67"/>
              <w:ind w:firstLine="0" w:firstLineChars="0"/>
              <w:jc w:val="center"/>
              <w:rPr>
                <w:rFonts w:cs="Times New Roman"/>
                <w:kern w:val="0"/>
                <w:szCs w:val="21"/>
              </w:rPr>
            </w:pPr>
            <w:r>
              <w:rPr>
                <w:rFonts w:hint="eastAsia" w:hAnsi="宋体" w:cs="Times New Roman"/>
                <w:szCs w:val="21"/>
              </w:rPr>
              <w:t>党办</w:t>
            </w:r>
            <w:r>
              <w:rPr>
                <w:rFonts w:hAnsi="宋体" w:cs="Times New Roman"/>
                <w:szCs w:val="21"/>
              </w:rPr>
              <w:t>主任</w:t>
            </w:r>
          </w:p>
        </w:tc>
        <w:tc>
          <w:tcPr>
            <w:tcW w:w="2174" w:type="dxa"/>
            <w:vAlign w:val="center"/>
          </w:tcPr>
          <w:p>
            <w:pPr>
              <w:widowControl/>
              <w:spacing w:line="380" w:lineRule="exact"/>
              <w:jc w:val="center"/>
              <w:rPr>
                <w:kern w:val="0"/>
                <w:szCs w:val="21"/>
              </w:rPr>
            </w:pPr>
            <w:r>
              <w:rPr>
                <w:rFonts w:hAnsi="宋体"/>
                <w:kern w:val="0"/>
                <w:szCs w:val="21"/>
              </w:rPr>
              <w:t>学生职业素养培训</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84" w:hRule="atLeast"/>
          <w:jc w:val="center"/>
        </w:trPr>
        <w:tc>
          <w:tcPr>
            <w:tcW w:w="651" w:type="dxa"/>
            <w:vAlign w:val="center"/>
          </w:tcPr>
          <w:p>
            <w:pPr>
              <w:widowControl/>
              <w:spacing w:line="380" w:lineRule="exact"/>
              <w:jc w:val="center"/>
              <w:rPr>
                <w:kern w:val="0"/>
                <w:szCs w:val="21"/>
              </w:rPr>
            </w:pPr>
            <w:r>
              <w:rPr>
                <w:kern w:val="0"/>
                <w:szCs w:val="21"/>
              </w:rPr>
              <w:t>2</w:t>
            </w:r>
          </w:p>
        </w:tc>
        <w:tc>
          <w:tcPr>
            <w:tcW w:w="895" w:type="dxa"/>
            <w:vAlign w:val="center"/>
          </w:tcPr>
          <w:p>
            <w:pPr>
              <w:pStyle w:val="67"/>
              <w:ind w:firstLine="0" w:firstLineChars="0"/>
              <w:jc w:val="center"/>
              <w:rPr>
                <w:rFonts w:cs="Times New Roman"/>
                <w:kern w:val="0"/>
                <w:szCs w:val="21"/>
              </w:rPr>
            </w:pPr>
            <w:r>
              <w:rPr>
                <w:rFonts w:hAnsi="宋体" w:cs="Times New Roman"/>
                <w:szCs w:val="21"/>
              </w:rPr>
              <w:t>崔进军</w:t>
            </w:r>
          </w:p>
        </w:tc>
        <w:tc>
          <w:tcPr>
            <w:tcW w:w="3059" w:type="dxa"/>
            <w:vAlign w:val="center"/>
          </w:tcPr>
          <w:p>
            <w:pPr>
              <w:pStyle w:val="67"/>
              <w:ind w:firstLine="0" w:firstLineChars="0"/>
              <w:jc w:val="center"/>
              <w:rPr>
                <w:rFonts w:cs="Times New Roman"/>
                <w:kern w:val="0"/>
                <w:szCs w:val="21"/>
              </w:rPr>
            </w:pPr>
            <w:r>
              <w:rPr>
                <w:rFonts w:hAnsi="宋体" w:cs="Times New Roman"/>
                <w:szCs w:val="21"/>
              </w:rPr>
              <w:t>兰花科创阳化分公司</w:t>
            </w:r>
          </w:p>
        </w:tc>
        <w:tc>
          <w:tcPr>
            <w:tcW w:w="1743" w:type="dxa"/>
            <w:vAlign w:val="center"/>
          </w:tcPr>
          <w:p>
            <w:pPr>
              <w:pStyle w:val="67"/>
              <w:ind w:firstLine="0" w:firstLineChars="0"/>
              <w:jc w:val="center"/>
              <w:rPr>
                <w:rFonts w:cs="Times New Roman"/>
                <w:kern w:val="0"/>
                <w:szCs w:val="21"/>
              </w:rPr>
            </w:pPr>
            <w:r>
              <w:rPr>
                <w:rFonts w:hAnsi="宋体" w:cs="Times New Roman"/>
                <w:szCs w:val="21"/>
              </w:rPr>
              <w:t>技术科科长</w:t>
            </w:r>
          </w:p>
        </w:tc>
        <w:tc>
          <w:tcPr>
            <w:tcW w:w="2174" w:type="dxa"/>
            <w:vAlign w:val="center"/>
          </w:tcPr>
          <w:p>
            <w:pPr>
              <w:widowControl/>
              <w:spacing w:line="380" w:lineRule="exact"/>
              <w:jc w:val="center"/>
              <w:rPr>
                <w:kern w:val="0"/>
                <w:szCs w:val="21"/>
              </w:rPr>
            </w:pPr>
            <w:r>
              <w:rPr>
                <w:rFonts w:hAnsi="宋体"/>
                <w:kern w:val="0"/>
                <w:szCs w:val="21"/>
              </w:rPr>
              <w:t>典型工艺与设备维护</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84" w:hRule="atLeast"/>
          <w:jc w:val="center"/>
        </w:trPr>
        <w:tc>
          <w:tcPr>
            <w:tcW w:w="651" w:type="dxa"/>
            <w:vAlign w:val="center"/>
          </w:tcPr>
          <w:p>
            <w:pPr>
              <w:widowControl/>
              <w:spacing w:line="380" w:lineRule="exact"/>
              <w:jc w:val="center"/>
              <w:rPr>
                <w:kern w:val="0"/>
                <w:szCs w:val="21"/>
              </w:rPr>
            </w:pPr>
            <w:r>
              <w:rPr>
                <w:kern w:val="0"/>
                <w:szCs w:val="21"/>
              </w:rPr>
              <w:t>3</w:t>
            </w:r>
          </w:p>
        </w:tc>
        <w:tc>
          <w:tcPr>
            <w:tcW w:w="895" w:type="dxa"/>
            <w:vAlign w:val="center"/>
          </w:tcPr>
          <w:p>
            <w:pPr>
              <w:pStyle w:val="67"/>
              <w:ind w:firstLine="0" w:firstLineChars="0"/>
              <w:jc w:val="center"/>
              <w:rPr>
                <w:rFonts w:cs="Times New Roman"/>
                <w:kern w:val="0"/>
                <w:szCs w:val="21"/>
              </w:rPr>
            </w:pPr>
            <w:r>
              <w:rPr>
                <w:rFonts w:hAnsi="宋体" w:cs="Times New Roman"/>
                <w:szCs w:val="21"/>
              </w:rPr>
              <w:t>王维兵</w:t>
            </w:r>
          </w:p>
        </w:tc>
        <w:tc>
          <w:tcPr>
            <w:tcW w:w="3059" w:type="dxa"/>
            <w:vAlign w:val="center"/>
          </w:tcPr>
          <w:p>
            <w:pPr>
              <w:pStyle w:val="67"/>
              <w:ind w:firstLine="0" w:firstLineChars="0"/>
              <w:jc w:val="center"/>
              <w:rPr>
                <w:rFonts w:cs="Times New Roman"/>
                <w:szCs w:val="21"/>
              </w:rPr>
            </w:pPr>
            <w:r>
              <w:rPr>
                <w:rFonts w:hAnsi="宋体" w:cs="Times New Roman"/>
                <w:szCs w:val="21"/>
              </w:rPr>
              <w:t>兰花科创</w:t>
            </w:r>
            <w:r>
              <w:rPr>
                <w:rFonts w:hint="eastAsia" w:hAnsi="宋体" w:cs="Times New Roman"/>
                <w:szCs w:val="21"/>
              </w:rPr>
              <w:t>新材料</w:t>
            </w:r>
            <w:r>
              <w:rPr>
                <w:rFonts w:hAnsi="宋体" w:cs="Times New Roman"/>
                <w:szCs w:val="21"/>
              </w:rPr>
              <w:t>公司</w:t>
            </w:r>
          </w:p>
        </w:tc>
        <w:tc>
          <w:tcPr>
            <w:tcW w:w="1743" w:type="dxa"/>
            <w:vAlign w:val="center"/>
          </w:tcPr>
          <w:p>
            <w:pPr>
              <w:pStyle w:val="67"/>
              <w:ind w:firstLine="0" w:firstLineChars="0"/>
              <w:jc w:val="center"/>
              <w:rPr>
                <w:rFonts w:cs="Times New Roman"/>
                <w:kern w:val="0"/>
                <w:szCs w:val="21"/>
              </w:rPr>
            </w:pPr>
            <w:r>
              <w:rPr>
                <w:rFonts w:hint="eastAsia" w:hAnsi="宋体" w:cs="Times New Roman"/>
                <w:szCs w:val="21"/>
              </w:rPr>
              <w:t>副厂长</w:t>
            </w:r>
          </w:p>
        </w:tc>
        <w:tc>
          <w:tcPr>
            <w:tcW w:w="2174" w:type="dxa"/>
            <w:vAlign w:val="center"/>
          </w:tcPr>
          <w:p>
            <w:pPr>
              <w:widowControl/>
              <w:spacing w:line="380" w:lineRule="exact"/>
              <w:jc w:val="center"/>
              <w:rPr>
                <w:kern w:val="0"/>
                <w:szCs w:val="21"/>
              </w:rPr>
            </w:pPr>
            <w:r>
              <w:rPr>
                <w:rFonts w:hAnsi="宋体"/>
                <w:kern w:val="0"/>
                <w:szCs w:val="21"/>
              </w:rPr>
              <w:t>尿素合成工艺与设备维护</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84" w:hRule="atLeast"/>
          <w:jc w:val="center"/>
        </w:trPr>
        <w:tc>
          <w:tcPr>
            <w:tcW w:w="651" w:type="dxa"/>
            <w:vAlign w:val="center"/>
          </w:tcPr>
          <w:p>
            <w:pPr>
              <w:widowControl/>
              <w:spacing w:line="380" w:lineRule="exact"/>
              <w:jc w:val="center"/>
              <w:rPr>
                <w:color w:val="000000" w:themeColor="text1"/>
                <w:kern w:val="0"/>
                <w:szCs w:val="21"/>
              </w:rPr>
            </w:pPr>
            <w:r>
              <w:rPr>
                <w:color w:val="000000" w:themeColor="text1"/>
                <w:kern w:val="0"/>
                <w:szCs w:val="21"/>
              </w:rPr>
              <w:t>4</w:t>
            </w:r>
          </w:p>
        </w:tc>
        <w:tc>
          <w:tcPr>
            <w:tcW w:w="895" w:type="dxa"/>
            <w:vAlign w:val="center"/>
          </w:tcPr>
          <w:p>
            <w:pPr>
              <w:pStyle w:val="67"/>
              <w:ind w:firstLine="0" w:firstLineChars="0"/>
              <w:jc w:val="center"/>
              <w:rPr>
                <w:rFonts w:cs="Times New Roman"/>
                <w:color w:val="000000" w:themeColor="text1"/>
                <w:kern w:val="0"/>
                <w:szCs w:val="21"/>
              </w:rPr>
            </w:pPr>
            <w:r>
              <w:rPr>
                <w:rFonts w:hAnsi="宋体" w:cs="Times New Roman"/>
                <w:color w:val="000000" w:themeColor="text1"/>
                <w:szCs w:val="21"/>
              </w:rPr>
              <w:t>王波</w:t>
            </w:r>
          </w:p>
        </w:tc>
        <w:tc>
          <w:tcPr>
            <w:tcW w:w="3059" w:type="dxa"/>
            <w:vAlign w:val="center"/>
          </w:tcPr>
          <w:p>
            <w:pPr>
              <w:pStyle w:val="67"/>
              <w:ind w:firstLine="0" w:firstLineChars="0"/>
              <w:jc w:val="center"/>
              <w:rPr>
                <w:rFonts w:cs="Times New Roman"/>
                <w:color w:val="000000" w:themeColor="text1"/>
                <w:szCs w:val="21"/>
              </w:rPr>
            </w:pPr>
            <w:r>
              <w:rPr>
                <w:rFonts w:hAnsi="宋体" w:cs="Times New Roman"/>
                <w:color w:val="000000" w:themeColor="text1"/>
                <w:szCs w:val="21"/>
              </w:rPr>
              <w:t>晋城化肥股份有限公司</w:t>
            </w:r>
          </w:p>
        </w:tc>
        <w:tc>
          <w:tcPr>
            <w:tcW w:w="1743" w:type="dxa"/>
            <w:vAlign w:val="center"/>
          </w:tcPr>
          <w:p>
            <w:pPr>
              <w:pStyle w:val="67"/>
              <w:ind w:firstLine="0" w:firstLineChars="0"/>
              <w:jc w:val="center"/>
              <w:rPr>
                <w:rFonts w:cs="Times New Roman"/>
                <w:color w:val="000000" w:themeColor="text1"/>
                <w:kern w:val="0"/>
                <w:szCs w:val="21"/>
              </w:rPr>
            </w:pPr>
            <w:r>
              <w:rPr>
                <w:rFonts w:hAnsi="宋体" w:cs="Times New Roman"/>
                <w:color w:val="000000" w:themeColor="text1"/>
                <w:szCs w:val="21"/>
              </w:rPr>
              <w:t>人力资源处处长</w:t>
            </w:r>
          </w:p>
        </w:tc>
        <w:tc>
          <w:tcPr>
            <w:tcW w:w="2174" w:type="dxa"/>
            <w:vAlign w:val="center"/>
          </w:tcPr>
          <w:p>
            <w:pPr>
              <w:widowControl/>
              <w:spacing w:line="380" w:lineRule="exact"/>
              <w:jc w:val="center"/>
              <w:rPr>
                <w:color w:val="000000" w:themeColor="text1"/>
                <w:kern w:val="0"/>
                <w:szCs w:val="21"/>
              </w:rPr>
            </w:pPr>
            <w:r>
              <w:rPr>
                <w:rFonts w:hAnsi="宋体"/>
                <w:color w:val="000000" w:themeColor="text1"/>
                <w:kern w:val="0"/>
                <w:szCs w:val="21"/>
              </w:rPr>
              <w:t>企业文化与学生成才途径</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84" w:hRule="atLeast"/>
          <w:jc w:val="center"/>
        </w:trPr>
        <w:tc>
          <w:tcPr>
            <w:tcW w:w="651" w:type="dxa"/>
            <w:vAlign w:val="center"/>
          </w:tcPr>
          <w:p>
            <w:pPr>
              <w:widowControl/>
              <w:spacing w:line="380" w:lineRule="exact"/>
              <w:jc w:val="center"/>
              <w:rPr>
                <w:kern w:val="0"/>
                <w:szCs w:val="21"/>
              </w:rPr>
            </w:pPr>
            <w:r>
              <w:rPr>
                <w:kern w:val="0"/>
                <w:szCs w:val="21"/>
              </w:rPr>
              <w:t>5</w:t>
            </w:r>
          </w:p>
        </w:tc>
        <w:tc>
          <w:tcPr>
            <w:tcW w:w="895" w:type="dxa"/>
            <w:vAlign w:val="center"/>
          </w:tcPr>
          <w:p>
            <w:pPr>
              <w:pStyle w:val="67"/>
              <w:ind w:firstLine="0" w:firstLineChars="0"/>
              <w:jc w:val="center"/>
              <w:rPr>
                <w:rFonts w:cs="Times New Roman"/>
                <w:kern w:val="0"/>
                <w:szCs w:val="21"/>
              </w:rPr>
            </w:pPr>
            <w:r>
              <w:rPr>
                <w:rFonts w:hAnsi="宋体" w:cs="Times New Roman"/>
                <w:szCs w:val="21"/>
              </w:rPr>
              <w:t>刘卫军</w:t>
            </w:r>
          </w:p>
        </w:tc>
        <w:tc>
          <w:tcPr>
            <w:tcW w:w="3059" w:type="dxa"/>
            <w:vAlign w:val="center"/>
          </w:tcPr>
          <w:p>
            <w:pPr>
              <w:pStyle w:val="67"/>
              <w:ind w:firstLine="0" w:firstLineChars="0"/>
              <w:jc w:val="center"/>
              <w:rPr>
                <w:rFonts w:cs="Times New Roman"/>
                <w:szCs w:val="21"/>
              </w:rPr>
            </w:pPr>
            <w:r>
              <w:rPr>
                <w:rFonts w:hAnsi="宋体" w:cs="Times New Roman"/>
                <w:szCs w:val="21"/>
              </w:rPr>
              <w:t>兰花科创阳化分公司</w:t>
            </w:r>
          </w:p>
        </w:tc>
        <w:tc>
          <w:tcPr>
            <w:tcW w:w="1743" w:type="dxa"/>
            <w:vAlign w:val="center"/>
          </w:tcPr>
          <w:p>
            <w:pPr>
              <w:pStyle w:val="67"/>
              <w:ind w:firstLine="0" w:firstLineChars="0"/>
              <w:jc w:val="center"/>
              <w:rPr>
                <w:rFonts w:cs="Times New Roman"/>
                <w:kern w:val="0"/>
                <w:szCs w:val="21"/>
              </w:rPr>
            </w:pPr>
            <w:r>
              <w:rPr>
                <w:rFonts w:hAnsi="宋体" w:cs="Times New Roman"/>
                <w:szCs w:val="21"/>
              </w:rPr>
              <w:t>工会主席</w:t>
            </w:r>
          </w:p>
        </w:tc>
        <w:tc>
          <w:tcPr>
            <w:tcW w:w="2174" w:type="dxa"/>
            <w:vAlign w:val="center"/>
          </w:tcPr>
          <w:p>
            <w:pPr>
              <w:widowControl/>
              <w:spacing w:line="380" w:lineRule="exact"/>
              <w:jc w:val="center"/>
              <w:rPr>
                <w:kern w:val="0"/>
                <w:szCs w:val="21"/>
              </w:rPr>
            </w:pPr>
            <w:r>
              <w:rPr>
                <w:rFonts w:hAnsi="宋体"/>
                <w:kern w:val="0"/>
                <w:szCs w:val="21"/>
              </w:rPr>
              <w:t>企业团队与个人价值</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84" w:hRule="atLeast"/>
          <w:jc w:val="center"/>
        </w:trPr>
        <w:tc>
          <w:tcPr>
            <w:tcW w:w="651" w:type="dxa"/>
            <w:vAlign w:val="center"/>
          </w:tcPr>
          <w:p>
            <w:pPr>
              <w:widowControl/>
              <w:spacing w:line="380" w:lineRule="exact"/>
              <w:jc w:val="center"/>
              <w:rPr>
                <w:kern w:val="0"/>
                <w:szCs w:val="21"/>
              </w:rPr>
            </w:pPr>
            <w:r>
              <w:rPr>
                <w:kern w:val="0"/>
                <w:szCs w:val="21"/>
              </w:rPr>
              <w:t>6</w:t>
            </w:r>
          </w:p>
        </w:tc>
        <w:tc>
          <w:tcPr>
            <w:tcW w:w="895" w:type="dxa"/>
            <w:vAlign w:val="center"/>
          </w:tcPr>
          <w:p>
            <w:pPr>
              <w:pStyle w:val="67"/>
              <w:ind w:firstLine="0" w:firstLineChars="0"/>
              <w:jc w:val="center"/>
              <w:rPr>
                <w:rFonts w:cs="Times New Roman"/>
                <w:kern w:val="0"/>
                <w:szCs w:val="21"/>
              </w:rPr>
            </w:pPr>
            <w:r>
              <w:rPr>
                <w:rFonts w:hAnsi="宋体" w:cs="Times New Roman"/>
                <w:szCs w:val="21"/>
              </w:rPr>
              <w:t>王西栋</w:t>
            </w:r>
          </w:p>
        </w:tc>
        <w:tc>
          <w:tcPr>
            <w:tcW w:w="3059" w:type="dxa"/>
            <w:vAlign w:val="center"/>
          </w:tcPr>
          <w:p>
            <w:pPr>
              <w:pStyle w:val="67"/>
              <w:ind w:firstLine="0" w:firstLineChars="0"/>
              <w:jc w:val="center"/>
              <w:rPr>
                <w:rFonts w:hAnsi="宋体"/>
                <w:color w:val="000000"/>
                <w:szCs w:val="21"/>
              </w:rPr>
            </w:pPr>
            <w:r>
              <w:rPr>
                <w:rFonts w:hAnsi="宋体" w:cs="Times New Roman"/>
                <w:szCs w:val="21"/>
              </w:rPr>
              <w:t>山西兰花</w:t>
            </w:r>
            <w:r>
              <w:rPr>
                <w:rFonts w:hint="eastAsia" w:hAnsi="宋体" w:cs="Times New Roman"/>
                <w:szCs w:val="21"/>
              </w:rPr>
              <w:t>新</w:t>
            </w:r>
            <w:r>
              <w:rPr>
                <w:rFonts w:hAnsi="宋体" w:cs="Times New Roman"/>
                <w:szCs w:val="21"/>
              </w:rPr>
              <w:t>能化工有限公司</w:t>
            </w:r>
          </w:p>
        </w:tc>
        <w:tc>
          <w:tcPr>
            <w:tcW w:w="1743" w:type="dxa"/>
            <w:vAlign w:val="center"/>
          </w:tcPr>
          <w:p>
            <w:pPr>
              <w:pStyle w:val="67"/>
              <w:ind w:firstLine="0" w:firstLineChars="0"/>
              <w:jc w:val="center"/>
              <w:rPr>
                <w:rFonts w:hAnsi="宋体"/>
                <w:color w:val="000000"/>
                <w:szCs w:val="21"/>
              </w:rPr>
            </w:pPr>
            <w:r>
              <w:rPr>
                <w:rFonts w:hAnsi="宋体" w:cs="Times New Roman"/>
                <w:szCs w:val="21"/>
              </w:rPr>
              <w:t>高级工程师</w:t>
            </w:r>
          </w:p>
        </w:tc>
        <w:tc>
          <w:tcPr>
            <w:tcW w:w="2174" w:type="dxa"/>
            <w:vAlign w:val="center"/>
          </w:tcPr>
          <w:p>
            <w:pPr>
              <w:widowControl/>
              <w:spacing w:line="380" w:lineRule="exact"/>
              <w:jc w:val="center"/>
              <w:rPr>
                <w:kern w:val="0"/>
                <w:szCs w:val="21"/>
              </w:rPr>
            </w:pPr>
            <w:r>
              <w:rPr>
                <w:rFonts w:hAnsi="宋体"/>
                <w:kern w:val="0"/>
                <w:szCs w:val="21"/>
              </w:rPr>
              <w:t>合成氨工艺流程与设备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84" w:hRule="atLeast"/>
          <w:jc w:val="center"/>
        </w:trPr>
        <w:tc>
          <w:tcPr>
            <w:tcW w:w="651" w:type="dxa"/>
            <w:vAlign w:val="center"/>
          </w:tcPr>
          <w:p>
            <w:pPr>
              <w:widowControl/>
              <w:spacing w:line="380" w:lineRule="exact"/>
              <w:jc w:val="center"/>
              <w:rPr>
                <w:kern w:val="0"/>
                <w:szCs w:val="21"/>
              </w:rPr>
            </w:pPr>
            <w:r>
              <w:rPr>
                <w:kern w:val="0"/>
                <w:szCs w:val="21"/>
              </w:rPr>
              <w:t>7</w:t>
            </w:r>
          </w:p>
        </w:tc>
        <w:tc>
          <w:tcPr>
            <w:tcW w:w="895" w:type="dxa"/>
            <w:vAlign w:val="center"/>
          </w:tcPr>
          <w:p>
            <w:pPr>
              <w:pStyle w:val="67"/>
              <w:ind w:firstLine="0" w:firstLineChars="0"/>
              <w:jc w:val="center"/>
              <w:rPr>
                <w:rFonts w:cs="Times New Roman"/>
                <w:kern w:val="0"/>
                <w:szCs w:val="21"/>
              </w:rPr>
            </w:pPr>
            <w:r>
              <w:rPr>
                <w:rFonts w:hAnsi="宋体" w:cs="Times New Roman"/>
                <w:szCs w:val="21"/>
              </w:rPr>
              <w:t>李青</w:t>
            </w:r>
          </w:p>
        </w:tc>
        <w:tc>
          <w:tcPr>
            <w:tcW w:w="3059" w:type="dxa"/>
            <w:vAlign w:val="center"/>
          </w:tcPr>
          <w:p>
            <w:pPr>
              <w:pStyle w:val="67"/>
              <w:ind w:firstLine="0" w:firstLineChars="0"/>
              <w:jc w:val="center"/>
              <w:rPr>
                <w:rFonts w:cs="Times New Roman"/>
                <w:szCs w:val="21"/>
              </w:rPr>
            </w:pPr>
            <w:r>
              <w:rPr>
                <w:rFonts w:hAnsi="宋体" w:cs="Times New Roman"/>
                <w:szCs w:val="21"/>
              </w:rPr>
              <w:t>晋城市泽锦生物科技有限公司</w:t>
            </w:r>
          </w:p>
        </w:tc>
        <w:tc>
          <w:tcPr>
            <w:tcW w:w="1743" w:type="dxa"/>
            <w:vAlign w:val="center"/>
          </w:tcPr>
          <w:p>
            <w:pPr>
              <w:pStyle w:val="67"/>
              <w:ind w:firstLine="0" w:firstLineChars="0"/>
              <w:jc w:val="center"/>
              <w:rPr>
                <w:rFonts w:cs="Times New Roman"/>
                <w:kern w:val="0"/>
                <w:szCs w:val="21"/>
              </w:rPr>
            </w:pPr>
            <w:r>
              <w:rPr>
                <w:rFonts w:hAnsi="宋体" w:cs="Times New Roman"/>
                <w:szCs w:val="21"/>
              </w:rPr>
              <w:t>总经理</w:t>
            </w:r>
          </w:p>
        </w:tc>
        <w:tc>
          <w:tcPr>
            <w:tcW w:w="2174" w:type="dxa"/>
            <w:vAlign w:val="center"/>
          </w:tcPr>
          <w:p>
            <w:pPr>
              <w:widowControl/>
              <w:spacing w:line="380" w:lineRule="exact"/>
              <w:jc w:val="center"/>
              <w:rPr>
                <w:kern w:val="0"/>
                <w:szCs w:val="21"/>
              </w:rPr>
            </w:pPr>
            <w:r>
              <w:rPr>
                <w:rFonts w:hAnsi="宋体"/>
                <w:kern w:val="0"/>
                <w:szCs w:val="21"/>
              </w:rPr>
              <w:t>微生物肥料与现代农业</w:t>
            </w:r>
          </w:p>
        </w:tc>
      </w:tr>
    </w:tbl>
    <w:p>
      <w:pPr>
        <w:spacing w:line="360" w:lineRule="auto"/>
        <w:ind w:firstLine="480" w:firstLineChars="200"/>
        <w:rPr>
          <w:rFonts w:ascii="宋体" w:hAnsi="宋体"/>
          <w:sz w:val="24"/>
        </w:rPr>
      </w:pPr>
      <w:r>
        <w:rPr>
          <w:rFonts w:hint="eastAsia" w:ascii="宋体" w:hAnsi="宋体"/>
          <w:sz w:val="24"/>
        </w:rPr>
        <w:t>2.协同教学的组织形式</w:t>
      </w:r>
    </w:p>
    <w:p>
      <w:pPr>
        <w:spacing w:line="360" w:lineRule="auto"/>
        <w:ind w:firstLine="480" w:firstLineChars="200"/>
        <w:rPr>
          <w:rFonts w:ascii="宋体" w:hAnsi="宋体"/>
          <w:sz w:val="24"/>
        </w:rPr>
      </w:pPr>
      <w:r>
        <w:rPr>
          <w:rFonts w:hint="eastAsia" w:ascii="宋体" w:hAnsi="宋体"/>
          <w:sz w:val="24"/>
        </w:rPr>
        <w:t>根据项目教学和现场实训教学的需要，按照教师间合理组合、分工明确、优势互补、个性匹配的原则组建“双师”结构协同教学的教学团队，主要组织形式有：</w:t>
      </w:r>
    </w:p>
    <w:p>
      <w:pPr>
        <w:spacing w:line="360" w:lineRule="auto"/>
        <w:ind w:firstLine="480" w:firstLineChars="200"/>
        <w:rPr>
          <w:rFonts w:ascii="宋体" w:hAnsi="宋体"/>
          <w:sz w:val="24"/>
        </w:rPr>
      </w:pPr>
      <w:r>
        <w:rPr>
          <w:rFonts w:hint="eastAsia" w:ascii="宋体" w:hAnsi="宋体"/>
          <w:sz w:val="24"/>
        </w:rPr>
        <w:t>（1）教师间的协同</w:t>
      </w:r>
    </w:p>
    <w:p>
      <w:pPr>
        <w:spacing w:line="360" w:lineRule="auto"/>
        <w:ind w:firstLine="480" w:firstLineChars="200"/>
        <w:rPr>
          <w:rFonts w:ascii="宋体" w:hAnsi="宋体"/>
          <w:sz w:val="24"/>
        </w:rPr>
      </w:pPr>
      <w:r>
        <w:rPr>
          <w:rFonts w:hint="eastAsia" w:ascii="宋体" w:hAnsi="宋体"/>
          <w:sz w:val="24"/>
        </w:rPr>
        <w:t>校内项目教学，校内专任教学主要承担专业知识、基本理论、方法步骤、教学组织等任务，校外兼职教师主要承担实验实训、技能训练、案例分析、工程设计等方面的教学任务，双方共同配合，共同对学生进行教学和评价。</w:t>
      </w:r>
    </w:p>
    <w:p>
      <w:pPr>
        <w:spacing w:line="360" w:lineRule="auto"/>
        <w:ind w:firstLine="480" w:firstLineChars="200"/>
        <w:rPr>
          <w:rFonts w:ascii="宋体" w:hAnsi="宋体"/>
          <w:sz w:val="24"/>
        </w:rPr>
      </w:pPr>
      <w:r>
        <w:rPr>
          <w:rFonts w:hint="eastAsia" w:ascii="宋体" w:hAnsi="宋体"/>
          <w:sz w:val="24"/>
        </w:rPr>
        <w:t>企业实训实习教学，由校外兼职教师为主，校内专任教师为辅，兼职教师主要承担专项技能训练、项目任务实施、技术服务指导等教学任务，专任教师主要承担实习的组织并配合兼职教师完成实习实训的考核评价。</w:t>
      </w:r>
    </w:p>
    <w:p>
      <w:pPr>
        <w:spacing w:line="360" w:lineRule="auto"/>
        <w:ind w:firstLine="480" w:firstLineChars="200"/>
        <w:rPr>
          <w:rFonts w:ascii="宋体" w:hAnsi="宋体"/>
          <w:sz w:val="24"/>
        </w:rPr>
      </w:pPr>
      <w:r>
        <w:rPr>
          <w:rFonts w:hint="eastAsia" w:ascii="宋体" w:hAnsi="宋体"/>
          <w:sz w:val="24"/>
        </w:rPr>
        <w:t>（2）学生间的协同</w:t>
      </w:r>
    </w:p>
    <w:p>
      <w:pPr>
        <w:spacing w:line="360" w:lineRule="auto"/>
        <w:ind w:firstLine="480" w:firstLineChars="200"/>
        <w:rPr>
          <w:rFonts w:ascii="宋体" w:hAnsi="宋体"/>
          <w:sz w:val="24"/>
        </w:rPr>
      </w:pPr>
      <w:r>
        <w:rPr>
          <w:rFonts w:hint="eastAsia" w:ascii="宋体" w:hAnsi="宋体"/>
          <w:sz w:val="24"/>
        </w:rPr>
        <w:t>学生根据项目教学的需要，自愿组成学习小组，分工合作，</w:t>
      </w:r>
      <w:r>
        <w:rPr>
          <w:rFonts w:ascii="宋体" w:hAnsi="宋体"/>
          <w:sz w:val="24"/>
        </w:rPr>
        <w:t>完成信息收集、制定工作计划、做出决策、任务实施、检查及工作成果评价</w:t>
      </w:r>
      <w:r>
        <w:rPr>
          <w:rFonts w:hint="eastAsia" w:ascii="宋体" w:hAnsi="宋体"/>
          <w:sz w:val="24"/>
        </w:rPr>
        <w:t>等环节。</w:t>
      </w:r>
    </w:p>
    <w:p>
      <w:pPr>
        <w:spacing w:line="360" w:lineRule="auto"/>
        <w:ind w:firstLine="480" w:firstLineChars="200"/>
        <w:rPr>
          <w:rFonts w:ascii="宋体" w:hAnsi="宋体"/>
          <w:sz w:val="24"/>
        </w:rPr>
      </w:pPr>
      <w:r>
        <w:rPr>
          <w:rFonts w:hint="eastAsia" w:ascii="宋体" w:hAnsi="宋体"/>
          <w:sz w:val="24"/>
        </w:rPr>
        <w:t>（3）课程间的协同</w:t>
      </w:r>
    </w:p>
    <w:p>
      <w:pPr>
        <w:spacing w:line="360" w:lineRule="auto"/>
        <w:ind w:firstLine="480" w:firstLineChars="200"/>
        <w:rPr>
          <w:rFonts w:ascii="宋体" w:hAnsi="宋体"/>
          <w:sz w:val="24"/>
        </w:rPr>
      </w:pPr>
      <w:r>
        <w:rPr>
          <w:rFonts w:hint="eastAsia" w:ascii="宋体" w:hAnsi="宋体"/>
          <w:sz w:val="24"/>
        </w:rPr>
        <w:t xml:space="preserve">打破课程之间的壁垒，按照项目或任务，将各课程内容重新组织，各教师进行跨课程间的协作，共同完成一门课程的教学。跨课程进行协同教学，有利于激发学生学习的积极性和主动性，有利于学生知识的融合，提高分析问题、解决问题的能力。 </w:t>
      </w:r>
    </w:p>
    <w:p>
      <w:pPr>
        <w:spacing w:line="360" w:lineRule="auto"/>
        <w:ind w:firstLine="300" w:firstLineChars="100"/>
        <w:rPr>
          <w:rFonts w:ascii="黑体" w:hAnsi="黑体" w:eastAsia="黑体"/>
          <w:sz w:val="30"/>
          <w:szCs w:val="30"/>
        </w:rPr>
      </w:pPr>
      <w:bookmarkStart w:id="118" w:name="_Toc6427"/>
      <w:r>
        <w:rPr>
          <w:rFonts w:hint="eastAsia" w:ascii="黑体" w:hAnsi="黑体" w:eastAsia="黑体"/>
          <w:sz w:val="30"/>
          <w:szCs w:val="30"/>
        </w:rPr>
        <w:t xml:space="preserve"> （二）教学团队水平</w:t>
      </w:r>
      <w:bookmarkEnd w:id="118"/>
    </w:p>
    <w:p>
      <w:pPr>
        <w:spacing w:line="360" w:lineRule="auto"/>
        <w:ind w:firstLine="480" w:firstLineChars="200"/>
        <w:rPr>
          <w:rFonts w:ascii="宋体" w:hAnsi="宋体"/>
          <w:sz w:val="24"/>
        </w:rPr>
      </w:pPr>
      <w:r>
        <w:rPr>
          <w:rFonts w:hint="eastAsia" w:ascii="宋体" w:hAnsi="宋体"/>
          <w:sz w:val="24"/>
        </w:rPr>
        <w:t>近5年本专业教师主持并完成科研及应用技术开发课题11项；承担并完成省级以上教改项目1项；获得省级以上教学成果奖1项；申请专利3项，参编教材4本。</w:t>
      </w:r>
    </w:p>
    <w:p>
      <w:pPr>
        <w:spacing w:line="480" w:lineRule="auto"/>
        <w:ind w:firstLine="480" w:firstLineChars="200"/>
        <w:jc w:val="center"/>
        <w:rPr>
          <w:rFonts w:hAnsi="宋体"/>
          <w:bCs/>
          <w:sz w:val="24"/>
        </w:rPr>
      </w:pPr>
      <w:r>
        <w:rPr>
          <w:rFonts w:hAnsi="宋体"/>
          <w:bCs/>
          <w:sz w:val="24"/>
        </w:rPr>
        <w:t>表</w:t>
      </w:r>
      <w:r>
        <w:rPr>
          <w:bCs/>
          <w:sz w:val="24"/>
        </w:rPr>
        <w:t xml:space="preserve"> 5.4 </w:t>
      </w:r>
      <w:r>
        <w:rPr>
          <w:rFonts w:hAnsi="宋体"/>
          <w:bCs/>
          <w:sz w:val="24"/>
        </w:rPr>
        <w:t>应用化工技术专业教师完成的教学改革与科研情况</w:t>
      </w:r>
    </w:p>
    <w:tbl>
      <w:tblPr>
        <w:tblStyle w:val="1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8"/>
        <w:gridCol w:w="5129"/>
        <w:gridCol w:w="807"/>
        <w:gridCol w:w="914"/>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 w:type="dxa"/>
            <w:vAlign w:val="center"/>
          </w:tcPr>
          <w:p>
            <w:pPr>
              <w:spacing w:line="440" w:lineRule="exact"/>
              <w:jc w:val="center"/>
              <w:rPr>
                <w:rFonts w:ascii="宋体" w:hAnsi="宋体"/>
                <w:b/>
                <w:bCs/>
                <w:szCs w:val="21"/>
              </w:rPr>
            </w:pPr>
            <w:r>
              <w:rPr>
                <w:rFonts w:hint="eastAsia" w:ascii="宋体" w:hAnsi="宋体"/>
                <w:b/>
                <w:bCs/>
                <w:szCs w:val="21"/>
              </w:rPr>
              <w:t>序号</w:t>
            </w:r>
          </w:p>
        </w:tc>
        <w:tc>
          <w:tcPr>
            <w:tcW w:w="5129" w:type="dxa"/>
            <w:vAlign w:val="center"/>
          </w:tcPr>
          <w:p>
            <w:pPr>
              <w:spacing w:line="440" w:lineRule="exact"/>
              <w:jc w:val="center"/>
              <w:rPr>
                <w:rFonts w:ascii="宋体" w:hAnsi="宋体"/>
                <w:b/>
                <w:bCs/>
                <w:szCs w:val="21"/>
              </w:rPr>
            </w:pPr>
            <w:r>
              <w:rPr>
                <w:rFonts w:hint="eastAsia" w:ascii="宋体" w:hAnsi="宋体"/>
                <w:b/>
                <w:bCs/>
                <w:szCs w:val="21"/>
              </w:rPr>
              <w:t>课题名称</w:t>
            </w:r>
          </w:p>
        </w:tc>
        <w:tc>
          <w:tcPr>
            <w:tcW w:w="807" w:type="dxa"/>
            <w:vAlign w:val="center"/>
          </w:tcPr>
          <w:p>
            <w:pPr>
              <w:spacing w:line="440" w:lineRule="exact"/>
              <w:jc w:val="center"/>
              <w:rPr>
                <w:rFonts w:ascii="宋体" w:hAnsi="宋体"/>
                <w:b/>
                <w:bCs/>
                <w:szCs w:val="21"/>
              </w:rPr>
            </w:pPr>
            <w:r>
              <w:rPr>
                <w:rFonts w:hint="eastAsia" w:ascii="宋体" w:hAnsi="宋体"/>
                <w:b/>
                <w:bCs/>
                <w:szCs w:val="21"/>
              </w:rPr>
              <w:t>时间</w:t>
            </w:r>
          </w:p>
        </w:tc>
        <w:tc>
          <w:tcPr>
            <w:tcW w:w="914" w:type="dxa"/>
            <w:vAlign w:val="center"/>
          </w:tcPr>
          <w:p>
            <w:pPr>
              <w:spacing w:line="440" w:lineRule="exact"/>
              <w:jc w:val="center"/>
              <w:rPr>
                <w:rFonts w:ascii="宋体" w:hAnsi="宋体"/>
                <w:b/>
                <w:bCs/>
                <w:szCs w:val="21"/>
              </w:rPr>
            </w:pPr>
            <w:r>
              <w:rPr>
                <w:rFonts w:hint="eastAsia" w:ascii="宋体" w:hAnsi="宋体"/>
                <w:b/>
                <w:bCs/>
                <w:szCs w:val="21"/>
              </w:rPr>
              <w:t>来源</w:t>
            </w:r>
          </w:p>
        </w:tc>
        <w:tc>
          <w:tcPr>
            <w:tcW w:w="1184" w:type="dxa"/>
            <w:vAlign w:val="center"/>
          </w:tcPr>
          <w:p>
            <w:pPr>
              <w:spacing w:line="440" w:lineRule="exact"/>
              <w:jc w:val="center"/>
              <w:rPr>
                <w:rFonts w:ascii="宋体" w:hAnsi="宋体"/>
                <w:b/>
                <w:bCs/>
                <w:szCs w:val="21"/>
              </w:rPr>
            </w:pPr>
            <w:r>
              <w:rPr>
                <w:rFonts w:hint="eastAsia" w:ascii="宋体" w:hAnsi="宋体"/>
                <w:b/>
                <w:bCs/>
                <w:szCs w:val="21"/>
              </w:rPr>
              <w:t>主持人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 w:type="dxa"/>
            <w:vAlign w:val="center"/>
          </w:tcPr>
          <w:p>
            <w:pPr>
              <w:spacing w:line="440" w:lineRule="exact"/>
              <w:jc w:val="center"/>
              <w:rPr>
                <w:rFonts w:ascii="宋体" w:hAnsi="宋体"/>
                <w:szCs w:val="21"/>
              </w:rPr>
            </w:pPr>
            <w:r>
              <w:rPr>
                <w:rFonts w:hint="eastAsia" w:ascii="宋体" w:hAnsi="宋体"/>
                <w:szCs w:val="21"/>
              </w:rPr>
              <w:t>1</w:t>
            </w:r>
          </w:p>
        </w:tc>
        <w:tc>
          <w:tcPr>
            <w:tcW w:w="5129" w:type="dxa"/>
            <w:vAlign w:val="center"/>
          </w:tcPr>
          <w:p>
            <w:pPr>
              <w:spacing w:line="440" w:lineRule="exact"/>
              <w:jc w:val="center"/>
              <w:rPr>
                <w:rFonts w:ascii="宋体" w:hAnsi="宋体"/>
                <w:szCs w:val="21"/>
              </w:rPr>
            </w:pPr>
            <w:r>
              <w:rPr>
                <w:rFonts w:hint="eastAsia" w:ascii="宋体" w:hAnsi="宋体" w:cs="宋体"/>
                <w:color w:val="000000"/>
                <w:kern w:val="0"/>
                <w:sz w:val="22"/>
                <w:szCs w:val="22"/>
              </w:rPr>
              <w:t>改善铸管力学性能的工艺研究</w:t>
            </w:r>
          </w:p>
        </w:tc>
        <w:tc>
          <w:tcPr>
            <w:tcW w:w="807" w:type="dxa"/>
            <w:vAlign w:val="center"/>
          </w:tcPr>
          <w:p>
            <w:pPr>
              <w:spacing w:line="440" w:lineRule="exact"/>
              <w:jc w:val="center"/>
              <w:rPr>
                <w:rFonts w:ascii="宋体" w:hAnsi="宋体"/>
                <w:szCs w:val="21"/>
              </w:rPr>
            </w:pPr>
            <w:r>
              <w:rPr>
                <w:rFonts w:hint="eastAsia" w:ascii="宋体" w:hAnsi="宋体"/>
                <w:szCs w:val="21"/>
              </w:rPr>
              <w:t>2018</w:t>
            </w:r>
          </w:p>
        </w:tc>
        <w:tc>
          <w:tcPr>
            <w:tcW w:w="914" w:type="dxa"/>
            <w:vAlign w:val="center"/>
          </w:tcPr>
          <w:p>
            <w:pPr>
              <w:spacing w:line="440" w:lineRule="exact"/>
              <w:jc w:val="center"/>
              <w:rPr>
                <w:rFonts w:ascii="宋体" w:hAnsi="宋体"/>
                <w:szCs w:val="21"/>
              </w:rPr>
            </w:pPr>
            <w:r>
              <w:rPr>
                <w:rFonts w:hint="eastAsia" w:ascii="宋体" w:hAnsi="宋体"/>
                <w:szCs w:val="21"/>
              </w:rPr>
              <w:t>市级</w:t>
            </w:r>
          </w:p>
        </w:tc>
        <w:tc>
          <w:tcPr>
            <w:tcW w:w="1184" w:type="dxa"/>
            <w:vAlign w:val="center"/>
          </w:tcPr>
          <w:p>
            <w:pPr>
              <w:spacing w:line="440" w:lineRule="exact"/>
              <w:jc w:val="center"/>
              <w:rPr>
                <w:rFonts w:ascii="宋体" w:hAnsi="宋体"/>
                <w:szCs w:val="21"/>
              </w:rPr>
            </w:pPr>
            <w:r>
              <w:rPr>
                <w:rFonts w:hint="eastAsia" w:ascii="宋体" w:hAnsi="宋体"/>
                <w:szCs w:val="21"/>
              </w:rPr>
              <w:t>吉晋兰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 w:type="dxa"/>
            <w:vAlign w:val="center"/>
          </w:tcPr>
          <w:p>
            <w:pPr>
              <w:spacing w:line="440" w:lineRule="exact"/>
              <w:jc w:val="center"/>
              <w:rPr>
                <w:rFonts w:ascii="宋体" w:hAnsi="宋体"/>
                <w:szCs w:val="21"/>
              </w:rPr>
            </w:pPr>
            <w:r>
              <w:rPr>
                <w:rFonts w:hint="eastAsia" w:ascii="宋体" w:hAnsi="宋体"/>
                <w:szCs w:val="21"/>
              </w:rPr>
              <w:t>2</w:t>
            </w:r>
          </w:p>
        </w:tc>
        <w:tc>
          <w:tcPr>
            <w:tcW w:w="5129" w:type="dxa"/>
            <w:vAlign w:val="center"/>
          </w:tcPr>
          <w:p>
            <w:pPr>
              <w:spacing w:line="440" w:lineRule="exact"/>
              <w:jc w:val="center"/>
              <w:rPr>
                <w:rFonts w:ascii="宋体" w:hAnsi="宋体"/>
                <w:szCs w:val="21"/>
              </w:rPr>
            </w:pPr>
            <w:r>
              <w:rPr>
                <w:rFonts w:hint="eastAsia" w:ascii="宋体" w:hAnsi="宋体" w:cs="宋体"/>
                <w:color w:val="000000"/>
                <w:kern w:val="0"/>
                <w:sz w:val="20"/>
                <w:szCs w:val="20"/>
              </w:rPr>
              <w:t>垃圾临时堆放点非均质土壤中重金属的迁移及防治技术研究</w:t>
            </w:r>
          </w:p>
        </w:tc>
        <w:tc>
          <w:tcPr>
            <w:tcW w:w="807" w:type="dxa"/>
            <w:vAlign w:val="center"/>
          </w:tcPr>
          <w:p>
            <w:pPr>
              <w:spacing w:line="440" w:lineRule="exact"/>
              <w:jc w:val="center"/>
              <w:rPr>
                <w:rFonts w:ascii="宋体" w:hAnsi="宋体"/>
                <w:szCs w:val="21"/>
              </w:rPr>
            </w:pPr>
            <w:r>
              <w:rPr>
                <w:rFonts w:hint="eastAsia" w:ascii="宋体" w:hAnsi="宋体"/>
                <w:szCs w:val="21"/>
              </w:rPr>
              <w:t>2015</w:t>
            </w:r>
          </w:p>
        </w:tc>
        <w:tc>
          <w:tcPr>
            <w:tcW w:w="914" w:type="dxa"/>
            <w:vAlign w:val="center"/>
          </w:tcPr>
          <w:p>
            <w:pPr>
              <w:spacing w:line="440" w:lineRule="exact"/>
              <w:jc w:val="center"/>
              <w:rPr>
                <w:rFonts w:ascii="宋体" w:hAnsi="宋体"/>
                <w:szCs w:val="21"/>
              </w:rPr>
            </w:pPr>
            <w:r>
              <w:rPr>
                <w:rFonts w:hint="eastAsia" w:ascii="宋体" w:hAnsi="宋体"/>
                <w:szCs w:val="21"/>
              </w:rPr>
              <w:t>省级</w:t>
            </w:r>
          </w:p>
        </w:tc>
        <w:tc>
          <w:tcPr>
            <w:tcW w:w="1184" w:type="dxa"/>
            <w:vAlign w:val="center"/>
          </w:tcPr>
          <w:p>
            <w:pPr>
              <w:spacing w:line="440" w:lineRule="exact"/>
              <w:jc w:val="center"/>
              <w:rPr>
                <w:rFonts w:ascii="宋体" w:hAnsi="宋体"/>
                <w:szCs w:val="21"/>
              </w:rPr>
            </w:pPr>
            <w:r>
              <w:rPr>
                <w:rFonts w:hint="eastAsia" w:ascii="宋体" w:hAnsi="宋体"/>
                <w:szCs w:val="21"/>
              </w:rPr>
              <w:t>吉晋兰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 w:type="dxa"/>
            <w:vAlign w:val="center"/>
          </w:tcPr>
          <w:p>
            <w:pPr>
              <w:spacing w:line="440" w:lineRule="exact"/>
              <w:jc w:val="center"/>
              <w:rPr>
                <w:rFonts w:ascii="宋体" w:hAnsi="宋体"/>
                <w:szCs w:val="21"/>
              </w:rPr>
            </w:pPr>
            <w:r>
              <w:rPr>
                <w:rFonts w:hint="eastAsia" w:ascii="宋体" w:hAnsi="宋体"/>
                <w:szCs w:val="21"/>
              </w:rPr>
              <w:t>3</w:t>
            </w:r>
          </w:p>
        </w:tc>
        <w:tc>
          <w:tcPr>
            <w:tcW w:w="5129" w:type="dxa"/>
            <w:vAlign w:val="center"/>
          </w:tcPr>
          <w:p>
            <w:pPr>
              <w:spacing w:line="440" w:lineRule="exact"/>
              <w:jc w:val="center"/>
              <w:rPr>
                <w:rFonts w:ascii="宋体" w:hAnsi="宋体"/>
                <w:szCs w:val="21"/>
              </w:rPr>
            </w:pPr>
            <w:r>
              <w:rPr>
                <w:rFonts w:hint="eastAsia" w:ascii="宋体" w:hAnsi="宋体" w:cs="宋体"/>
                <w:color w:val="000000"/>
                <w:kern w:val="0"/>
                <w:sz w:val="22"/>
                <w:szCs w:val="22"/>
              </w:rPr>
              <w:t>VOCs催化燃烧技术中介孔ZSM-5负载型催化剂的结构设计、合成及性能研究</w:t>
            </w:r>
          </w:p>
        </w:tc>
        <w:tc>
          <w:tcPr>
            <w:tcW w:w="807" w:type="dxa"/>
            <w:vAlign w:val="center"/>
          </w:tcPr>
          <w:p>
            <w:pPr>
              <w:spacing w:line="440" w:lineRule="exact"/>
              <w:jc w:val="center"/>
              <w:rPr>
                <w:rFonts w:ascii="宋体" w:hAnsi="宋体"/>
                <w:szCs w:val="21"/>
              </w:rPr>
            </w:pPr>
            <w:r>
              <w:rPr>
                <w:rFonts w:hint="eastAsia" w:ascii="宋体" w:hAnsi="宋体"/>
                <w:szCs w:val="21"/>
              </w:rPr>
              <w:t>2016</w:t>
            </w:r>
          </w:p>
        </w:tc>
        <w:tc>
          <w:tcPr>
            <w:tcW w:w="914" w:type="dxa"/>
            <w:vAlign w:val="center"/>
          </w:tcPr>
          <w:p>
            <w:pPr>
              <w:spacing w:line="440" w:lineRule="exact"/>
              <w:jc w:val="center"/>
              <w:rPr>
                <w:rFonts w:ascii="宋体" w:hAnsi="宋体"/>
                <w:szCs w:val="21"/>
              </w:rPr>
            </w:pPr>
            <w:r>
              <w:rPr>
                <w:rFonts w:hint="eastAsia" w:ascii="宋体" w:hAnsi="宋体"/>
                <w:szCs w:val="21"/>
              </w:rPr>
              <w:t>院级</w:t>
            </w:r>
          </w:p>
        </w:tc>
        <w:tc>
          <w:tcPr>
            <w:tcW w:w="1184" w:type="dxa"/>
            <w:vAlign w:val="center"/>
          </w:tcPr>
          <w:p>
            <w:pPr>
              <w:spacing w:line="440" w:lineRule="exact"/>
              <w:jc w:val="center"/>
              <w:rPr>
                <w:rFonts w:ascii="宋体" w:hAnsi="宋体"/>
                <w:szCs w:val="21"/>
              </w:rPr>
            </w:pPr>
            <w:r>
              <w:rPr>
                <w:rFonts w:hint="eastAsia" w:ascii="宋体" w:hAnsi="宋体"/>
                <w:szCs w:val="21"/>
              </w:rPr>
              <w:t>苗海霞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 w:type="dxa"/>
            <w:vAlign w:val="center"/>
          </w:tcPr>
          <w:p>
            <w:pPr>
              <w:spacing w:line="440" w:lineRule="exact"/>
              <w:jc w:val="center"/>
              <w:rPr>
                <w:rFonts w:ascii="宋体" w:hAnsi="宋体"/>
                <w:szCs w:val="21"/>
              </w:rPr>
            </w:pPr>
            <w:r>
              <w:rPr>
                <w:rFonts w:hint="eastAsia" w:ascii="宋体" w:hAnsi="宋体"/>
                <w:szCs w:val="21"/>
              </w:rPr>
              <w:t>4</w:t>
            </w:r>
          </w:p>
        </w:tc>
        <w:tc>
          <w:tcPr>
            <w:tcW w:w="5129" w:type="dxa"/>
            <w:vAlign w:val="center"/>
          </w:tcPr>
          <w:p>
            <w:pPr>
              <w:spacing w:line="440" w:lineRule="exact"/>
              <w:jc w:val="center"/>
              <w:rPr>
                <w:rFonts w:ascii="宋体" w:hAnsi="宋体"/>
                <w:szCs w:val="21"/>
              </w:rPr>
            </w:pPr>
            <w:r>
              <w:rPr>
                <w:rFonts w:hint="eastAsia" w:ascii="宋体" w:hAnsi="宋体" w:cs="宋体"/>
                <w:color w:val="000000"/>
                <w:kern w:val="0"/>
                <w:sz w:val="22"/>
                <w:szCs w:val="22"/>
              </w:rPr>
              <w:t>高校图书馆与公共图书馆合作行动研究_以晋城市图书馆建设开放为例</w:t>
            </w:r>
          </w:p>
        </w:tc>
        <w:tc>
          <w:tcPr>
            <w:tcW w:w="807" w:type="dxa"/>
            <w:vAlign w:val="center"/>
          </w:tcPr>
          <w:p>
            <w:pPr>
              <w:spacing w:line="440" w:lineRule="exact"/>
              <w:jc w:val="center"/>
              <w:rPr>
                <w:rFonts w:ascii="宋体" w:hAnsi="宋体"/>
                <w:szCs w:val="21"/>
              </w:rPr>
            </w:pPr>
            <w:r>
              <w:rPr>
                <w:rFonts w:hint="eastAsia" w:ascii="宋体" w:hAnsi="宋体"/>
                <w:szCs w:val="21"/>
              </w:rPr>
              <w:t>2015</w:t>
            </w:r>
          </w:p>
        </w:tc>
        <w:tc>
          <w:tcPr>
            <w:tcW w:w="914" w:type="dxa"/>
            <w:vAlign w:val="center"/>
          </w:tcPr>
          <w:p>
            <w:pPr>
              <w:spacing w:line="440" w:lineRule="exact"/>
              <w:jc w:val="center"/>
              <w:rPr>
                <w:rFonts w:ascii="宋体" w:hAnsi="宋体"/>
                <w:szCs w:val="21"/>
              </w:rPr>
            </w:pPr>
            <w:r>
              <w:rPr>
                <w:rFonts w:hint="eastAsia" w:ascii="宋体" w:hAnsi="宋体"/>
                <w:szCs w:val="21"/>
              </w:rPr>
              <w:t>院级</w:t>
            </w:r>
          </w:p>
        </w:tc>
        <w:tc>
          <w:tcPr>
            <w:tcW w:w="1184" w:type="dxa"/>
            <w:vAlign w:val="center"/>
          </w:tcPr>
          <w:p>
            <w:pPr>
              <w:spacing w:line="440" w:lineRule="exact"/>
              <w:jc w:val="center"/>
              <w:rPr>
                <w:rFonts w:ascii="宋体" w:hAnsi="宋体"/>
                <w:szCs w:val="21"/>
              </w:rPr>
            </w:pPr>
            <w:r>
              <w:rPr>
                <w:rFonts w:hint="eastAsia" w:ascii="宋体" w:hAnsi="宋体"/>
                <w:szCs w:val="21"/>
              </w:rPr>
              <w:t>耿长青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 w:type="dxa"/>
            <w:vAlign w:val="center"/>
          </w:tcPr>
          <w:p>
            <w:pPr>
              <w:spacing w:line="440" w:lineRule="exact"/>
              <w:jc w:val="center"/>
              <w:rPr>
                <w:rFonts w:ascii="宋体" w:hAnsi="宋体"/>
                <w:szCs w:val="21"/>
              </w:rPr>
            </w:pPr>
            <w:r>
              <w:rPr>
                <w:rFonts w:hint="eastAsia" w:ascii="宋体" w:hAnsi="宋体"/>
                <w:szCs w:val="21"/>
              </w:rPr>
              <w:t>5</w:t>
            </w:r>
          </w:p>
        </w:tc>
        <w:tc>
          <w:tcPr>
            <w:tcW w:w="5129" w:type="dxa"/>
            <w:vAlign w:val="center"/>
          </w:tcPr>
          <w:p>
            <w:pPr>
              <w:spacing w:line="440" w:lineRule="exact"/>
              <w:jc w:val="center"/>
              <w:rPr>
                <w:rFonts w:ascii="宋体" w:hAnsi="宋体"/>
                <w:szCs w:val="21"/>
              </w:rPr>
            </w:pPr>
            <w:r>
              <w:rPr>
                <w:rFonts w:hint="eastAsia" w:ascii="宋体" w:hAnsi="宋体" w:cs="宋体"/>
                <w:color w:val="000000"/>
                <w:kern w:val="0"/>
                <w:sz w:val="22"/>
                <w:szCs w:val="22"/>
              </w:rPr>
              <w:t>酮肟与过渡金属构筑氮杂金属冠醚的合成、晶体结构及性质研究</w:t>
            </w:r>
          </w:p>
        </w:tc>
        <w:tc>
          <w:tcPr>
            <w:tcW w:w="807" w:type="dxa"/>
            <w:vAlign w:val="center"/>
          </w:tcPr>
          <w:p>
            <w:pPr>
              <w:spacing w:line="440" w:lineRule="exact"/>
              <w:jc w:val="center"/>
              <w:rPr>
                <w:rFonts w:ascii="宋体" w:hAnsi="宋体"/>
                <w:szCs w:val="21"/>
              </w:rPr>
            </w:pPr>
            <w:r>
              <w:rPr>
                <w:rFonts w:hint="eastAsia" w:ascii="宋体" w:hAnsi="宋体"/>
                <w:szCs w:val="21"/>
              </w:rPr>
              <w:t>2018</w:t>
            </w:r>
          </w:p>
        </w:tc>
        <w:tc>
          <w:tcPr>
            <w:tcW w:w="914" w:type="dxa"/>
            <w:vAlign w:val="center"/>
          </w:tcPr>
          <w:p>
            <w:pPr>
              <w:spacing w:line="440" w:lineRule="exact"/>
              <w:jc w:val="center"/>
              <w:rPr>
                <w:rFonts w:ascii="宋体" w:hAnsi="宋体"/>
                <w:szCs w:val="21"/>
              </w:rPr>
            </w:pPr>
            <w:r>
              <w:rPr>
                <w:rFonts w:hint="eastAsia" w:ascii="宋体" w:hAnsi="宋体"/>
                <w:szCs w:val="21"/>
              </w:rPr>
              <w:t>院级</w:t>
            </w:r>
          </w:p>
        </w:tc>
        <w:tc>
          <w:tcPr>
            <w:tcW w:w="1184" w:type="dxa"/>
            <w:vAlign w:val="center"/>
          </w:tcPr>
          <w:p>
            <w:pPr>
              <w:spacing w:line="440" w:lineRule="exact"/>
              <w:jc w:val="center"/>
              <w:rPr>
                <w:rFonts w:ascii="宋体" w:hAnsi="宋体"/>
                <w:szCs w:val="21"/>
              </w:rPr>
            </w:pPr>
            <w:r>
              <w:rPr>
                <w:rFonts w:hint="eastAsia" w:ascii="宋体" w:hAnsi="宋体" w:cs="宋体"/>
                <w:kern w:val="0"/>
                <w:szCs w:val="21"/>
              </w:rPr>
              <w:t>牛学丽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8" w:type="dxa"/>
            <w:vAlign w:val="center"/>
          </w:tcPr>
          <w:p>
            <w:pPr>
              <w:spacing w:line="440" w:lineRule="exact"/>
              <w:jc w:val="center"/>
              <w:rPr>
                <w:rFonts w:ascii="宋体" w:hAnsi="宋体"/>
                <w:szCs w:val="21"/>
              </w:rPr>
            </w:pPr>
            <w:r>
              <w:rPr>
                <w:rFonts w:hint="eastAsia" w:ascii="宋体" w:hAnsi="宋体"/>
                <w:szCs w:val="21"/>
              </w:rPr>
              <w:t>6</w:t>
            </w:r>
          </w:p>
        </w:tc>
        <w:tc>
          <w:tcPr>
            <w:tcW w:w="5129" w:type="dxa"/>
            <w:vAlign w:val="center"/>
          </w:tcPr>
          <w:p>
            <w:pPr>
              <w:spacing w:line="440" w:lineRule="exact"/>
              <w:jc w:val="center"/>
              <w:rPr>
                <w:rFonts w:ascii="宋体" w:hAnsi="宋体"/>
                <w:szCs w:val="21"/>
              </w:rPr>
            </w:pPr>
            <w:r>
              <w:rPr>
                <w:rFonts w:hint="eastAsia" w:ascii="宋体" w:hAnsi="宋体" w:cs="宋体"/>
                <w:color w:val="000000"/>
                <w:kern w:val="0"/>
                <w:sz w:val="22"/>
                <w:szCs w:val="22"/>
              </w:rPr>
              <w:t>项目化教学法在工业分析检验专业基础课程中的应用</w:t>
            </w:r>
          </w:p>
        </w:tc>
        <w:tc>
          <w:tcPr>
            <w:tcW w:w="807" w:type="dxa"/>
            <w:vAlign w:val="center"/>
          </w:tcPr>
          <w:p>
            <w:pPr>
              <w:spacing w:line="440" w:lineRule="exact"/>
              <w:jc w:val="center"/>
              <w:rPr>
                <w:rFonts w:ascii="宋体" w:hAnsi="宋体"/>
                <w:szCs w:val="21"/>
              </w:rPr>
            </w:pPr>
            <w:r>
              <w:rPr>
                <w:rFonts w:hint="eastAsia" w:ascii="宋体" w:hAnsi="宋体"/>
                <w:szCs w:val="21"/>
              </w:rPr>
              <w:t>2015</w:t>
            </w:r>
          </w:p>
        </w:tc>
        <w:tc>
          <w:tcPr>
            <w:tcW w:w="914" w:type="dxa"/>
            <w:vAlign w:val="center"/>
          </w:tcPr>
          <w:p>
            <w:pPr>
              <w:spacing w:line="440" w:lineRule="exact"/>
              <w:jc w:val="center"/>
              <w:rPr>
                <w:rFonts w:ascii="宋体" w:hAnsi="宋体"/>
                <w:szCs w:val="21"/>
              </w:rPr>
            </w:pPr>
            <w:r>
              <w:rPr>
                <w:rFonts w:hint="eastAsia" w:ascii="宋体" w:hAnsi="宋体"/>
                <w:szCs w:val="21"/>
              </w:rPr>
              <w:t>院级</w:t>
            </w:r>
          </w:p>
        </w:tc>
        <w:tc>
          <w:tcPr>
            <w:tcW w:w="1184" w:type="dxa"/>
            <w:vAlign w:val="center"/>
          </w:tcPr>
          <w:p>
            <w:pPr>
              <w:spacing w:line="440" w:lineRule="exact"/>
              <w:jc w:val="center"/>
              <w:rPr>
                <w:rFonts w:ascii="宋体" w:hAnsi="宋体"/>
                <w:szCs w:val="21"/>
              </w:rPr>
            </w:pPr>
            <w:r>
              <w:rPr>
                <w:rFonts w:hint="eastAsia" w:ascii="宋体" w:hAnsi="宋体" w:cs="宋体"/>
                <w:kern w:val="0"/>
                <w:szCs w:val="21"/>
              </w:rPr>
              <w:t>张丽娜</w:t>
            </w:r>
          </w:p>
        </w:tc>
      </w:tr>
    </w:tbl>
    <w:p>
      <w:pPr>
        <w:spacing w:line="360" w:lineRule="auto"/>
        <w:rPr>
          <w:rFonts w:hAnsi="宋体"/>
          <w:bCs/>
          <w:sz w:val="24"/>
        </w:rPr>
      </w:pPr>
    </w:p>
    <w:p>
      <w:pPr>
        <w:spacing w:line="360" w:lineRule="auto"/>
        <w:jc w:val="center"/>
        <w:rPr>
          <w:rFonts w:hAnsi="宋体"/>
          <w:bCs/>
          <w:sz w:val="24"/>
        </w:rPr>
      </w:pPr>
      <w:r>
        <w:rPr>
          <w:rFonts w:hAnsi="宋体"/>
          <w:bCs/>
          <w:sz w:val="24"/>
        </w:rPr>
        <w:t>表</w:t>
      </w:r>
      <w:r>
        <w:rPr>
          <w:bCs/>
          <w:sz w:val="24"/>
        </w:rPr>
        <w:t xml:space="preserve">5.5 </w:t>
      </w:r>
      <w:r>
        <w:rPr>
          <w:rFonts w:hAnsi="宋体"/>
          <w:bCs/>
          <w:sz w:val="24"/>
        </w:rPr>
        <w:t>应用化工技术专业教师发表论文情况一览表</w:t>
      </w:r>
    </w:p>
    <w:p>
      <w:pPr>
        <w:spacing w:line="360" w:lineRule="auto"/>
        <w:jc w:val="center"/>
        <w:rPr>
          <w:rFonts w:hAnsi="宋体"/>
          <w:bCs/>
          <w:sz w:val="24"/>
        </w:rPr>
      </w:pPr>
    </w:p>
    <w:tbl>
      <w:tblPr>
        <w:tblStyle w:val="1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
        <w:gridCol w:w="4720"/>
        <w:gridCol w:w="822"/>
        <w:gridCol w:w="1487"/>
        <w:gridCol w:w="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 w:type="dxa"/>
            <w:vAlign w:val="center"/>
          </w:tcPr>
          <w:p>
            <w:pPr>
              <w:spacing w:line="440" w:lineRule="exact"/>
              <w:jc w:val="center"/>
              <w:rPr>
                <w:rFonts w:ascii="宋体" w:hAnsi="宋体"/>
                <w:b/>
                <w:bCs/>
                <w:color w:val="000000" w:themeColor="text1"/>
                <w:szCs w:val="21"/>
              </w:rPr>
            </w:pPr>
            <w:r>
              <w:rPr>
                <w:rFonts w:hint="eastAsia" w:ascii="宋体" w:hAnsi="宋体"/>
                <w:b/>
                <w:bCs/>
                <w:color w:val="000000" w:themeColor="text1"/>
                <w:szCs w:val="21"/>
              </w:rPr>
              <w:t>序号</w:t>
            </w:r>
          </w:p>
        </w:tc>
        <w:tc>
          <w:tcPr>
            <w:tcW w:w="4720" w:type="dxa"/>
            <w:vAlign w:val="center"/>
          </w:tcPr>
          <w:p>
            <w:pPr>
              <w:spacing w:line="440" w:lineRule="exact"/>
              <w:jc w:val="center"/>
              <w:rPr>
                <w:rFonts w:ascii="宋体" w:hAnsi="宋体"/>
                <w:b/>
                <w:bCs/>
                <w:color w:val="000000" w:themeColor="text1"/>
                <w:szCs w:val="21"/>
              </w:rPr>
            </w:pPr>
            <w:r>
              <w:rPr>
                <w:rFonts w:hint="eastAsia" w:ascii="宋体" w:hAnsi="宋体"/>
                <w:b/>
                <w:bCs/>
                <w:color w:val="000000" w:themeColor="text1"/>
                <w:szCs w:val="21"/>
              </w:rPr>
              <w:t>论文题目</w:t>
            </w:r>
          </w:p>
        </w:tc>
        <w:tc>
          <w:tcPr>
            <w:tcW w:w="822" w:type="dxa"/>
            <w:vAlign w:val="center"/>
          </w:tcPr>
          <w:p>
            <w:pPr>
              <w:spacing w:line="440" w:lineRule="exact"/>
              <w:jc w:val="center"/>
              <w:rPr>
                <w:rFonts w:ascii="宋体" w:hAnsi="宋体"/>
                <w:b/>
                <w:bCs/>
                <w:color w:val="000000" w:themeColor="text1"/>
                <w:szCs w:val="21"/>
              </w:rPr>
            </w:pPr>
            <w:r>
              <w:rPr>
                <w:rFonts w:hint="eastAsia" w:ascii="宋体" w:hAnsi="宋体"/>
                <w:b/>
                <w:bCs/>
                <w:color w:val="000000" w:themeColor="text1"/>
                <w:szCs w:val="21"/>
              </w:rPr>
              <w:t>发表</w:t>
            </w:r>
          </w:p>
          <w:p>
            <w:pPr>
              <w:spacing w:line="440" w:lineRule="exact"/>
              <w:jc w:val="center"/>
              <w:rPr>
                <w:rFonts w:ascii="宋体" w:hAnsi="宋体"/>
                <w:b/>
                <w:bCs/>
                <w:color w:val="000000" w:themeColor="text1"/>
                <w:szCs w:val="21"/>
              </w:rPr>
            </w:pPr>
            <w:r>
              <w:rPr>
                <w:rFonts w:hint="eastAsia" w:ascii="宋体" w:hAnsi="宋体"/>
                <w:b/>
                <w:bCs/>
                <w:color w:val="000000" w:themeColor="text1"/>
                <w:szCs w:val="21"/>
              </w:rPr>
              <w:t>时间</w:t>
            </w:r>
          </w:p>
        </w:tc>
        <w:tc>
          <w:tcPr>
            <w:tcW w:w="1487" w:type="dxa"/>
            <w:vAlign w:val="center"/>
          </w:tcPr>
          <w:p>
            <w:pPr>
              <w:spacing w:line="440" w:lineRule="exact"/>
              <w:jc w:val="center"/>
              <w:rPr>
                <w:rFonts w:ascii="宋体" w:hAnsi="宋体"/>
                <w:b/>
                <w:bCs/>
                <w:color w:val="000000" w:themeColor="text1"/>
                <w:szCs w:val="21"/>
              </w:rPr>
            </w:pPr>
            <w:r>
              <w:rPr>
                <w:rFonts w:hint="eastAsia" w:ascii="宋体" w:hAnsi="宋体"/>
                <w:b/>
                <w:bCs/>
                <w:color w:val="000000" w:themeColor="text1"/>
                <w:szCs w:val="21"/>
              </w:rPr>
              <w:t>刊物名称</w:t>
            </w:r>
          </w:p>
        </w:tc>
        <w:tc>
          <w:tcPr>
            <w:tcW w:w="875" w:type="dxa"/>
            <w:vAlign w:val="center"/>
          </w:tcPr>
          <w:p>
            <w:pPr>
              <w:spacing w:line="440" w:lineRule="exact"/>
              <w:jc w:val="center"/>
              <w:rPr>
                <w:rFonts w:ascii="宋体" w:hAnsi="宋体"/>
                <w:b/>
                <w:bCs/>
                <w:color w:val="000000" w:themeColor="text1"/>
                <w:szCs w:val="21"/>
              </w:rPr>
            </w:pPr>
            <w:r>
              <w:rPr>
                <w:rFonts w:hint="eastAsia" w:ascii="宋体" w:hAnsi="宋体"/>
                <w:b/>
                <w:bCs/>
                <w:color w:val="000000" w:themeColor="text1"/>
                <w:szCs w:val="21"/>
              </w:rPr>
              <w:t>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 w:type="dxa"/>
            <w:vAlign w:val="center"/>
          </w:tcPr>
          <w:p>
            <w:pPr>
              <w:spacing w:line="440" w:lineRule="exact"/>
              <w:jc w:val="center"/>
              <w:rPr>
                <w:szCs w:val="21"/>
              </w:rPr>
            </w:pPr>
            <w:r>
              <w:rPr>
                <w:szCs w:val="21"/>
              </w:rPr>
              <w:t>1</w:t>
            </w:r>
          </w:p>
        </w:tc>
        <w:tc>
          <w:tcPr>
            <w:tcW w:w="4720" w:type="dxa"/>
            <w:vAlign w:val="center"/>
          </w:tcPr>
          <w:p>
            <w:pPr>
              <w:jc w:val="center"/>
              <w:rPr>
                <w:rFonts w:ascii="宋体" w:hAnsi="宋体" w:cs="宋体"/>
                <w:color w:val="000000"/>
                <w:sz w:val="22"/>
                <w:szCs w:val="22"/>
              </w:rPr>
            </w:pPr>
            <w:r>
              <w:rPr>
                <w:rFonts w:hint="eastAsia"/>
                <w:color w:val="000000"/>
                <w:sz w:val="22"/>
                <w:szCs w:val="22"/>
              </w:rPr>
              <w:t>护肤品的部分质量指标检测及选用建议</w:t>
            </w:r>
          </w:p>
        </w:tc>
        <w:tc>
          <w:tcPr>
            <w:tcW w:w="822" w:type="dxa"/>
            <w:vAlign w:val="center"/>
          </w:tcPr>
          <w:p>
            <w:pPr>
              <w:spacing w:line="440" w:lineRule="exact"/>
              <w:jc w:val="center"/>
              <w:rPr>
                <w:szCs w:val="21"/>
              </w:rPr>
            </w:pPr>
            <w:r>
              <w:rPr>
                <w:szCs w:val="21"/>
              </w:rPr>
              <w:t>20</w:t>
            </w:r>
            <w:r>
              <w:rPr>
                <w:rFonts w:hint="eastAsia"/>
                <w:szCs w:val="21"/>
              </w:rPr>
              <w:t>18</w:t>
            </w:r>
          </w:p>
        </w:tc>
        <w:tc>
          <w:tcPr>
            <w:tcW w:w="1487" w:type="dxa"/>
            <w:vAlign w:val="center"/>
          </w:tcPr>
          <w:p>
            <w:pPr>
              <w:spacing w:line="440" w:lineRule="exact"/>
              <w:jc w:val="center"/>
              <w:rPr>
                <w:szCs w:val="21"/>
              </w:rPr>
            </w:pPr>
            <w:r>
              <w:rPr>
                <w:rFonts w:hAnsi="宋体"/>
                <w:szCs w:val="21"/>
              </w:rPr>
              <w:t>晋城职业技术学院学报</w:t>
            </w:r>
          </w:p>
        </w:tc>
        <w:tc>
          <w:tcPr>
            <w:tcW w:w="875" w:type="dxa"/>
            <w:vAlign w:val="center"/>
          </w:tcPr>
          <w:p>
            <w:pPr>
              <w:spacing w:line="440" w:lineRule="exact"/>
              <w:jc w:val="center"/>
              <w:rPr>
                <w:szCs w:val="21"/>
              </w:rPr>
            </w:pPr>
            <w:r>
              <w:rPr>
                <w:rFonts w:hint="eastAsia" w:hAnsi="宋体"/>
                <w:szCs w:val="21"/>
              </w:rPr>
              <w:t>陈香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 w:type="dxa"/>
            <w:vAlign w:val="center"/>
          </w:tcPr>
          <w:p>
            <w:pPr>
              <w:spacing w:line="440" w:lineRule="exact"/>
              <w:jc w:val="center"/>
              <w:rPr>
                <w:szCs w:val="21"/>
              </w:rPr>
            </w:pPr>
            <w:r>
              <w:rPr>
                <w:szCs w:val="21"/>
              </w:rPr>
              <w:t>2</w:t>
            </w:r>
          </w:p>
        </w:tc>
        <w:tc>
          <w:tcPr>
            <w:tcW w:w="4720" w:type="dxa"/>
            <w:vAlign w:val="center"/>
          </w:tcPr>
          <w:p>
            <w:pPr>
              <w:jc w:val="center"/>
              <w:rPr>
                <w:rFonts w:ascii="宋体" w:hAnsi="宋体" w:cs="宋体"/>
                <w:color w:val="000000"/>
                <w:sz w:val="22"/>
                <w:szCs w:val="22"/>
              </w:rPr>
            </w:pPr>
            <w:r>
              <w:rPr>
                <w:rFonts w:hint="eastAsia"/>
                <w:color w:val="000000"/>
                <w:sz w:val="22"/>
                <w:szCs w:val="22"/>
              </w:rPr>
              <w:t>Prediction of the Permeability-reducing Effect of Cement Infiltration into Sandy Soils</w:t>
            </w:r>
          </w:p>
        </w:tc>
        <w:tc>
          <w:tcPr>
            <w:tcW w:w="822" w:type="dxa"/>
            <w:vAlign w:val="center"/>
          </w:tcPr>
          <w:p>
            <w:pPr>
              <w:spacing w:line="440" w:lineRule="exact"/>
              <w:jc w:val="center"/>
              <w:rPr>
                <w:szCs w:val="21"/>
              </w:rPr>
            </w:pPr>
            <w:r>
              <w:rPr>
                <w:szCs w:val="21"/>
              </w:rPr>
              <w:t>20</w:t>
            </w:r>
            <w:r>
              <w:rPr>
                <w:rFonts w:hint="eastAsia"/>
                <w:szCs w:val="21"/>
              </w:rPr>
              <w:t>17</w:t>
            </w:r>
          </w:p>
        </w:tc>
        <w:tc>
          <w:tcPr>
            <w:tcW w:w="1487" w:type="dxa"/>
            <w:vAlign w:val="center"/>
          </w:tcPr>
          <w:p>
            <w:pPr>
              <w:jc w:val="center"/>
              <w:rPr>
                <w:rFonts w:ascii="宋体" w:hAnsi="宋体" w:cs="宋体"/>
                <w:color w:val="000000"/>
                <w:sz w:val="20"/>
                <w:szCs w:val="20"/>
              </w:rPr>
            </w:pPr>
            <w:r>
              <w:rPr>
                <w:rFonts w:hint="eastAsia"/>
                <w:color w:val="000000"/>
                <w:sz w:val="20"/>
                <w:szCs w:val="20"/>
              </w:rPr>
              <w:t>Water Science and Technology:Water Supply</w:t>
            </w:r>
          </w:p>
        </w:tc>
        <w:tc>
          <w:tcPr>
            <w:tcW w:w="875" w:type="dxa"/>
            <w:vAlign w:val="center"/>
          </w:tcPr>
          <w:p>
            <w:pPr>
              <w:spacing w:line="440" w:lineRule="exact"/>
              <w:jc w:val="center"/>
              <w:rPr>
                <w:szCs w:val="21"/>
              </w:rPr>
            </w:pPr>
            <w:r>
              <w:rPr>
                <w:rFonts w:hint="eastAsia" w:hAnsi="宋体"/>
                <w:szCs w:val="21"/>
              </w:rPr>
              <w:t>吉晋兰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 w:type="dxa"/>
            <w:vAlign w:val="center"/>
          </w:tcPr>
          <w:p>
            <w:pPr>
              <w:spacing w:line="440" w:lineRule="exact"/>
              <w:jc w:val="center"/>
              <w:rPr>
                <w:szCs w:val="21"/>
              </w:rPr>
            </w:pPr>
            <w:r>
              <w:rPr>
                <w:szCs w:val="21"/>
              </w:rPr>
              <w:t>3</w:t>
            </w:r>
          </w:p>
        </w:tc>
        <w:tc>
          <w:tcPr>
            <w:tcW w:w="4720" w:type="dxa"/>
            <w:vAlign w:val="center"/>
          </w:tcPr>
          <w:p>
            <w:pPr>
              <w:spacing w:line="440" w:lineRule="exact"/>
              <w:jc w:val="center"/>
              <w:rPr>
                <w:szCs w:val="21"/>
              </w:rPr>
            </w:pPr>
          </w:p>
          <w:p>
            <w:pPr>
              <w:jc w:val="center"/>
              <w:rPr>
                <w:rFonts w:ascii="宋体" w:hAnsi="宋体" w:cs="宋体"/>
                <w:color w:val="000000"/>
                <w:sz w:val="22"/>
                <w:szCs w:val="22"/>
              </w:rPr>
            </w:pPr>
            <w:r>
              <w:rPr>
                <w:rFonts w:hint="eastAsia"/>
                <w:color w:val="000000"/>
                <w:sz w:val="22"/>
                <w:szCs w:val="22"/>
              </w:rPr>
              <w:t>Analysis of the Main Factors Influencing the Permeability-Reducing Effect of Cement Infiltration in a River Sediment Matrix</w:t>
            </w:r>
          </w:p>
          <w:p>
            <w:pPr>
              <w:spacing w:line="440" w:lineRule="exact"/>
              <w:jc w:val="center"/>
              <w:rPr>
                <w:szCs w:val="21"/>
              </w:rPr>
            </w:pPr>
          </w:p>
        </w:tc>
        <w:tc>
          <w:tcPr>
            <w:tcW w:w="822" w:type="dxa"/>
            <w:vAlign w:val="center"/>
          </w:tcPr>
          <w:p>
            <w:pPr>
              <w:spacing w:line="440" w:lineRule="exact"/>
              <w:jc w:val="center"/>
              <w:rPr>
                <w:szCs w:val="21"/>
              </w:rPr>
            </w:pPr>
            <w:r>
              <w:rPr>
                <w:szCs w:val="21"/>
              </w:rPr>
              <w:t>20</w:t>
            </w:r>
            <w:r>
              <w:rPr>
                <w:rFonts w:hint="eastAsia"/>
                <w:szCs w:val="21"/>
              </w:rPr>
              <w:t>17</w:t>
            </w:r>
          </w:p>
        </w:tc>
        <w:tc>
          <w:tcPr>
            <w:tcW w:w="1487" w:type="dxa"/>
            <w:vAlign w:val="center"/>
          </w:tcPr>
          <w:p>
            <w:pPr>
              <w:jc w:val="center"/>
              <w:rPr>
                <w:rFonts w:ascii="宋体" w:hAnsi="宋体" w:cs="宋体"/>
                <w:color w:val="000000"/>
                <w:sz w:val="22"/>
                <w:szCs w:val="22"/>
              </w:rPr>
            </w:pPr>
            <w:r>
              <w:rPr>
                <w:rFonts w:hint="eastAsia"/>
                <w:color w:val="000000"/>
                <w:sz w:val="22"/>
                <w:szCs w:val="22"/>
              </w:rPr>
              <w:t>KSCE Journal of Civil Engineering</w:t>
            </w:r>
          </w:p>
        </w:tc>
        <w:tc>
          <w:tcPr>
            <w:tcW w:w="875" w:type="dxa"/>
            <w:vAlign w:val="center"/>
          </w:tcPr>
          <w:p>
            <w:pPr>
              <w:spacing w:line="440" w:lineRule="exact"/>
              <w:jc w:val="center"/>
              <w:rPr>
                <w:szCs w:val="21"/>
              </w:rPr>
            </w:pPr>
            <w:r>
              <w:rPr>
                <w:rFonts w:hint="eastAsia" w:hAnsi="宋体"/>
                <w:szCs w:val="21"/>
              </w:rPr>
              <w:t>吉晋兰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 w:type="dxa"/>
            <w:vAlign w:val="center"/>
          </w:tcPr>
          <w:p>
            <w:pPr>
              <w:spacing w:line="440" w:lineRule="exact"/>
              <w:jc w:val="center"/>
              <w:rPr>
                <w:szCs w:val="21"/>
              </w:rPr>
            </w:pPr>
            <w:r>
              <w:rPr>
                <w:szCs w:val="21"/>
              </w:rPr>
              <w:t>4</w:t>
            </w:r>
          </w:p>
        </w:tc>
        <w:tc>
          <w:tcPr>
            <w:tcW w:w="4720" w:type="dxa"/>
            <w:vAlign w:val="center"/>
          </w:tcPr>
          <w:p>
            <w:pPr>
              <w:jc w:val="center"/>
              <w:rPr>
                <w:rFonts w:ascii="宋体" w:hAnsi="宋体" w:cs="宋体"/>
                <w:color w:val="000000"/>
                <w:sz w:val="22"/>
                <w:szCs w:val="22"/>
              </w:rPr>
            </w:pPr>
            <w:r>
              <w:rPr>
                <w:rFonts w:hint="eastAsia"/>
                <w:color w:val="000000"/>
                <w:sz w:val="22"/>
                <w:szCs w:val="22"/>
              </w:rPr>
              <w:t>入渗水质对水泥潜入沙性土壤的阻渗效果影响分析</w:t>
            </w:r>
          </w:p>
        </w:tc>
        <w:tc>
          <w:tcPr>
            <w:tcW w:w="822" w:type="dxa"/>
            <w:vAlign w:val="center"/>
          </w:tcPr>
          <w:p>
            <w:pPr>
              <w:spacing w:line="440" w:lineRule="exact"/>
              <w:jc w:val="center"/>
              <w:rPr>
                <w:szCs w:val="21"/>
              </w:rPr>
            </w:pPr>
            <w:r>
              <w:rPr>
                <w:szCs w:val="21"/>
              </w:rPr>
              <w:t>20</w:t>
            </w:r>
            <w:r>
              <w:rPr>
                <w:rFonts w:hint="eastAsia"/>
                <w:szCs w:val="21"/>
              </w:rPr>
              <w:t>16</w:t>
            </w:r>
          </w:p>
        </w:tc>
        <w:tc>
          <w:tcPr>
            <w:tcW w:w="1487" w:type="dxa"/>
            <w:vAlign w:val="center"/>
          </w:tcPr>
          <w:p>
            <w:pPr>
              <w:spacing w:line="440" w:lineRule="exact"/>
              <w:jc w:val="center"/>
              <w:rPr>
                <w:rFonts w:hAnsi="宋体"/>
                <w:szCs w:val="21"/>
              </w:rPr>
            </w:pPr>
          </w:p>
          <w:p>
            <w:pPr>
              <w:jc w:val="center"/>
              <w:rPr>
                <w:rFonts w:ascii="宋体" w:hAnsi="宋体" w:cs="宋体"/>
                <w:color w:val="000000"/>
                <w:sz w:val="22"/>
                <w:szCs w:val="22"/>
              </w:rPr>
            </w:pPr>
            <w:r>
              <w:rPr>
                <w:rFonts w:hint="eastAsia"/>
                <w:color w:val="000000"/>
                <w:sz w:val="22"/>
                <w:szCs w:val="22"/>
              </w:rPr>
              <w:t>灌溉排水学报</w:t>
            </w:r>
          </w:p>
        </w:tc>
        <w:tc>
          <w:tcPr>
            <w:tcW w:w="875" w:type="dxa"/>
            <w:vAlign w:val="center"/>
          </w:tcPr>
          <w:p>
            <w:pPr>
              <w:spacing w:line="440" w:lineRule="exact"/>
              <w:jc w:val="center"/>
              <w:rPr>
                <w:szCs w:val="21"/>
              </w:rPr>
            </w:pPr>
            <w:r>
              <w:rPr>
                <w:rFonts w:hint="eastAsia" w:hAnsi="宋体"/>
                <w:szCs w:val="21"/>
              </w:rPr>
              <w:t>吉晋兰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 w:type="dxa"/>
            <w:vAlign w:val="center"/>
          </w:tcPr>
          <w:p>
            <w:pPr>
              <w:spacing w:line="440" w:lineRule="exact"/>
              <w:jc w:val="center"/>
              <w:rPr>
                <w:szCs w:val="21"/>
              </w:rPr>
            </w:pPr>
            <w:r>
              <w:rPr>
                <w:szCs w:val="21"/>
              </w:rPr>
              <w:t>5</w:t>
            </w:r>
          </w:p>
        </w:tc>
        <w:tc>
          <w:tcPr>
            <w:tcW w:w="4720" w:type="dxa"/>
            <w:vAlign w:val="center"/>
          </w:tcPr>
          <w:p>
            <w:pPr>
              <w:jc w:val="center"/>
              <w:rPr>
                <w:rFonts w:ascii="宋体" w:hAnsi="宋体" w:cs="宋体"/>
                <w:color w:val="000000"/>
                <w:sz w:val="22"/>
                <w:szCs w:val="22"/>
              </w:rPr>
            </w:pPr>
            <w:r>
              <w:rPr>
                <w:rFonts w:hint="eastAsia"/>
                <w:color w:val="000000"/>
                <w:sz w:val="22"/>
                <w:szCs w:val="22"/>
              </w:rPr>
              <w:t>A practicable mesostructured MFI zeolite catalyst for large molecule reactions</w:t>
            </w:r>
          </w:p>
        </w:tc>
        <w:tc>
          <w:tcPr>
            <w:tcW w:w="822" w:type="dxa"/>
            <w:vAlign w:val="center"/>
          </w:tcPr>
          <w:p>
            <w:pPr>
              <w:spacing w:line="440" w:lineRule="exact"/>
              <w:jc w:val="center"/>
              <w:rPr>
                <w:szCs w:val="21"/>
              </w:rPr>
            </w:pPr>
            <w:r>
              <w:rPr>
                <w:szCs w:val="21"/>
              </w:rPr>
              <w:t>20</w:t>
            </w:r>
            <w:r>
              <w:rPr>
                <w:rFonts w:hint="eastAsia"/>
                <w:szCs w:val="21"/>
              </w:rPr>
              <w:t>16</w:t>
            </w:r>
          </w:p>
        </w:tc>
        <w:tc>
          <w:tcPr>
            <w:tcW w:w="1487" w:type="dxa"/>
            <w:vAlign w:val="center"/>
          </w:tcPr>
          <w:p>
            <w:pPr>
              <w:jc w:val="center"/>
              <w:rPr>
                <w:rFonts w:ascii="宋体" w:hAnsi="宋体" w:cs="宋体"/>
                <w:color w:val="000000"/>
                <w:sz w:val="22"/>
                <w:szCs w:val="22"/>
              </w:rPr>
            </w:pPr>
            <w:r>
              <w:rPr>
                <w:rFonts w:hint="eastAsia"/>
                <w:color w:val="000000"/>
                <w:sz w:val="22"/>
                <w:szCs w:val="22"/>
              </w:rPr>
              <w:t>Catalysis Communications</w:t>
            </w:r>
          </w:p>
        </w:tc>
        <w:tc>
          <w:tcPr>
            <w:tcW w:w="875" w:type="dxa"/>
            <w:vAlign w:val="center"/>
          </w:tcPr>
          <w:p>
            <w:pPr>
              <w:spacing w:line="440" w:lineRule="exact"/>
              <w:jc w:val="center"/>
              <w:rPr>
                <w:szCs w:val="21"/>
              </w:rPr>
            </w:pPr>
            <w:r>
              <w:rPr>
                <w:rFonts w:hint="eastAsia" w:hAnsi="宋体"/>
                <w:szCs w:val="21"/>
              </w:rPr>
              <w:t>苗海霞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 w:type="dxa"/>
            <w:vAlign w:val="center"/>
          </w:tcPr>
          <w:p>
            <w:pPr>
              <w:spacing w:line="440" w:lineRule="exact"/>
              <w:jc w:val="center"/>
              <w:rPr>
                <w:szCs w:val="21"/>
              </w:rPr>
            </w:pPr>
            <w:r>
              <w:rPr>
                <w:szCs w:val="21"/>
              </w:rPr>
              <w:t>6</w:t>
            </w:r>
          </w:p>
        </w:tc>
        <w:tc>
          <w:tcPr>
            <w:tcW w:w="4720" w:type="dxa"/>
            <w:vAlign w:val="center"/>
          </w:tcPr>
          <w:p>
            <w:pPr>
              <w:jc w:val="center"/>
              <w:rPr>
                <w:rFonts w:ascii="宋体" w:hAnsi="宋体" w:cs="宋体"/>
                <w:color w:val="000000"/>
                <w:sz w:val="22"/>
                <w:szCs w:val="22"/>
              </w:rPr>
            </w:pPr>
            <w:r>
              <w:rPr>
                <w:rFonts w:hint="eastAsia"/>
                <w:color w:val="000000"/>
                <w:sz w:val="22"/>
                <w:szCs w:val="22"/>
              </w:rPr>
              <w:t>Crystal structure of bis(μ2-3-formyl-5-methoxy-2-oxidobenzoato-k3O,O’:O’)-hexapyridine-dicadmium(II) – pyridine (1/1), C53H47Cd2N7O10.</w:t>
            </w:r>
          </w:p>
        </w:tc>
        <w:tc>
          <w:tcPr>
            <w:tcW w:w="822" w:type="dxa"/>
            <w:vAlign w:val="center"/>
          </w:tcPr>
          <w:p>
            <w:pPr>
              <w:spacing w:line="440" w:lineRule="exact"/>
              <w:jc w:val="center"/>
              <w:rPr>
                <w:szCs w:val="21"/>
              </w:rPr>
            </w:pPr>
            <w:r>
              <w:rPr>
                <w:szCs w:val="21"/>
              </w:rPr>
              <w:t>20</w:t>
            </w:r>
            <w:r>
              <w:rPr>
                <w:rFonts w:hint="eastAsia"/>
                <w:szCs w:val="21"/>
              </w:rPr>
              <w:t>18</w:t>
            </w:r>
          </w:p>
        </w:tc>
        <w:tc>
          <w:tcPr>
            <w:tcW w:w="1487" w:type="dxa"/>
            <w:vAlign w:val="center"/>
          </w:tcPr>
          <w:p>
            <w:pPr>
              <w:jc w:val="center"/>
              <w:rPr>
                <w:rFonts w:ascii="宋体" w:hAnsi="宋体" w:cs="宋体"/>
                <w:color w:val="000000"/>
                <w:sz w:val="22"/>
                <w:szCs w:val="22"/>
              </w:rPr>
            </w:pPr>
            <w:r>
              <w:rPr>
                <w:rFonts w:hint="eastAsia"/>
                <w:color w:val="000000"/>
                <w:sz w:val="22"/>
                <w:szCs w:val="22"/>
              </w:rPr>
              <w:t>Z. Kristallogr. NCS</w:t>
            </w:r>
          </w:p>
        </w:tc>
        <w:tc>
          <w:tcPr>
            <w:tcW w:w="875" w:type="dxa"/>
            <w:vAlign w:val="center"/>
          </w:tcPr>
          <w:p>
            <w:pPr>
              <w:spacing w:line="440" w:lineRule="exact"/>
              <w:jc w:val="center"/>
              <w:rPr>
                <w:szCs w:val="21"/>
              </w:rPr>
            </w:pPr>
            <w:r>
              <w:rPr>
                <w:rFonts w:hint="eastAsia" w:hAnsi="宋体"/>
                <w:szCs w:val="21"/>
              </w:rPr>
              <w:t>牛学丽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 w:type="dxa"/>
            <w:vAlign w:val="center"/>
          </w:tcPr>
          <w:p>
            <w:pPr>
              <w:spacing w:line="440" w:lineRule="exact"/>
              <w:jc w:val="center"/>
              <w:rPr>
                <w:szCs w:val="21"/>
              </w:rPr>
            </w:pPr>
            <w:r>
              <w:rPr>
                <w:szCs w:val="21"/>
              </w:rPr>
              <w:t>7</w:t>
            </w:r>
          </w:p>
        </w:tc>
        <w:tc>
          <w:tcPr>
            <w:tcW w:w="4720" w:type="dxa"/>
            <w:vAlign w:val="center"/>
          </w:tcPr>
          <w:p>
            <w:pPr>
              <w:jc w:val="center"/>
              <w:rPr>
                <w:rFonts w:ascii="宋体" w:hAnsi="宋体" w:cs="宋体"/>
                <w:color w:val="000000"/>
                <w:sz w:val="22"/>
                <w:szCs w:val="22"/>
              </w:rPr>
            </w:pPr>
            <w:r>
              <w:rPr>
                <w:rFonts w:hint="eastAsia"/>
                <w:color w:val="000000"/>
                <w:sz w:val="22"/>
                <w:szCs w:val="22"/>
              </w:rPr>
              <w:t>Crystal structure of tetramethylammonium bis(acetate-k1O)-terakis(μ3-3-((hydroxyimino)methyl)-5-methoxy-2- oxidobenzoate-k5O,O’:O’,N:O”) tetrazinc(II) ¬¬- water(1/2/2), C62H96Zn4N10O28.</w:t>
            </w:r>
          </w:p>
        </w:tc>
        <w:tc>
          <w:tcPr>
            <w:tcW w:w="822" w:type="dxa"/>
            <w:vAlign w:val="center"/>
          </w:tcPr>
          <w:p>
            <w:pPr>
              <w:spacing w:line="440" w:lineRule="exact"/>
              <w:jc w:val="center"/>
              <w:rPr>
                <w:szCs w:val="21"/>
              </w:rPr>
            </w:pPr>
            <w:r>
              <w:rPr>
                <w:szCs w:val="21"/>
              </w:rPr>
              <w:t>20</w:t>
            </w:r>
            <w:r>
              <w:rPr>
                <w:rFonts w:hint="eastAsia"/>
                <w:szCs w:val="21"/>
              </w:rPr>
              <w:t>18</w:t>
            </w:r>
          </w:p>
        </w:tc>
        <w:tc>
          <w:tcPr>
            <w:tcW w:w="1487" w:type="dxa"/>
            <w:vAlign w:val="center"/>
          </w:tcPr>
          <w:p>
            <w:pPr>
              <w:jc w:val="center"/>
              <w:rPr>
                <w:rFonts w:ascii="宋体" w:hAnsi="宋体" w:cs="宋体"/>
                <w:color w:val="000000"/>
                <w:sz w:val="22"/>
                <w:szCs w:val="22"/>
              </w:rPr>
            </w:pPr>
            <w:r>
              <w:rPr>
                <w:rFonts w:hint="eastAsia"/>
                <w:color w:val="000000"/>
                <w:sz w:val="22"/>
                <w:szCs w:val="22"/>
              </w:rPr>
              <w:t>Z. Kristallogr. NCS</w:t>
            </w:r>
          </w:p>
          <w:p>
            <w:pPr>
              <w:spacing w:line="440" w:lineRule="exact"/>
              <w:jc w:val="center"/>
              <w:rPr>
                <w:szCs w:val="21"/>
              </w:rPr>
            </w:pPr>
            <w:r>
              <w:rPr>
                <w:rFonts w:hAnsi="宋体"/>
                <w:szCs w:val="21"/>
              </w:rPr>
              <w:t>学报</w:t>
            </w:r>
          </w:p>
        </w:tc>
        <w:tc>
          <w:tcPr>
            <w:tcW w:w="875" w:type="dxa"/>
            <w:vAlign w:val="center"/>
          </w:tcPr>
          <w:p>
            <w:pPr>
              <w:spacing w:line="440" w:lineRule="exact"/>
              <w:jc w:val="center"/>
              <w:rPr>
                <w:szCs w:val="21"/>
              </w:rPr>
            </w:pPr>
            <w:r>
              <w:rPr>
                <w:rFonts w:hint="eastAsia" w:hAnsi="宋体"/>
                <w:szCs w:val="21"/>
              </w:rPr>
              <w:t>牛学丽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 w:type="dxa"/>
            <w:vAlign w:val="center"/>
          </w:tcPr>
          <w:p>
            <w:pPr>
              <w:spacing w:line="440" w:lineRule="exact"/>
              <w:jc w:val="center"/>
              <w:rPr>
                <w:szCs w:val="21"/>
              </w:rPr>
            </w:pPr>
            <w:r>
              <w:rPr>
                <w:szCs w:val="21"/>
              </w:rPr>
              <w:t>8</w:t>
            </w:r>
          </w:p>
        </w:tc>
        <w:tc>
          <w:tcPr>
            <w:tcW w:w="4720" w:type="dxa"/>
            <w:vAlign w:val="center"/>
          </w:tcPr>
          <w:p>
            <w:pPr>
              <w:jc w:val="center"/>
              <w:rPr>
                <w:rFonts w:ascii="宋体" w:hAnsi="宋体" w:cs="宋体"/>
                <w:color w:val="000000"/>
                <w:sz w:val="22"/>
                <w:szCs w:val="22"/>
              </w:rPr>
            </w:pPr>
            <w:r>
              <w:rPr>
                <w:rFonts w:hint="eastAsia"/>
                <w:color w:val="000000"/>
                <w:sz w:val="22"/>
                <w:szCs w:val="22"/>
              </w:rPr>
              <w:t>化合物{[C6H3(CH3)2]2BOH}2 的晶体合成及结构分析</w:t>
            </w:r>
          </w:p>
        </w:tc>
        <w:tc>
          <w:tcPr>
            <w:tcW w:w="822" w:type="dxa"/>
            <w:vAlign w:val="center"/>
          </w:tcPr>
          <w:p>
            <w:pPr>
              <w:spacing w:line="440" w:lineRule="exact"/>
              <w:jc w:val="center"/>
              <w:rPr>
                <w:szCs w:val="21"/>
              </w:rPr>
            </w:pPr>
            <w:r>
              <w:rPr>
                <w:szCs w:val="21"/>
              </w:rPr>
              <w:t>20</w:t>
            </w:r>
            <w:r>
              <w:rPr>
                <w:rFonts w:hint="eastAsia"/>
                <w:szCs w:val="21"/>
              </w:rPr>
              <w:t>18</w:t>
            </w:r>
          </w:p>
        </w:tc>
        <w:tc>
          <w:tcPr>
            <w:tcW w:w="1487" w:type="dxa"/>
            <w:vAlign w:val="center"/>
          </w:tcPr>
          <w:p>
            <w:pPr>
              <w:jc w:val="center"/>
              <w:rPr>
                <w:rFonts w:ascii="宋体" w:hAnsi="宋体" w:cs="宋体"/>
                <w:color w:val="000000"/>
                <w:sz w:val="22"/>
                <w:szCs w:val="22"/>
              </w:rPr>
            </w:pPr>
            <w:r>
              <w:rPr>
                <w:rFonts w:hint="eastAsia"/>
                <w:color w:val="000000"/>
                <w:sz w:val="22"/>
                <w:szCs w:val="22"/>
              </w:rPr>
              <w:t>泰山学院学报</w:t>
            </w:r>
          </w:p>
        </w:tc>
        <w:tc>
          <w:tcPr>
            <w:tcW w:w="875" w:type="dxa"/>
            <w:vAlign w:val="center"/>
          </w:tcPr>
          <w:p>
            <w:pPr>
              <w:spacing w:line="440" w:lineRule="exact"/>
              <w:jc w:val="center"/>
              <w:rPr>
                <w:szCs w:val="21"/>
              </w:rPr>
            </w:pPr>
            <w:r>
              <w:rPr>
                <w:rFonts w:hint="eastAsia" w:hAnsi="宋体"/>
                <w:szCs w:val="21"/>
              </w:rPr>
              <w:t>牛学丽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 w:type="dxa"/>
            <w:vAlign w:val="center"/>
          </w:tcPr>
          <w:p>
            <w:pPr>
              <w:spacing w:line="440" w:lineRule="exact"/>
              <w:jc w:val="center"/>
              <w:rPr>
                <w:szCs w:val="21"/>
              </w:rPr>
            </w:pPr>
            <w:r>
              <w:rPr>
                <w:szCs w:val="21"/>
              </w:rPr>
              <w:t>9</w:t>
            </w:r>
          </w:p>
        </w:tc>
        <w:tc>
          <w:tcPr>
            <w:tcW w:w="4720" w:type="dxa"/>
            <w:vAlign w:val="center"/>
          </w:tcPr>
          <w:p>
            <w:pPr>
              <w:jc w:val="center"/>
              <w:rPr>
                <w:rFonts w:ascii="宋体" w:hAnsi="宋体" w:cs="宋体"/>
                <w:color w:val="000000"/>
                <w:sz w:val="22"/>
                <w:szCs w:val="22"/>
              </w:rPr>
            </w:pPr>
            <w:r>
              <w:rPr>
                <w:rFonts w:hint="eastAsia"/>
                <w:color w:val="000000"/>
                <w:sz w:val="22"/>
                <w:szCs w:val="22"/>
              </w:rPr>
              <w:t>茚三酮-1,2-二肟合成方法优化</w:t>
            </w:r>
          </w:p>
        </w:tc>
        <w:tc>
          <w:tcPr>
            <w:tcW w:w="822" w:type="dxa"/>
            <w:vAlign w:val="center"/>
          </w:tcPr>
          <w:p>
            <w:pPr>
              <w:spacing w:line="440" w:lineRule="exact"/>
              <w:jc w:val="center"/>
              <w:rPr>
                <w:szCs w:val="21"/>
              </w:rPr>
            </w:pPr>
            <w:r>
              <w:rPr>
                <w:szCs w:val="21"/>
              </w:rPr>
              <w:t>20</w:t>
            </w:r>
            <w:r>
              <w:rPr>
                <w:rFonts w:hint="eastAsia"/>
                <w:szCs w:val="21"/>
              </w:rPr>
              <w:t>18</w:t>
            </w:r>
          </w:p>
        </w:tc>
        <w:tc>
          <w:tcPr>
            <w:tcW w:w="1487" w:type="dxa"/>
            <w:vAlign w:val="center"/>
          </w:tcPr>
          <w:p>
            <w:pPr>
              <w:spacing w:line="440" w:lineRule="exact"/>
              <w:jc w:val="center"/>
              <w:rPr>
                <w:szCs w:val="21"/>
              </w:rPr>
            </w:pPr>
            <w:r>
              <w:rPr>
                <w:rFonts w:hAnsi="宋体"/>
                <w:szCs w:val="21"/>
              </w:rPr>
              <w:t>山西广播电视大学学报</w:t>
            </w:r>
          </w:p>
        </w:tc>
        <w:tc>
          <w:tcPr>
            <w:tcW w:w="875" w:type="dxa"/>
            <w:vAlign w:val="center"/>
          </w:tcPr>
          <w:p>
            <w:pPr>
              <w:spacing w:line="440" w:lineRule="exact"/>
              <w:jc w:val="center"/>
              <w:rPr>
                <w:szCs w:val="21"/>
              </w:rPr>
            </w:pPr>
            <w:r>
              <w:rPr>
                <w:rFonts w:hint="eastAsia" w:hAnsi="宋体"/>
                <w:szCs w:val="21"/>
              </w:rPr>
              <w:t>牛学丽</w:t>
            </w:r>
          </w:p>
        </w:tc>
      </w:tr>
    </w:tbl>
    <w:p>
      <w:pPr>
        <w:spacing w:line="360" w:lineRule="auto"/>
        <w:ind w:firstLine="480" w:firstLineChars="200"/>
        <w:jc w:val="center"/>
        <w:rPr>
          <w:rFonts w:ascii="宋体" w:hAnsi="宋体"/>
          <w:bCs/>
          <w:sz w:val="24"/>
        </w:rPr>
      </w:pPr>
    </w:p>
    <w:p>
      <w:pPr>
        <w:spacing w:line="360" w:lineRule="auto"/>
        <w:ind w:firstLine="300" w:firstLineChars="100"/>
        <w:rPr>
          <w:rFonts w:ascii="黑体" w:hAnsi="黑体" w:eastAsia="黑体"/>
          <w:sz w:val="30"/>
          <w:szCs w:val="30"/>
        </w:rPr>
      </w:pPr>
      <w:bookmarkStart w:id="119" w:name="_Toc7670"/>
      <w:r>
        <w:rPr>
          <w:rFonts w:hint="eastAsia" w:ascii="黑体" w:hAnsi="黑体" w:eastAsia="黑体"/>
          <w:sz w:val="30"/>
          <w:szCs w:val="30"/>
        </w:rPr>
        <w:t>（三）培养培训</w:t>
      </w:r>
      <w:bookmarkEnd w:id="119"/>
    </w:p>
    <w:p>
      <w:pPr>
        <w:spacing w:line="360" w:lineRule="auto"/>
        <w:ind w:firstLine="480" w:firstLineChars="200"/>
        <w:rPr>
          <w:rFonts w:ascii="宋体" w:hAnsi="宋体"/>
          <w:sz w:val="24"/>
        </w:rPr>
      </w:pPr>
      <w:r>
        <w:rPr>
          <w:rFonts w:hint="eastAsia" w:ascii="宋体" w:hAnsi="宋体"/>
          <w:sz w:val="24"/>
        </w:rPr>
        <w:t>本系目前已经制定了完善的专业教师到对口企事业单位定期实践、校企研讨和实践经验交流制度；建立了相对完善教师继续教育考核制度和政策。</w:t>
      </w:r>
    </w:p>
    <w:p>
      <w:pPr>
        <w:spacing w:line="440" w:lineRule="exact"/>
        <w:ind w:firstLine="480" w:firstLineChars="200"/>
        <w:jc w:val="center"/>
        <w:rPr>
          <w:bCs/>
          <w:color w:val="000000" w:themeColor="text1"/>
          <w:sz w:val="24"/>
        </w:rPr>
      </w:pPr>
      <w:r>
        <w:rPr>
          <w:rFonts w:hAnsi="宋体"/>
          <w:bCs/>
          <w:color w:val="000000" w:themeColor="text1"/>
          <w:sz w:val="24"/>
        </w:rPr>
        <w:t>表</w:t>
      </w:r>
      <w:r>
        <w:rPr>
          <w:bCs/>
          <w:color w:val="000000" w:themeColor="text1"/>
          <w:sz w:val="24"/>
        </w:rPr>
        <w:t>5.</w:t>
      </w:r>
      <w:r>
        <w:rPr>
          <w:rFonts w:hint="eastAsia"/>
          <w:bCs/>
          <w:color w:val="000000" w:themeColor="text1"/>
          <w:sz w:val="24"/>
        </w:rPr>
        <w:t>6</w:t>
      </w:r>
      <w:r>
        <w:rPr>
          <w:rFonts w:hAnsi="宋体"/>
          <w:bCs/>
          <w:color w:val="000000" w:themeColor="text1"/>
          <w:sz w:val="24"/>
        </w:rPr>
        <w:t>应用化工技术专业教师培训情况一览表</w:t>
      </w:r>
    </w:p>
    <w:tbl>
      <w:tblPr>
        <w:tblStyle w:val="1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
        <w:gridCol w:w="1772"/>
        <w:gridCol w:w="1047"/>
        <w:gridCol w:w="3007"/>
        <w:gridCol w:w="1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b/>
                <w:szCs w:val="21"/>
              </w:rPr>
            </w:pPr>
            <w:bookmarkStart w:id="120" w:name="_Toc25813"/>
            <w:r>
              <w:rPr>
                <w:rFonts w:hint="eastAsia" w:ascii="宋体" w:hAnsi="宋体" w:eastAsia="宋体" w:cs="Times New Roman"/>
                <w:b/>
                <w:szCs w:val="21"/>
              </w:rPr>
              <w:t>姓名</w:t>
            </w:r>
          </w:p>
        </w:tc>
        <w:tc>
          <w:tcPr>
            <w:tcW w:w="17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b/>
                <w:szCs w:val="21"/>
              </w:rPr>
            </w:pPr>
            <w:r>
              <w:rPr>
                <w:rFonts w:hint="eastAsia" w:ascii="宋体" w:hAnsi="宋体" w:eastAsia="宋体" w:cs="Times New Roman"/>
                <w:b/>
                <w:szCs w:val="21"/>
              </w:rPr>
              <w:t>培训类别</w:t>
            </w:r>
          </w:p>
        </w:tc>
        <w:tc>
          <w:tcPr>
            <w:tcW w:w="104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b/>
                <w:szCs w:val="21"/>
              </w:rPr>
            </w:pPr>
            <w:r>
              <w:rPr>
                <w:rFonts w:hint="eastAsia" w:ascii="宋体" w:hAnsi="宋体" w:eastAsia="宋体" w:cs="Times New Roman"/>
                <w:b/>
                <w:szCs w:val="21"/>
              </w:rPr>
              <w:t>培训</w:t>
            </w:r>
          </w:p>
          <w:p>
            <w:pPr>
              <w:spacing w:line="440" w:lineRule="exact"/>
              <w:jc w:val="center"/>
              <w:rPr>
                <w:rFonts w:ascii="宋体" w:hAnsi="宋体" w:eastAsia="宋体" w:cs="Times New Roman"/>
                <w:b/>
                <w:szCs w:val="21"/>
              </w:rPr>
            </w:pPr>
            <w:r>
              <w:rPr>
                <w:rFonts w:hint="eastAsia" w:ascii="宋体" w:hAnsi="宋体" w:eastAsia="宋体" w:cs="Times New Roman"/>
                <w:b/>
                <w:szCs w:val="21"/>
              </w:rPr>
              <w:t>时间</w:t>
            </w:r>
          </w:p>
        </w:tc>
        <w:tc>
          <w:tcPr>
            <w:tcW w:w="300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b/>
                <w:szCs w:val="21"/>
              </w:rPr>
            </w:pPr>
            <w:r>
              <w:rPr>
                <w:rFonts w:hint="eastAsia" w:ascii="宋体" w:hAnsi="宋体" w:eastAsia="宋体" w:cs="Times New Roman"/>
                <w:b/>
                <w:szCs w:val="21"/>
              </w:rPr>
              <w:t>培训单位</w:t>
            </w:r>
          </w:p>
        </w:tc>
        <w:tc>
          <w:tcPr>
            <w:tcW w:w="1806"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b/>
                <w:szCs w:val="21"/>
              </w:rPr>
            </w:pPr>
            <w:r>
              <w:rPr>
                <w:rFonts w:hint="eastAsia" w:ascii="宋体" w:hAnsi="宋体" w:eastAsia="宋体" w:cs="Times New Roman"/>
                <w:b/>
                <w:szCs w:val="21"/>
              </w:rPr>
              <w:t>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890" w:type="dxa"/>
            <w:tcBorders>
              <w:top w:val="single" w:color="auto" w:sz="4" w:space="0"/>
              <w:left w:val="single" w:color="auto" w:sz="4" w:space="0"/>
              <w:bottom w:val="single" w:color="auto" w:sz="4" w:space="0"/>
              <w:right w:val="single" w:color="auto" w:sz="4" w:space="0"/>
            </w:tcBorders>
            <w:noWrap/>
            <w:vAlign w:val="center"/>
          </w:tcPr>
          <w:p>
            <w:pPr>
              <w:spacing w:line="440" w:lineRule="exact"/>
              <w:rPr>
                <w:rFonts w:ascii="宋体" w:hAnsi="宋体" w:eastAsia="宋体" w:cs="Times New Roman"/>
                <w:szCs w:val="21"/>
              </w:rPr>
            </w:pPr>
            <w:r>
              <w:rPr>
                <w:rFonts w:hint="eastAsia" w:ascii="宋体" w:hAnsi="宋体" w:eastAsia="宋体" w:cs="Times New Roman"/>
                <w:szCs w:val="21"/>
              </w:rPr>
              <w:t>苗海霞</w:t>
            </w:r>
          </w:p>
        </w:tc>
        <w:tc>
          <w:tcPr>
            <w:tcW w:w="1772" w:type="dxa"/>
            <w:tcBorders>
              <w:top w:val="single" w:color="auto" w:sz="4" w:space="0"/>
              <w:left w:val="single" w:color="auto" w:sz="4" w:space="0"/>
              <w:bottom w:val="single" w:color="auto" w:sz="4" w:space="0"/>
              <w:right w:val="single" w:color="auto" w:sz="4" w:space="0"/>
            </w:tcBorders>
            <w:noWrap/>
            <w:vAlign w:val="center"/>
          </w:tcPr>
          <w:p>
            <w:pPr>
              <w:spacing w:line="440" w:lineRule="exact"/>
              <w:rPr>
                <w:rFonts w:ascii="宋体" w:hAnsi="宋体" w:eastAsia="宋体" w:cs="Times New Roman"/>
                <w:szCs w:val="21"/>
              </w:rPr>
            </w:pPr>
            <w:r>
              <w:rPr>
                <w:rFonts w:hint="eastAsia" w:ascii="宋体" w:hAnsi="宋体" w:eastAsia="宋体" w:cs="Times New Roman"/>
                <w:szCs w:val="21"/>
              </w:rPr>
              <w:t xml:space="preserve">   进企业实训</w:t>
            </w:r>
          </w:p>
        </w:tc>
        <w:tc>
          <w:tcPr>
            <w:tcW w:w="1047" w:type="dxa"/>
            <w:tcBorders>
              <w:top w:val="single" w:color="auto" w:sz="4" w:space="0"/>
              <w:left w:val="single" w:color="auto" w:sz="4" w:space="0"/>
              <w:bottom w:val="single" w:color="auto" w:sz="4" w:space="0"/>
              <w:right w:val="single" w:color="auto" w:sz="4" w:space="0"/>
            </w:tcBorders>
            <w:noWrap/>
            <w:vAlign w:val="center"/>
          </w:tcPr>
          <w:p>
            <w:pPr>
              <w:spacing w:line="440" w:lineRule="exact"/>
              <w:rPr>
                <w:rFonts w:ascii="宋体" w:hAnsi="宋体" w:eastAsia="宋体" w:cs="Times New Roman"/>
                <w:szCs w:val="21"/>
              </w:rPr>
            </w:pPr>
            <w:r>
              <w:rPr>
                <w:rFonts w:hint="eastAsia" w:ascii="宋体" w:hAnsi="宋体" w:eastAsia="宋体" w:cs="Times New Roman"/>
                <w:szCs w:val="21"/>
              </w:rPr>
              <w:t>2019.8</w:t>
            </w:r>
          </w:p>
        </w:tc>
        <w:tc>
          <w:tcPr>
            <w:tcW w:w="3007" w:type="dxa"/>
            <w:tcBorders>
              <w:top w:val="single" w:color="auto" w:sz="4" w:space="0"/>
              <w:left w:val="single" w:color="auto" w:sz="4" w:space="0"/>
              <w:bottom w:val="single" w:color="auto" w:sz="4" w:space="0"/>
              <w:right w:val="single" w:color="auto" w:sz="4" w:space="0"/>
            </w:tcBorders>
            <w:noWrap/>
            <w:vAlign w:val="center"/>
          </w:tcPr>
          <w:p>
            <w:pPr>
              <w:spacing w:line="440" w:lineRule="exact"/>
              <w:ind w:firstLine="840" w:firstLineChars="400"/>
              <w:rPr>
                <w:rFonts w:ascii="宋体" w:hAnsi="宋体" w:eastAsia="宋体" w:cs="Times New Roman"/>
                <w:szCs w:val="21"/>
              </w:rPr>
            </w:pPr>
            <w:r>
              <w:rPr>
                <w:rFonts w:hint="eastAsia" w:ascii="宋体" w:hAnsi="宋体" w:eastAsia="宋体" w:cs="Times New Roman"/>
                <w:szCs w:val="21"/>
              </w:rPr>
              <w:t>中国化工教育协会</w:t>
            </w:r>
          </w:p>
        </w:tc>
        <w:tc>
          <w:tcPr>
            <w:tcW w:w="1806" w:type="dxa"/>
            <w:tcBorders>
              <w:top w:val="single" w:color="auto" w:sz="4" w:space="0"/>
              <w:left w:val="single" w:color="auto" w:sz="4" w:space="0"/>
              <w:bottom w:val="single" w:color="auto" w:sz="4" w:space="0"/>
              <w:right w:val="single" w:color="auto" w:sz="4" w:space="0"/>
            </w:tcBorders>
            <w:noWrap/>
            <w:vAlign w:val="center"/>
          </w:tcPr>
          <w:p>
            <w:pPr>
              <w:spacing w:line="440" w:lineRule="exact"/>
              <w:ind w:firstLine="210" w:firstLineChars="100"/>
              <w:rPr>
                <w:rFonts w:ascii="宋体" w:hAnsi="宋体" w:eastAsia="宋体" w:cs="Times New Roman"/>
                <w:szCs w:val="21"/>
              </w:rPr>
            </w:pPr>
            <w:r>
              <w:rPr>
                <w:rFonts w:hint="eastAsia" w:ascii="宋体" w:hAnsi="宋体" w:eastAsia="宋体" w:cs="Times New Roman"/>
                <w:szCs w:val="21"/>
              </w:rPr>
              <w:t>实践培训证书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89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吉晋兰</w:t>
            </w:r>
          </w:p>
        </w:tc>
        <w:tc>
          <w:tcPr>
            <w:tcW w:w="17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进企业实训</w:t>
            </w:r>
          </w:p>
        </w:tc>
        <w:tc>
          <w:tcPr>
            <w:tcW w:w="104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2019.8</w:t>
            </w:r>
          </w:p>
        </w:tc>
        <w:tc>
          <w:tcPr>
            <w:tcW w:w="300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color w:val="000000"/>
                <w:szCs w:val="21"/>
                <w:shd w:val="clear" w:color="auto" w:fill="FFFFFF"/>
              </w:rPr>
            </w:pPr>
            <w:r>
              <w:rPr>
                <w:rFonts w:hint="eastAsia" w:ascii="宋体" w:hAnsi="宋体" w:eastAsia="宋体" w:cs="Times New Roman"/>
                <w:szCs w:val="21"/>
              </w:rPr>
              <w:t>中国化工协会</w:t>
            </w:r>
          </w:p>
        </w:tc>
        <w:tc>
          <w:tcPr>
            <w:tcW w:w="1806"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实践培训证书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89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杨艳梅</w:t>
            </w:r>
          </w:p>
        </w:tc>
        <w:tc>
          <w:tcPr>
            <w:tcW w:w="17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进企业实训</w:t>
            </w:r>
          </w:p>
        </w:tc>
        <w:tc>
          <w:tcPr>
            <w:tcW w:w="104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2019.8</w:t>
            </w:r>
          </w:p>
        </w:tc>
        <w:tc>
          <w:tcPr>
            <w:tcW w:w="300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color w:val="000000"/>
                <w:szCs w:val="21"/>
                <w:shd w:val="clear" w:color="auto" w:fill="FFFFFF"/>
              </w:rPr>
            </w:pPr>
            <w:r>
              <w:rPr>
                <w:rFonts w:hint="eastAsia" w:ascii="宋体" w:hAnsi="宋体" w:eastAsia="宋体" w:cs="Times New Roman"/>
                <w:szCs w:val="21"/>
              </w:rPr>
              <w:t>中国化工协会</w:t>
            </w:r>
          </w:p>
        </w:tc>
        <w:tc>
          <w:tcPr>
            <w:tcW w:w="1806"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实践培训证书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89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毛倩</w:t>
            </w:r>
          </w:p>
        </w:tc>
        <w:tc>
          <w:tcPr>
            <w:tcW w:w="17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进企业实训</w:t>
            </w:r>
          </w:p>
        </w:tc>
        <w:tc>
          <w:tcPr>
            <w:tcW w:w="104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2019.8</w:t>
            </w:r>
          </w:p>
        </w:tc>
        <w:tc>
          <w:tcPr>
            <w:tcW w:w="300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color w:val="000000"/>
                <w:szCs w:val="21"/>
                <w:shd w:val="clear" w:color="auto" w:fill="FFFFFF"/>
              </w:rPr>
            </w:pPr>
            <w:r>
              <w:rPr>
                <w:rFonts w:hint="eastAsia" w:ascii="宋体" w:hAnsi="宋体" w:eastAsia="宋体" w:cs="Times New Roman"/>
                <w:szCs w:val="21"/>
              </w:rPr>
              <w:t>中国化工协会</w:t>
            </w:r>
          </w:p>
        </w:tc>
        <w:tc>
          <w:tcPr>
            <w:tcW w:w="1806"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实践培训证书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89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席琦</w:t>
            </w:r>
          </w:p>
        </w:tc>
        <w:tc>
          <w:tcPr>
            <w:tcW w:w="17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教学能力培训</w:t>
            </w:r>
          </w:p>
        </w:tc>
        <w:tc>
          <w:tcPr>
            <w:tcW w:w="104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2019.7</w:t>
            </w:r>
          </w:p>
        </w:tc>
        <w:tc>
          <w:tcPr>
            <w:tcW w:w="300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color w:val="000000"/>
                <w:szCs w:val="21"/>
                <w:shd w:val="clear" w:color="auto" w:fill="FFFFFF"/>
              </w:rPr>
            </w:pPr>
            <w:r>
              <w:rPr>
                <w:rFonts w:hint="eastAsia" w:ascii="宋体" w:hAnsi="宋体" w:eastAsia="宋体" w:cs="Times New Roman"/>
                <w:color w:val="000000"/>
                <w:szCs w:val="21"/>
                <w:shd w:val="clear" w:color="auto" w:fill="FFFFFF"/>
              </w:rPr>
              <w:t>全国高职高专教育现代教育技术培训基地</w:t>
            </w:r>
          </w:p>
        </w:tc>
        <w:tc>
          <w:tcPr>
            <w:tcW w:w="1806"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培训证书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89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陈香</w:t>
            </w:r>
          </w:p>
        </w:tc>
        <w:tc>
          <w:tcPr>
            <w:tcW w:w="17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教学能力培训</w:t>
            </w:r>
          </w:p>
        </w:tc>
        <w:tc>
          <w:tcPr>
            <w:tcW w:w="104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2019.7</w:t>
            </w:r>
          </w:p>
        </w:tc>
        <w:tc>
          <w:tcPr>
            <w:tcW w:w="300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color w:val="000000"/>
                <w:szCs w:val="21"/>
                <w:shd w:val="clear" w:color="auto" w:fill="FFFFFF"/>
              </w:rPr>
            </w:pPr>
            <w:r>
              <w:rPr>
                <w:rFonts w:hint="eastAsia" w:ascii="宋体" w:hAnsi="宋体" w:eastAsia="宋体" w:cs="Times New Roman"/>
                <w:color w:val="000000"/>
                <w:szCs w:val="21"/>
                <w:shd w:val="clear" w:color="auto" w:fill="FFFFFF"/>
              </w:rPr>
              <w:t>全国高职高专教育现代教育技术培训基地</w:t>
            </w:r>
          </w:p>
        </w:tc>
        <w:tc>
          <w:tcPr>
            <w:tcW w:w="1806"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培训证书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89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张丽娜</w:t>
            </w:r>
          </w:p>
        </w:tc>
        <w:tc>
          <w:tcPr>
            <w:tcW w:w="17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教学能力培训</w:t>
            </w:r>
          </w:p>
        </w:tc>
        <w:tc>
          <w:tcPr>
            <w:tcW w:w="104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2019.8</w:t>
            </w:r>
          </w:p>
        </w:tc>
        <w:tc>
          <w:tcPr>
            <w:tcW w:w="300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color w:val="000000"/>
                <w:szCs w:val="21"/>
                <w:shd w:val="clear" w:color="auto" w:fill="FFFFFF"/>
              </w:rPr>
            </w:pPr>
            <w:r>
              <w:rPr>
                <w:rFonts w:hint="eastAsia" w:ascii="宋体" w:hAnsi="宋体" w:eastAsia="宋体" w:cs="Times New Roman"/>
                <w:color w:val="000000"/>
                <w:szCs w:val="21"/>
                <w:shd w:val="clear" w:color="auto" w:fill="FFFFFF"/>
              </w:rPr>
              <w:t>全国高职高专教育现代教育技术培训基地</w:t>
            </w:r>
          </w:p>
        </w:tc>
        <w:tc>
          <w:tcPr>
            <w:tcW w:w="1806"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培训证书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89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张丽娜</w:t>
            </w:r>
          </w:p>
        </w:tc>
        <w:tc>
          <w:tcPr>
            <w:tcW w:w="17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化工总控工</w:t>
            </w:r>
            <w:r>
              <w:rPr>
                <w:rFonts w:hint="eastAsia" w:ascii="宋体" w:hAnsi="宋体" w:eastAsia="宋体" w:cs="Times New Roman"/>
                <w:color w:val="000000"/>
                <w:szCs w:val="21"/>
              </w:rPr>
              <w:t>技能</w:t>
            </w:r>
          </w:p>
        </w:tc>
        <w:tc>
          <w:tcPr>
            <w:tcW w:w="104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2012.7</w:t>
            </w:r>
          </w:p>
        </w:tc>
        <w:tc>
          <w:tcPr>
            <w:tcW w:w="300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color w:val="000000"/>
                <w:szCs w:val="21"/>
                <w:shd w:val="clear" w:color="auto" w:fill="FFFFFF"/>
              </w:rPr>
            </w:pPr>
            <w:r>
              <w:rPr>
                <w:rFonts w:hint="eastAsia" w:ascii="宋体" w:hAnsi="宋体" w:eastAsia="宋体" w:cs="Times New Roman"/>
                <w:color w:val="000000"/>
                <w:szCs w:val="21"/>
                <w:shd w:val="clear" w:color="auto" w:fill="FFFFFF"/>
              </w:rPr>
              <w:t>中国化工教育协会</w:t>
            </w:r>
          </w:p>
        </w:tc>
        <w:tc>
          <w:tcPr>
            <w:tcW w:w="1806"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化工总控工二级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耿长青</w:t>
            </w:r>
          </w:p>
        </w:tc>
        <w:tc>
          <w:tcPr>
            <w:tcW w:w="17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化工总控工</w:t>
            </w:r>
            <w:r>
              <w:rPr>
                <w:rFonts w:hint="eastAsia" w:ascii="宋体" w:hAnsi="宋体" w:eastAsia="宋体" w:cs="Times New Roman"/>
                <w:color w:val="000000"/>
                <w:szCs w:val="21"/>
              </w:rPr>
              <w:t>技能</w:t>
            </w:r>
          </w:p>
        </w:tc>
        <w:tc>
          <w:tcPr>
            <w:tcW w:w="104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2012.7</w:t>
            </w:r>
          </w:p>
        </w:tc>
        <w:tc>
          <w:tcPr>
            <w:tcW w:w="300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szCs w:val="21"/>
              </w:rPr>
            </w:pPr>
            <w:r>
              <w:rPr>
                <w:rFonts w:hint="eastAsia" w:ascii="宋体" w:hAnsi="宋体" w:eastAsia="宋体" w:cs="Times New Roman"/>
                <w:color w:val="000000"/>
                <w:szCs w:val="21"/>
                <w:shd w:val="clear" w:color="auto" w:fill="FFFFFF"/>
              </w:rPr>
              <w:t>中国化工教育协会</w:t>
            </w:r>
          </w:p>
        </w:tc>
        <w:tc>
          <w:tcPr>
            <w:tcW w:w="1806"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化工总控工二级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李晋国</w:t>
            </w:r>
          </w:p>
        </w:tc>
        <w:tc>
          <w:tcPr>
            <w:tcW w:w="1772"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化工总控工</w:t>
            </w:r>
            <w:r>
              <w:rPr>
                <w:rFonts w:hint="eastAsia" w:ascii="宋体" w:hAnsi="宋体" w:eastAsia="宋体" w:cs="Times New Roman"/>
                <w:color w:val="000000"/>
                <w:szCs w:val="21"/>
              </w:rPr>
              <w:t>技能</w:t>
            </w:r>
          </w:p>
        </w:tc>
        <w:tc>
          <w:tcPr>
            <w:tcW w:w="104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2012.7</w:t>
            </w:r>
          </w:p>
        </w:tc>
        <w:tc>
          <w:tcPr>
            <w:tcW w:w="3007"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szCs w:val="21"/>
              </w:rPr>
            </w:pPr>
            <w:r>
              <w:rPr>
                <w:rFonts w:hint="eastAsia" w:ascii="宋体" w:hAnsi="宋体" w:eastAsia="宋体" w:cs="Times New Roman"/>
                <w:color w:val="000000"/>
                <w:szCs w:val="21"/>
                <w:shd w:val="clear" w:color="auto" w:fill="FFFFFF"/>
              </w:rPr>
              <w:t>中国化工教育协会</w:t>
            </w:r>
          </w:p>
        </w:tc>
        <w:tc>
          <w:tcPr>
            <w:tcW w:w="1806"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化工总控工二级</w:t>
            </w:r>
          </w:p>
        </w:tc>
      </w:tr>
    </w:tbl>
    <w:p>
      <w:pPr>
        <w:spacing w:line="360" w:lineRule="auto"/>
        <w:rPr>
          <w:szCs w:val="21"/>
        </w:rPr>
      </w:pPr>
    </w:p>
    <w:p>
      <w:pPr>
        <w:spacing w:line="360" w:lineRule="auto"/>
        <w:ind w:firstLine="300" w:firstLineChars="100"/>
        <w:rPr>
          <w:rFonts w:ascii="黑体" w:hAnsi="黑体" w:eastAsia="黑体"/>
          <w:sz w:val="30"/>
          <w:szCs w:val="30"/>
        </w:rPr>
      </w:pPr>
      <w:r>
        <w:rPr>
          <w:rFonts w:hint="eastAsia" w:ascii="黑体" w:hAnsi="黑体" w:eastAsia="黑体"/>
          <w:sz w:val="30"/>
          <w:szCs w:val="30"/>
        </w:rPr>
        <w:t>（四）社会服务</w:t>
      </w:r>
      <w:bookmarkEnd w:id="120"/>
    </w:p>
    <w:p>
      <w:pPr>
        <w:spacing w:line="440" w:lineRule="exact"/>
        <w:ind w:firstLine="480" w:firstLineChars="200"/>
        <w:rPr>
          <w:rFonts w:ascii="宋体" w:hAnsi="宋体"/>
          <w:sz w:val="24"/>
        </w:rPr>
      </w:pPr>
      <w:r>
        <w:rPr>
          <w:rFonts w:hint="eastAsia" w:ascii="宋体" w:hAnsi="宋体"/>
          <w:sz w:val="24"/>
        </w:rPr>
        <w:t>本系已建立专业教师密切联系行业、企业的制度，引导和激励教师主动为行业、企业和社会服务；近3年教师作为评委参加山西天泽煤化厂职业技能竞赛两次，</w:t>
      </w:r>
      <w:r>
        <w:rPr>
          <w:rFonts w:hint="eastAsia" w:ascii="宋体" w:hAnsi="宋体"/>
          <w:color w:val="000000" w:themeColor="text1"/>
          <w:sz w:val="24"/>
        </w:rPr>
        <w:t>为晋城相关企业提供技术咨询、技术服务多次。</w:t>
      </w:r>
    </w:p>
    <w:p>
      <w:pPr>
        <w:pStyle w:val="3"/>
        <w:ind w:firstLine="480" w:firstLineChars="150"/>
        <w:rPr>
          <w:b w:val="0"/>
        </w:rPr>
      </w:pPr>
      <w:bookmarkStart w:id="121" w:name="_Toc17278768"/>
      <w:bookmarkStart w:id="122" w:name="_Toc16119"/>
      <w:r>
        <w:rPr>
          <w:rFonts w:hint="eastAsia"/>
          <w:b w:val="0"/>
        </w:rPr>
        <w:t>三、校企合作，共建校内外实习实训基地措施</w:t>
      </w:r>
      <w:bookmarkEnd w:id="113"/>
      <w:bookmarkEnd w:id="114"/>
      <w:bookmarkEnd w:id="115"/>
      <w:bookmarkEnd w:id="116"/>
      <w:bookmarkEnd w:id="121"/>
      <w:bookmarkEnd w:id="122"/>
    </w:p>
    <w:p>
      <w:pPr>
        <w:spacing w:line="360" w:lineRule="auto"/>
        <w:ind w:firstLine="480" w:firstLineChars="200"/>
        <w:rPr>
          <w:rFonts w:ascii="宋体" w:hAnsi="宋体"/>
          <w:sz w:val="24"/>
        </w:rPr>
      </w:pPr>
      <w:bookmarkStart w:id="123" w:name="_Toc4035"/>
      <w:bookmarkStart w:id="124" w:name="_Toc341338658"/>
      <w:bookmarkStart w:id="125" w:name="_Toc339985623"/>
      <w:bookmarkStart w:id="126" w:name="_Toc339913822"/>
      <w:r>
        <w:rPr>
          <w:rFonts w:hint="eastAsia" w:ascii="宋体" w:hAnsi="宋体"/>
          <w:sz w:val="24"/>
        </w:rPr>
        <w:t>应用化工技术专业与行业、企业密切合作，开展实践教学方案设计与实施；实施生产性实训和顶岗实习，探索建立</w:t>
      </w:r>
      <w:r>
        <w:rPr>
          <w:rFonts w:ascii="宋体" w:hAnsi="宋体"/>
          <w:sz w:val="24"/>
        </w:rPr>
        <w:t>“</w:t>
      </w:r>
      <w:r>
        <w:rPr>
          <w:rFonts w:hint="eastAsia" w:ascii="宋体" w:hAnsi="宋体"/>
          <w:sz w:val="24"/>
        </w:rPr>
        <w:t>校中厂</w:t>
      </w:r>
      <w:r>
        <w:rPr>
          <w:rFonts w:ascii="宋体" w:hAnsi="宋体"/>
          <w:sz w:val="24"/>
        </w:rPr>
        <w:t>”</w:t>
      </w:r>
      <w:r>
        <w:rPr>
          <w:rFonts w:hint="eastAsia" w:ascii="宋体" w:hAnsi="宋体"/>
          <w:sz w:val="24"/>
        </w:rPr>
        <w:t>、</w:t>
      </w:r>
      <w:r>
        <w:rPr>
          <w:rFonts w:ascii="宋体" w:hAnsi="宋体"/>
          <w:sz w:val="24"/>
        </w:rPr>
        <w:t>“</w:t>
      </w:r>
      <w:r>
        <w:rPr>
          <w:rFonts w:hint="eastAsia" w:ascii="宋体" w:hAnsi="宋体"/>
          <w:sz w:val="24"/>
        </w:rPr>
        <w:t>厂中校</w:t>
      </w:r>
      <w:r>
        <w:rPr>
          <w:rFonts w:ascii="宋体" w:hAnsi="宋体"/>
          <w:sz w:val="24"/>
        </w:rPr>
        <w:t>”</w:t>
      </w:r>
      <w:r>
        <w:rPr>
          <w:rFonts w:hint="eastAsia" w:ascii="宋体" w:hAnsi="宋体"/>
          <w:sz w:val="24"/>
        </w:rPr>
        <w:t xml:space="preserve">等形式的实践教学基地。 </w:t>
      </w:r>
    </w:p>
    <w:p>
      <w:pPr>
        <w:spacing w:line="360" w:lineRule="auto"/>
        <w:ind w:firstLine="300" w:firstLineChars="100"/>
        <w:rPr>
          <w:rFonts w:ascii="黑体" w:hAnsi="黑体" w:eastAsia="黑体"/>
          <w:sz w:val="30"/>
          <w:szCs w:val="30"/>
        </w:rPr>
      </w:pPr>
      <w:bookmarkStart w:id="127" w:name="_Toc28215"/>
      <w:r>
        <w:rPr>
          <w:rFonts w:hint="eastAsia" w:ascii="黑体" w:hAnsi="黑体" w:eastAsia="黑体"/>
          <w:sz w:val="30"/>
          <w:szCs w:val="30"/>
        </w:rPr>
        <w:t>（一）校内实践教学条件</w:t>
      </w:r>
      <w:bookmarkEnd w:id="127"/>
    </w:p>
    <w:p>
      <w:pPr>
        <w:spacing w:line="360" w:lineRule="auto"/>
        <w:ind w:firstLine="480" w:firstLineChars="200"/>
        <w:rPr>
          <w:rFonts w:ascii="宋体" w:hAnsi="宋体"/>
          <w:sz w:val="24"/>
        </w:rPr>
      </w:pPr>
      <w:r>
        <w:rPr>
          <w:rFonts w:hint="eastAsia" w:ascii="宋体" w:hAnsi="宋体"/>
          <w:sz w:val="24"/>
        </w:rPr>
        <w:t>应用化工技术专业通过校企联合方式共同创建具有真实的岗位训练、具有职场氛围、具有企业文化，以及设备先进、软硬件配套的校内实训基地，现有化工单元实训室、应用化工综合实训室等实训室8个，设备仪器总价值500余万元，远远高于理工农医类生均教学科研仪器设备值≥5000元的标准要求。</w:t>
      </w:r>
      <w:r>
        <w:rPr>
          <w:rFonts w:ascii="宋体" w:hAnsi="宋体"/>
          <w:sz w:val="24"/>
        </w:rPr>
        <w:t>校内实验实训条件为本专业所开设的理实一体化教学、岗位专项技能实训、工种考核等教学提供了保证。</w:t>
      </w:r>
      <w:r>
        <w:rPr>
          <w:rFonts w:hint="eastAsia" w:ascii="宋体" w:hAnsi="宋体"/>
          <w:sz w:val="24"/>
        </w:rPr>
        <w:t xml:space="preserve">同时与行业、企业密切合作开发实验实训项目，这些实训项目的开设与企业实际、行业发展相适应，完全能满足高素质技术技能人才培养的工作。 </w:t>
      </w:r>
    </w:p>
    <w:p>
      <w:pPr>
        <w:spacing w:line="360" w:lineRule="auto"/>
        <w:jc w:val="center"/>
        <w:rPr>
          <w:bCs/>
          <w:sz w:val="24"/>
        </w:rPr>
      </w:pPr>
      <w:r>
        <w:rPr>
          <w:rFonts w:hAnsi="宋体"/>
          <w:bCs/>
          <w:sz w:val="24"/>
        </w:rPr>
        <w:t>表</w:t>
      </w:r>
      <w:r>
        <w:rPr>
          <w:bCs/>
          <w:sz w:val="24"/>
        </w:rPr>
        <w:t>5.</w:t>
      </w:r>
      <w:r>
        <w:rPr>
          <w:rFonts w:hint="eastAsia"/>
          <w:bCs/>
          <w:sz w:val="24"/>
        </w:rPr>
        <w:t>7</w:t>
      </w:r>
      <w:r>
        <w:rPr>
          <w:rFonts w:hAnsi="宋体"/>
          <w:bCs/>
          <w:sz w:val="24"/>
        </w:rPr>
        <w:t>校内实习基地情况</w:t>
      </w:r>
    </w:p>
    <w:tbl>
      <w:tblPr>
        <w:tblStyle w:val="18"/>
        <w:tblpPr w:leftFromText="180" w:rightFromText="180" w:vertAnchor="text" w:horzAnchor="page" w:tblpX="1807" w:tblpY="312"/>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2354"/>
        <w:gridCol w:w="5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723" w:type="dxa"/>
            <w:noWrap/>
            <w:vAlign w:val="center"/>
          </w:tcPr>
          <w:p>
            <w:pPr>
              <w:jc w:val="center"/>
              <w:rPr>
                <w:rFonts w:ascii="宋体" w:hAnsi="宋体" w:eastAsia="宋体" w:cs="Times New Roman"/>
                <w:b/>
                <w:bCs/>
                <w:szCs w:val="21"/>
              </w:rPr>
            </w:pPr>
            <w:r>
              <w:rPr>
                <w:rFonts w:hint="eastAsia" w:ascii="宋体" w:hAnsi="宋体" w:eastAsia="宋体" w:cs="Times New Roman"/>
                <w:b/>
                <w:bCs/>
                <w:szCs w:val="21"/>
              </w:rPr>
              <w:t>序号</w:t>
            </w:r>
          </w:p>
        </w:tc>
        <w:tc>
          <w:tcPr>
            <w:tcW w:w="2354" w:type="dxa"/>
            <w:noWrap/>
            <w:vAlign w:val="center"/>
          </w:tcPr>
          <w:p>
            <w:pPr>
              <w:jc w:val="center"/>
              <w:rPr>
                <w:rFonts w:ascii="宋体" w:hAnsi="宋体" w:eastAsia="宋体" w:cs="Times New Roman"/>
                <w:b/>
                <w:bCs/>
                <w:szCs w:val="21"/>
              </w:rPr>
            </w:pPr>
            <w:r>
              <w:rPr>
                <w:rFonts w:hint="eastAsia" w:ascii="宋体" w:hAnsi="宋体" w:eastAsia="宋体" w:cs="Times New Roman"/>
                <w:b/>
                <w:bCs/>
                <w:szCs w:val="21"/>
              </w:rPr>
              <w:t>实验实训室名称</w:t>
            </w:r>
          </w:p>
        </w:tc>
        <w:tc>
          <w:tcPr>
            <w:tcW w:w="5445" w:type="dxa"/>
            <w:noWrap/>
            <w:vAlign w:val="center"/>
          </w:tcPr>
          <w:p>
            <w:pPr>
              <w:jc w:val="center"/>
              <w:rPr>
                <w:rFonts w:ascii="宋体" w:hAnsi="宋体" w:eastAsia="宋体" w:cs="Times New Roman"/>
                <w:b/>
                <w:bCs/>
                <w:szCs w:val="21"/>
              </w:rPr>
            </w:pPr>
            <w:r>
              <w:rPr>
                <w:rFonts w:hint="eastAsia" w:ascii="宋体" w:hAnsi="宋体" w:eastAsia="宋体" w:cs="Times New Roman"/>
                <w:b/>
                <w:bCs/>
                <w:szCs w:val="21"/>
              </w:rPr>
              <w:t>主要实训项目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723" w:type="dxa"/>
            <w:noWrap/>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2354" w:type="dxa"/>
            <w:noWrap/>
            <w:vAlign w:val="center"/>
          </w:tcPr>
          <w:p>
            <w:pPr>
              <w:jc w:val="left"/>
              <w:rPr>
                <w:rFonts w:ascii="宋体" w:hAnsi="宋体" w:eastAsia="宋体" w:cs="Times New Roman"/>
                <w:szCs w:val="21"/>
              </w:rPr>
            </w:pPr>
            <w:r>
              <w:rPr>
                <w:rFonts w:hint="eastAsia" w:ascii="宋体" w:hAnsi="宋体" w:eastAsia="宋体" w:cs="Times New Roman"/>
                <w:szCs w:val="21"/>
              </w:rPr>
              <w:t>化工单元实训室</w:t>
            </w:r>
          </w:p>
        </w:tc>
        <w:tc>
          <w:tcPr>
            <w:tcW w:w="5445" w:type="dxa"/>
            <w:noWrap/>
            <w:vAlign w:val="center"/>
          </w:tcPr>
          <w:p>
            <w:pPr>
              <w:jc w:val="left"/>
              <w:rPr>
                <w:rFonts w:ascii="宋体" w:hAnsi="宋体" w:eastAsia="宋体" w:cs="Times New Roman"/>
                <w:szCs w:val="21"/>
              </w:rPr>
            </w:pPr>
            <w:r>
              <w:rPr>
                <w:rFonts w:hint="eastAsia" w:ascii="宋体" w:hAnsi="宋体" w:eastAsia="宋体" w:cs="Times New Roman"/>
                <w:szCs w:val="21"/>
              </w:rPr>
              <w:t>伯努力实训、板式精馏实训，传热实训、填料吸收塔、圆筒式加热炉实训、离心泵实训、固定床反应器实训、釜式反应器实训等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noWrap/>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2354" w:type="dxa"/>
            <w:noWrap/>
            <w:vAlign w:val="center"/>
          </w:tcPr>
          <w:p>
            <w:pPr>
              <w:jc w:val="left"/>
              <w:rPr>
                <w:rFonts w:ascii="宋体" w:hAnsi="宋体" w:eastAsia="宋体" w:cs="Times New Roman"/>
                <w:szCs w:val="21"/>
              </w:rPr>
            </w:pPr>
            <w:r>
              <w:rPr>
                <w:rFonts w:hint="eastAsia" w:ascii="宋体" w:hAnsi="宋体" w:eastAsia="宋体" w:cs="Times New Roman"/>
                <w:szCs w:val="21"/>
              </w:rPr>
              <w:t>化工生产综合实训室</w:t>
            </w:r>
          </w:p>
        </w:tc>
        <w:tc>
          <w:tcPr>
            <w:tcW w:w="5445" w:type="dxa"/>
            <w:noWrap/>
            <w:vAlign w:val="center"/>
          </w:tcPr>
          <w:p>
            <w:pPr>
              <w:jc w:val="left"/>
              <w:rPr>
                <w:rFonts w:ascii="宋体" w:hAnsi="宋体" w:eastAsia="宋体" w:cs="Times New Roman"/>
                <w:szCs w:val="21"/>
              </w:rPr>
            </w:pPr>
            <w:r>
              <w:rPr>
                <w:rFonts w:hint="eastAsia" w:ascii="宋体" w:hAnsi="宋体" w:eastAsia="宋体" w:cs="Times New Roman"/>
                <w:szCs w:val="21"/>
              </w:rPr>
              <w:t>用于原料、中间体、产品的分析检测及质量监控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noWrap/>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2354" w:type="dxa"/>
            <w:noWrap/>
            <w:vAlign w:val="center"/>
          </w:tcPr>
          <w:p>
            <w:pPr>
              <w:jc w:val="left"/>
              <w:rPr>
                <w:rFonts w:ascii="宋体" w:hAnsi="宋体" w:eastAsia="宋体" w:cs="Times New Roman"/>
                <w:szCs w:val="21"/>
              </w:rPr>
            </w:pPr>
            <w:r>
              <w:rPr>
                <w:rFonts w:hint="eastAsia" w:ascii="宋体" w:hAnsi="宋体" w:eastAsia="宋体" w:cs="Times New Roman"/>
                <w:szCs w:val="21"/>
              </w:rPr>
              <w:t>食品分析实训室</w:t>
            </w:r>
          </w:p>
        </w:tc>
        <w:tc>
          <w:tcPr>
            <w:tcW w:w="5445" w:type="dxa"/>
            <w:noWrap/>
            <w:vAlign w:val="center"/>
          </w:tcPr>
          <w:p>
            <w:pPr>
              <w:jc w:val="left"/>
              <w:rPr>
                <w:rFonts w:ascii="宋体" w:hAnsi="宋体" w:eastAsia="宋体" w:cs="Times New Roman"/>
                <w:szCs w:val="21"/>
              </w:rPr>
            </w:pPr>
            <w:r>
              <w:rPr>
                <w:rFonts w:hint="eastAsia" w:ascii="宋体" w:hAnsi="宋体" w:eastAsia="宋体" w:cs="Times New Roman"/>
                <w:szCs w:val="21"/>
              </w:rPr>
              <w:t>食品中营养成分的测定、食品添加剂的测定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noWrap/>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2354" w:type="dxa"/>
            <w:noWrap/>
            <w:vAlign w:val="center"/>
          </w:tcPr>
          <w:p>
            <w:pPr>
              <w:jc w:val="left"/>
              <w:rPr>
                <w:rFonts w:ascii="宋体" w:hAnsi="宋体" w:eastAsia="宋体" w:cs="Times New Roman"/>
                <w:szCs w:val="21"/>
              </w:rPr>
            </w:pPr>
            <w:r>
              <w:rPr>
                <w:rFonts w:hint="eastAsia" w:ascii="宋体" w:hAnsi="宋体" w:eastAsia="宋体" w:cs="Times New Roman"/>
                <w:szCs w:val="21"/>
              </w:rPr>
              <w:t>药物分析实训室</w:t>
            </w:r>
          </w:p>
        </w:tc>
        <w:tc>
          <w:tcPr>
            <w:tcW w:w="5445" w:type="dxa"/>
            <w:noWrap/>
            <w:vAlign w:val="center"/>
          </w:tcPr>
          <w:p>
            <w:pPr>
              <w:jc w:val="left"/>
              <w:rPr>
                <w:rFonts w:ascii="宋体" w:hAnsi="宋体" w:eastAsia="宋体" w:cs="Times New Roman"/>
                <w:szCs w:val="21"/>
              </w:rPr>
            </w:pPr>
            <w:r>
              <w:rPr>
                <w:rFonts w:hint="eastAsia" w:ascii="宋体" w:hAnsi="宋体" w:eastAsia="宋体" w:cs="Times New Roman"/>
                <w:szCs w:val="21"/>
              </w:rPr>
              <w:t>药物主要有效成分的分析与检测、有毒成分的检测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noWrap/>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2354" w:type="dxa"/>
            <w:noWrap/>
            <w:vAlign w:val="center"/>
          </w:tcPr>
          <w:p>
            <w:pPr>
              <w:jc w:val="left"/>
              <w:rPr>
                <w:rFonts w:ascii="宋体" w:hAnsi="宋体" w:eastAsia="宋体" w:cs="Times New Roman"/>
                <w:szCs w:val="21"/>
              </w:rPr>
            </w:pPr>
            <w:r>
              <w:rPr>
                <w:rFonts w:hint="eastAsia" w:ascii="宋体" w:hAnsi="宋体" w:eastAsia="宋体" w:cs="Times New Roman"/>
                <w:szCs w:val="21"/>
              </w:rPr>
              <w:t>样品处理实训室</w:t>
            </w:r>
          </w:p>
        </w:tc>
        <w:tc>
          <w:tcPr>
            <w:tcW w:w="5445" w:type="dxa"/>
            <w:noWrap/>
            <w:vAlign w:val="center"/>
          </w:tcPr>
          <w:p>
            <w:pPr>
              <w:jc w:val="left"/>
              <w:rPr>
                <w:rFonts w:ascii="宋体" w:hAnsi="宋体" w:eastAsia="宋体" w:cs="Times New Roman"/>
                <w:szCs w:val="21"/>
              </w:rPr>
            </w:pPr>
            <w:r>
              <w:rPr>
                <w:rFonts w:hint="eastAsia" w:ascii="宋体" w:hAnsi="宋体" w:eastAsia="宋体" w:cs="Times New Roman"/>
                <w:szCs w:val="21"/>
              </w:rPr>
              <w:t>实训采样及样品处理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noWrap/>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2354" w:type="dxa"/>
            <w:noWrap/>
            <w:vAlign w:val="center"/>
          </w:tcPr>
          <w:p>
            <w:pPr>
              <w:jc w:val="left"/>
              <w:rPr>
                <w:rFonts w:ascii="宋体" w:hAnsi="宋体" w:eastAsia="宋体" w:cs="Times New Roman"/>
                <w:szCs w:val="21"/>
              </w:rPr>
            </w:pPr>
            <w:r>
              <w:rPr>
                <w:rFonts w:hint="eastAsia" w:ascii="宋体" w:hAnsi="宋体" w:eastAsia="宋体" w:cs="Times New Roman"/>
                <w:szCs w:val="21"/>
              </w:rPr>
              <w:t>煤质分析实训室</w:t>
            </w:r>
          </w:p>
        </w:tc>
        <w:tc>
          <w:tcPr>
            <w:tcW w:w="5445" w:type="dxa"/>
            <w:noWrap/>
            <w:vAlign w:val="center"/>
          </w:tcPr>
          <w:p>
            <w:pPr>
              <w:jc w:val="left"/>
              <w:rPr>
                <w:rFonts w:ascii="宋体" w:hAnsi="宋体" w:eastAsia="宋体" w:cs="Times New Roman"/>
                <w:szCs w:val="21"/>
              </w:rPr>
            </w:pPr>
            <w:r>
              <w:rPr>
                <w:rFonts w:hint="eastAsia" w:ascii="宋体" w:hAnsi="宋体" w:eastAsia="宋体" w:cs="Times New Roman"/>
                <w:szCs w:val="21"/>
              </w:rPr>
              <w:t>煤的元素分析和工业分析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noWrap/>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2354" w:type="dxa"/>
            <w:noWrap/>
            <w:vAlign w:val="center"/>
          </w:tcPr>
          <w:p>
            <w:pPr>
              <w:jc w:val="left"/>
              <w:rPr>
                <w:rFonts w:ascii="宋体" w:hAnsi="宋体" w:eastAsia="宋体" w:cs="Times New Roman"/>
                <w:szCs w:val="21"/>
              </w:rPr>
            </w:pPr>
            <w:r>
              <w:rPr>
                <w:rFonts w:hint="eastAsia" w:ascii="宋体" w:hAnsi="宋体" w:eastAsia="宋体" w:cs="Times New Roman"/>
                <w:szCs w:val="21"/>
              </w:rPr>
              <w:t>合成氨仿真实训室</w:t>
            </w:r>
          </w:p>
        </w:tc>
        <w:tc>
          <w:tcPr>
            <w:tcW w:w="5445" w:type="dxa"/>
            <w:noWrap/>
            <w:vAlign w:val="center"/>
          </w:tcPr>
          <w:p>
            <w:pPr>
              <w:jc w:val="left"/>
              <w:rPr>
                <w:rFonts w:ascii="宋体" w:hAnsi="宋体" w:eastAsia="宋体" w:cs="Times New Roman"/>
                <w:szCs w:val="21"/>
              </w:rPr>
            </w:pPr>
            <w:r>
              <w:rPr>
                <w:rFonts w:hint="eastAsia" w:ascii="宋体" w:hAnsi="宋体" w:eastAsia="宋体" w:cs="Times New Roman"/>
                <w:szCs w:val="21"/>
              </w:rPr>
              <w:t>合成氨工艺流程及工艺问题处理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noWrap/>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2354" w:type="dxa"/>
            <w:noWrap/>
            <w:vAlign w:val="center"/>
          </w:tcPr>
          <w:p>
            <w:pPr>
              <w:jc w:val="left"/>
              <w:rPr>
                <w:rFonts w:ascii="宋体" w:hAnsi="宋体" w:eastAsia="宋体" w:cs="Times New Roman"/>
                <w:szCs w:val="21"/>
              </w:rPr>
            </w:pPr>
            <w:r>
              <w:rPr>
                <w:rFonts w:ascii="Times New Roman" w:hAnsi="Times New Roman" w:eastAsia="宋体" w:cs="Times New Roman"/>
                <w:color w:val="000000"/>
              </w:rPr>
              <w:t>化工理实一体实训室</w:t>
            </w:r>
          </w:p>
        </w:tc>
        <w:tc>
          <w:tcPr>
            <w:tcW w:w="5445" w:type="dxa"/>
            <w:noWrap/>
            <w:vAlign w:val="center"/>
          </w:tcPr>
          <w:p>
            <w:pPr>
              <w:snapToGrid w:val="0"/>
              <w:jc w:val="left"/>
              <w:rPr>
                <w:rFonts w:ascii="宋体" w:hAnsi="宋体" w:eastAsia="宋体" w:cs="Times New Roman"/>
                <w:szCs w:val="21"/>
              </w:rPr>
            </w:pPr>
            <w:r>
              <w:rPr>
                <w:rFonts w:hint="eastAsia" w:ascii="宋体" w:hAnsi="宋体" w:eastAsia="宋体" w:cs="Times New Roman"/>
                <w:szCs w:val="21"/>
              </w:rPr>
              <w:t xml:space="preserve">认识实习、工艺绘图实训、生产操作安全实习、单体设备认知、生产岗位操作记录实训、安全事故应急预案演练等功能。 </w:t>
            </w:r>
          </w:p>
        </w:tc>
      </w:tr>
    </w:tbl>
    <w:p>
      <w:pPr>
        <w:spacing w:line="360" w:lineRule="auto"/>
        <w:jc w:val="center"/>
        <w:rPr>
          <w:szCs w:val="21"/>
        </w:rPr>
      </w:pPr>
    </w:p>
    <w:p>
      <w:pPr>
        <w:spacing w:line="360" w:lineRule="auto"/>
        <w:jc w:val="center"/>
        <w:rPr>
          <w:rFonts w:hAnsi="宋体"/>
          <w:bCs/>
          <w:sz w:val="24"/>
        </w:rPr>
      </w:pPr>
      <w:r>
        <w:rPr>
          <w:rFonts w:hAnsi="宋体"/>
          <w:bCs/>
          <w:sz w:val="24"/>
        </w:rPr>
        <w:t>表</w:t>
      </w:r>
      <w:r>
        <w:rPr>
          <w:bCs/>
          <w:sz w:val="24"/>
        </w:rPr>
        <w:t>5.</w:t>
      </w:r>
      <w:r>
        <w:rPr>
          <w:rFonts w:hint="eastAsia"/>
          <w:bCs/>
          <w:sz w:val="24"/>
        </w:rPr>
        <w:t>8</w:t>
      </w:r>
      <w:r>
        <w:rPr>
          <w:rFonts w:hAnsi="宋体"/>
          <w:bCs/>
          <w:sz w:val="24"/>
        </w:rPr>
        <w:t>校内实习基地主要设备一览表</w:t>
      </w:r>
    </w:p>
    <w:p>
      <w:pPr>
        <w:spacing w:line="360" w:lineRule="auto"/>
        <w:jc w:val="center"/>
        <w:rPr>
          <w:rFonts w:hAnsi="宋体"/>
          <w:bCs/>
          <w:sz w:val="24"/>
        </w:rPr>
      </w:pPr>
    </w:p>
    <w:tbl>
      <w:tblPr>
        <w:tblStyle w:val="1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9"/>
        <w:gridCol w:w="3435"/>
        <w:gridCol w:w="1031"/>
        <w:gridCol w:w="859"/>
        <w:gridCol w:w="1375"/>
        <w:gridCol w:w="1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619" w:type="dxa"/>
            <w:noWrap/>
            <w:vAlign w:val="center"/>
          </w:tcPr>
          <w:p>
            <w:pPr>
              <w:spacing w:line="380" w:lineRule="exact"/>
              <w:jc w:val="center"/>
              <w:rPr>
                <w:rFonts w:ascii="宋体" w:hAnsi="宋体" w:eastAsia="宋体" w:cs="Times New Roman"/>
                <w:b/>
                <w:szCs w:val="21"/>
              </w:rPr>
            </w:pPr>
            <w:bookmarkStart w:id="128" w:name="_Toc7654"/>
            <w:r>
              <w:rPr>
                <w:rFonts w:hint="eastAsia" w:ascii="宋体" w:hAnsi="宋体" w:eastAsia="宋体" w:cs="Times New Roman"/>
                <w:b/>
                <w:szCs w:val="21"/>
              </w:rPr>
              <w:t>序号</w:t>
            </w:r>
          </w:p>
        </w:tc>
        <w:tc>
          <w:tcPr>
            <w:tcW w:w="3435" w:type="dxa"/>
            <w:noWrap/>
            <w:vAlign w:val="center"/>
          </w:tcPr>
          <w:p>
            <w:pPr>
              <w:spacing w:line="380" w:lineRule="exact"/>
              <w:jc w:val="center"/>
              <w:rPr>
                <w:rFonts w:ascii="宋体" w:hAnsi="宋体" w:eastAsia="宋体" w:cs="Times New Roman"/>
                <w:b/>
                <w:szCs w:val="21"/>
              </w:rPr>
            </w:pPr>
            <w:r>
              <w:rPr>
                <w:rFonts w:hint="eastAsia" w:ascii="宋体" w:hAnsi="宋体" w:eastAsia="宋体" w:cs="Times New Roman"/>
                <w:b/>
                <w:szCs w:val="21"/>
              </w:rPr>
              <w:t>设备名称</w:t>
            </w:r>
          </w:p>
        </w:tc>
        <w:tc>
          <w:tcPr>
            <w:tcW w:w="1031" w:type="dxa"/>
            <w:noWrap/>
            <w:vAlign w:val="center"/>
          </w:tcPr>
          <w:p>
            <w:pPr>
              <w:spacing w:line="380" w:lineRule="exact"/>
              <w:jc w:val="center"/>
              <w:rPr>
                <w:rFonts w:ascii="宋体" w:hAnsi="宋体" w:eastAsia="宋体" w:cs="Times New Roman"/>
                <w:b/>
                <w:szCs w:val="21"/>
              </w:rPr>
            </w:pPr>
            <w:r>
              <w:rPr>
                <w:rFonts w:hint="eastAsia" w:ascii="宋体" w:hAnsi="宋体" w:eastAsia="宋体" w:cs="Times New Roman"/>
                <w:b/>
                <w:szCs w:val="21"/>
              </w:rPr>
              <w:t>单价</w:t>
            </w:r>
          </w:p>
        </w:tc>
        <w:tc>
          <w:tcPr>
            <w:tcW w:w="859" w:type="dxa"/>
            <w:noWrap/>
            <w:vAlign w:val="center"/>
          </w:tcPr>
          <w:p>
            <w:pPr>
              <w:spacing w:line="380" w:lineRule="exact"/>
              <w:jc w:val="center"/>
              <w:rPr>
                <w:rFonts w:ascii="宋体" w:hAnsi="宋体" w:eastAsia="宋体" w:cs="Times New Roman"/>
                <w:b/>
                <w:szCs w:val="21"/>
              </w:rPr>
            </w:pPr>
            <w:r>
              <w:rPr>
                <w:rFonts w:hint="eastAsia" w:ascii="宋体" w:hAnsi="宋体" w:eastAsia="宋体" w:cs="Times New Roman"/>
                <w:b/>
                <w:szCs w:val="21"/>
              </w:rPr>
              <w:t>台数</w:t>
            </w:r>
          </w:p>
        </w:tc>
        <w:tc>
          <w:tcPr>
            <w:tcW w:w="1375" w:type="dxa"/>
            <w:noWrap/>
            <w:vAlign w:val="center"/>
          </w:tcPr>
          <w:p>
            <w:pPr>
              <w:spacing w:line="380" w:lineRule="exact"/>
              <w:jc w:val="center"/>
              <w:rPr>
                <w:rFonts w:ascii="宋体" w:hAnsi="宋体" w:eastAsia="宋体" w:cs="Times New Roman"/>
                <w:b/>
                <w:szCs w:val="21"/>
              </w:rPr>
            </w:pPr>
            <w:r>
              <w:rPr>
                <w:rFonts w:hint="eastAsia" w:ascii="宋体" w:hAnsi="宋体" w:eastAsia="宋体" w:cs="Times New Roman"/>
                <w:b/>
                <w:szCs w:val="21"/>
              </w:rPr>
              <w:t>金额（万元）</w:t>
            </w:r>
          </w:p>
        </w:tc>
        <w:tc>
          <w:tcPr>
            <w:tcW w:w="1203" w:type="dxa"/>
            <w:noWrap/>
            <w:vAlign w:val="center"/>
          </w:tcPr>
          <w:p>
            <w:pPr>
              <w:spacing w:line="380" w:lineRule="exact"/>
              <w:jc w:val="center"/>
              <w:rPr>
                <w:rFonts w:ascii="宋体" w:hAnsi="宋体" w:eastAsia="宋体" w:cs="Times New Roman"/>
                <w:b/>
                <w:szCs w:val="21"/>
              </w:rPr>
            </w:pPr>
            <w:r>
              <w:rPr>
                <w:rFonts w:hint="eastAsia" w:ascii="宋体" w:hAnsi="宋体" w:eastAsia="宋体" w:cs="Times New Roman"/>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eastAsia="宋体" w:cs="Times New Roman"/>
                <w:bCs/>
                <w:szCs w:val="21"/>
              </w:rPr>
            </w:pPr>
            <w:r>
              <w:rPr>
                <w:rFonts w:hint="eastAsia" w:ascii="宋体" w:hAnsi="宋体" w:eastAsia="宋体" w:cs="Times New Roman"/>
                <w:bCs/>
                <w:szCs w:val="21"/>
              </w:rPr>
              <w:t>1</w:t>
            </w:r>
          </w:p>
        </w:tc>
        <w:tc>
          <w:tcPr>
            <w:tcW w:w="3435"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雷诺实验装置</w:t>
            </w:r>
          </w:p>
        </w:tc>
        <w:tc>
          <w:tcPr>
            <w:tcW w:w="1031"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0.556</w:t>
            </w:r>
          </w:p>
        </w:tc>
        <w:tc>
          <w:tcPr>
            <w:tcW w:w="859"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1套</w:t>
            </w:r>
          </w:p>
        </w:tc>
        <w:tc>
          <w:tcPr>
            <w:tcW w:w="1375"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0.556</w:t>
            </w:r>
          </w:p>
        </w:tc>
        <w:tc>
          <w:tcPr>
            <w:tcW w:w="1203" w:type="dxa"/>
            <w:noWrap/>
            <w:vAlign w:val="center"/>
          </w:tcPr>
          <w:p>
            <w:pPr>
              <w:spacing w:line="360" w:lineRule="auto"/>
              <w:jc w:val="center"/>
              <w:rPr>
                <w:rFonts w:ascii="宋体" w:hAnsi="宋体" w:eastAsia="宋体" w:cs="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eastAsia="宋体" w:cs="Times New Roman"/>
                <w:bCs/>
                <w:szCs w:val="21"/>
              </w:rPr>
            </w:pPr>
            <w:r>
              <w:rPr>
                <w:rFonts w:hint="eastAsia" w:ascii="宋体" w:hAnsi="宋体" w:eastAsia="宋体" w:cs="Times New Roman"/>
                <w:bCs/>
                <w:szCs w:val="21"/>
              </w:rPr>
              <w:t>2</w:t>
            </w:r>
          </w:p>
        </w:tc>
        <w:tc>
          <w:tcPr>
            <w:tcW w:w="3435"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伯努利方程式</w:t>
            </w:r>
          </w:p>
        </w:tc>
        <w:tc>
          <w:tcPr>
            <w:tcW w:w="1031"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0.555</w:t>
            </w:r>
          </w:p>
        </w:tc>
        <w:tc>
          <w:tcPr>
            <w:tcW w:w="859"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1套</w:t>
            </w:r>
          </w:p>
        </w:tc>
        <w:tc>
          <w:tcPr>
            <w:tcW w:w="1375"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0.555</w:t>
            </w:r>
          </w:p>
        </w:tc>
        <w:tc>
          <w:tcPr>
            <w:tcW w:w="1203" w:type="dxa"/>
            <w:noWrap/>
            <w:vAlign w:val="center"/>
          </w:tcPr>
          <w:p>
            <w:pPr>
              <w:spacing w:line="360" w:lineRule="auto"/>
              <w:jc w:val="center"/>
              <w:rPr>
                <w:rFonts w:ascii="宋体" w:hAnsi="宋体" w:eastAsia="宋体" w:cs="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eastAsia="宋体" w:cs="Times New Roman"/>
                <w:bCs/>
                <w:szCs w:val="21"/>
              </w:rPr>
            </w:pPr>
            <w:r>
              <w:rPr>
                <w:rFonts w:hint="eastAsia" w:ascii="宋体" w:hAnsi="宋体" w:eastAsia="宋体" w:cs="Times New Roman"/>
                <w:bCs/>
                <w:szCs w:val="21"/>
              </w:rPr>
              <w:t>3</w:t>
            </w:r>
          </w:p>
        </w:tc>
        <w:tc>
          <w:tcPr>
            <w:tcW w:w="3435"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单相流动阻力实验装置</w:t>
            </w:r>
          </w:p>
        </w:tc>
        <w:tc>
          <w:tcPr>
            <w:tcW w:w="1031"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1.3</w:t>
            </w:r>
          </w:p>
        </w:tc>
        <w:tc>
          <w:tcPr>
            <w:tcW w:w="859"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1套</w:t>
            </w:r>
          </w:p>
        </w:tc>
        <w:tc>
          <w:tcPr>
            <w:tcW w:w="1375"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1.3</w:t>
            </w:r>
          </w:p>
        </w:tc>
        <w:tc>
          <w:tcPr>
            <w:tcW w:w="1203" w:type="dxa"/>
            <w:noWrap/>
            <w:vAlign w:val="center"/>
          </w:tcPr>
          <w:p>
            <w:pPr>
              <w:spacing w:line="360" w:lineRule="auto"/>
              <w:jc w:val="center"/>
              <w:rPr>
                <w:rFonts w:ascii="宋体" w:hAnsi="宋体" w:eastAsia="宋体" w:cs="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eastAsia="宋体" w:cs="Times New Roman"/>
                <w:bCs/>
                <w:szCs w:val="21"/>
              </w:rPr>
            </w:pPr>
            <w:r>
              <w:rPr>
                <w:rFonts w:hint="eastAsia" w:ascii="宋体" w:hAnsi="宋体" w:eastAsia="宋体" w:cs="Times New Roman"/>
                <w:bCs/>
                <w:szCs w:val="21"/>
              </w:rPr>
              <w:t>4</w:t>
            </w:r>
          </w:p>
        </w:tc>
        <w:tc>
          <w:tcPr>
            <w:tcW w:w="3435"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传热实验装置</w:t>
            </w:r>
          </w:p>
        </w:tc>
        <w:tc>
          <w:tcPr>
            <w:tcW w:w="1031"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2.27</w:t>
            </w:r>
          </w:p>
        </w:tc>
        <w:tc>
          <w:tcPr>
            <w:tcW w:w="859"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1套</w:t>
            </w:r>
          </w:p>
        </w:tc>
        <w:tc>
          <w:tcPr>
            <w:tcW w:w="1375"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2.27</w:t>
            </w:r>
          </w:p>
        </w:tc>
        <w:tc>
          <w:tcPr>
            <w:tcW w:w="1203" w:type="dxa"/>
            <w:noWrap/>
            <w:vAlign w:val="center"/>
          </w:tcPr>
          <w:p>
            <w:pPr>
              <w:spacing w:line="360" w:lineRule="auto"/>
              <w:jc w:val="center"/>
              <w:rPr>
                <w:rFonts w:ascii="宋体" w:hAnsi="宋体" w:eastAsia="宋体" w:cs="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eastAsia="宋体" w:cs="Times New Roman"/>
                <w:bCs/>
                <w:szCs w:val="21"/>
              </w:rPr>
            </w:pPr>
            <w:r>
              <w:rPr>
                <w:rFonts w:hint="eastAsia" w:ascii="宋体" w:hAnsi="宋体" w:eastAsia="宋体" w:cs="Times New Roman"/>
                <w:bCs/>
                <w:szCs w:val="21"/>
              </w:rPr>
              <w:t>5</w:t>
            </w:r>
          </w:p>
        </w:tc>
        <w:tc>
          <w:tcPr>
            <w:tcW w:w="3435"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吸收实验装置</w:t>
            </w:r>
          </w:p>
        </w:tc>
        <w:tc>
          <w:tcPr>
            <w:tcW w:w="1031"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2.5</w:t>
            </w:r>
          </w:p>
        </w:tc>
        <w:tc>
          <w:tcPr>
            <w:tcW w:w="859"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1套</w:t>
            </w:r>
          </w:p>
        </w:tc>
        <w:tc>
          <w:tcPr>
            <w:tcW w:w="1375"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2.5</w:t>
            </w:r>
          </w:p>
        </w:tc>
        <w:tc>
          <w:tcPr>
            <w:tcW w:w="1203" w:type="dxa"/>
            <w:noWrap/>
            <w:vAlign w:val="center"/>
          </w:tcPr>
          <w:p>
            <w:pPr>
              <w:spacing w:line="360" w:lineRule="auto"/>
              <w:jc w:val="center"/>
              <w:rPr>
                <w:rFonts w:ascii="宋体" w:hAnsi="宋体" w:eastAsia="宋体" w:cs="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eastAsia="宋体" w:cs="Times New Roman"/>
                <w:bCs/>
                <w:szCs w:val="21"/>
              </w:rPr>
            </w:pPr>
            <w:r>
              <w:rPr>
                <w:rFonts w:hint="eastAsia" w:ascii="宋体" w:hAnsi="宋体" w:eastAsia="宋体" w:cs="Times New Roman"/>
                <w:bCs/>
                <w:szCs w:val="21"/>
              </w:rPr>
              <w:t>6</w:t>
            </w:r>
          </w:p>
        </w:tc>
        <w:tc>
          <w:tcPr>
            <w:tcW w:w="3435"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精馏塔数采及控制装置</w:t>
            </w:r>
          </w:p>
        </w:tc>
        <w:tc>
          <w:tcPr>
            <w:tcW w:w="1031"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2.27</w:t>
            </w:r>
          </w:p>
        </w:tc>
        <w:tc>
          <w:tcPr>
            <w:tcW w:w="859" w:type="dxa"/>
            <w:noWrap/>
            <w:vAlign w:val="center"/>
          </w:tcPr>
          <w:p>
            <w:pPr>
              <w:autoSpaceDN w:val="0"/>
              <w:jc w:val="center"/>
              <w:textAlignment w:val="center"/>
              <w:rPr>
                <w:rFonts w:ascii="宋体" w:hAnsi="宋体" w:eastAsia="宋体" w:cs="Times New Roman"/>
                <w:szCs w:val="21"/>
              </w:rPr>
            </w:pPr>
            <w:r>
              <w:rPr>
                <w:rFonts w:hint="eastAsia" w:ascii="宋体" w:hAnsi="宋体" w:eastAsia="宋体" w:cs="Times New Roman"/>
                <w:color w:val="000000"/>
                <w:szCs w:val="21"/>
              </w:rPr>
              <w:t>1套</w:t>
            </w:r>
          </w:p>
        </w:tc>
        <w:tc>
          <w:tcPr>
            <w:tcW w:w="1375"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2.27</w:t>
            </w:r>
          </w:p>
        </w:tc>
        <w:tc>
          <w:tcPr>
            <w:tcW w:w="1203" w:type="dxa"/>
            <w:noWrap/>
            <w:vAlign w:val="center"/>
          </w:tcPr>
          <w:p>
            <w:pPr>
              <w:spacing w:line="360" w:lineRule="auto"/>
              <w:jc w:val="center"/>
              <w:rPr>
                <w:rFonts w:ascii="宋体" w:hAnsi="宋体" w:eastAsia="宋体" w:cs="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eastAsia="宋体" w:cs="Times New Roman"/>
                <w:bCs/>
                <w:szCs w:val="21"/>
              </w:rPr>
            </w:pPr>
            <w:r>
              <w:rPr>
                <w:rFonts w:hint="eastAsia" w:ascii="宋体" w:hAnsi="宋体" w:eastAsia="宋体" w:cs="Times New Roman"/>
                <w:bCs/>
                <w:szCs w:val="21"/>
              </w:rPr>
              <w:t>7</w:t>
            </w:r>
          </w:p>
        </w:tc>
        <w:tc>
          <w:tcPr>
            <w:tcW w:w="3435"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数子电导率仪</w:t>
            </w:r>
          </w:p>
        </w:tc>
        <w:tc>
          <w:tcPr>
            <w:tcW w:w="1031"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0.1576</w:t>
            </w:r>
          </w:p>
        </w:tc>
        <w:tc>
          <w:tcPr>
            <w:tcW w:w="859" w:type="dxa"/>
            <w:noWrap/>
            <w:vAlign w:val="center"/>
          </w:tcPr>
          <w:p>
            <w:pPr>
              <w:autoSpaceDN w:val="0"/>
              <w:jc w:val="center"/>
              <w:textAlignment w:val="center"/>
              <w:rPr>
                <w:rFonts w:ascii="宋体" w:hAnsi="宋体" w:eastAsia="宋体" w:cs="Times New Roman"/>
                <w:szCs w:val="21"/>
              </w:rPr>
            </w:pPr>
            <w:r>
              <w:rPr>
                <w:rFonts w:hint="eastAsia" w:ascii="宋体" w:hAnsi="宋体" w:eastAsia="宋体" w:cs="Times New Roman"/>
                <w:szCs w:val="21"/>
              </w:rPr>
              <w:t>5台</w:t>
            </w:r>
          </w:p>
        </w:tc>
        <w:tc>
          <w:tcPr>
            <w:tcW w:w="1375" w:type="dxa"/>
            <w:noWrap/>
            <w:vAlign w:val="center"/>
          </w:tcPr>
          <w:p>
            <w:pPr>
              <w:spacing w:line="360" w:lineRule="auto"/>
              <w:jc w:val="center"/>
              <w:rPr>
                <w:rFonts w:ascii="宋体" w:hAnsi="宋体" w:eastAsia="宋体" w:cs="Times New Roman"/>
                <w:bCs/>
                <w:szCs w:val="21"/>
              </w:rPr>
            </w:pPr>
            <w:r>
              <w:rPr>
                <w:rFonts w:hint="eastAsia" w:ascii="宋体" w:hAnsi="宋体" w:eastAsia="宋体" w:cs="Times New Roman"/>
                <w:color w:val="000000"/>
                <w:szCs w:val="21"/>
              </w:rPr>
              <w:t>0.788</w:t>
            </w:r>
          </w:p>
        </w:tc>
        <w:tc>
          <w:tcPr>
            <w:tcW w:w="1203" w:type="dxa"/>
            <w:noWrap/>
            <w:vAlign w:val="center"/>
          </w:tcPr>
          <w:p>
            <w:pPr>
              <w:spacing w:line="360" w:lineRule="auto"/>
              <w:jc w:val="center"/>
              <w:rPr>
                <w:rFonts w:ascii="宋体" w:hAnsi="宋体" w:eastAsia="宋体" w:cs="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eastAsia="宋体" w:cs="Times New Roman"/>
                <w:bCs/>
                <w:szCs w:val="21"/>
              </w:rPr>
            </w:pPr>
            <w:r>
              <w:rPr>
                <w:rFonts w:hint="eastAsia" w:ascii="宋体" w:hAnsi="宋体" w:eastAsia="宋体" w:cs="Times New Roman"/>
                <w:bCs/>
                <w:szCs w:val="21"/>
              </w:rPr>
              <w:t>8</w:t>
            </w:r>
          </w:p>
        </w:tc>
        <w:tc>
          <w:tcPr>
            <w:tcW w:w="3435"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电位滴定装置</w:t>
            </w:r>
          </w:p>
        </w:tc>
        <w:tc>
          <w:tcPr>
            <w:tcW w:w="1031" w:type="dxa"/>
            <w:noWrap/>
            <w:vAlign w:val="center"/>
          </w:tcPr>
          <w:p>
            <w:pPr>
              <w:spacing w:line="360" w:lineRule="auto"/>
              <w:jc w:val="center"/>
              <w:rPr>
                <w:rFonts w:ascii="宋体" w:hAnsi="宋体" w:eastAsia="宋体" w:cs="Times New Roman"/>
                <w:bCs/>
                <w:szCs w:val="21"/>
              </w:rPr>
            </w:pPr>
            <w:r>
              <w:rPr>
                <w:rFonts w:hint="eastAsia" w:ascii="宋体" w:hAnsi="宋体" w:eastAsia="宋体" w:cs="Times New Roman"/>
                <w:color w:val="000000"/>
                <w:szCs w:val="21"/>
              </w:rPr>
              <w:t>0.4494</w:t>
            </w:r>
          </w:p>
        </w:tc>
        <w:tc>
          <w:tcPr>
            <w:tcW w:w="859" w:type="dxa"/>
            <w:noWrap/>
            <w:vAlign w:val="center"/>
          </w:tcPr>
          <w:p>
            <w:pPr>
              <w:autoSpaceDN w:val="0"/>
              <w:jc w:val="center"/>
              <w:textAlignment w:val="center"/>
              <w:rPr>
                <w:rFonts w:ascii="宋体" w:hAnsi="宋体" w:eastAsia="宋体" w:cs="Times New Roman"/>
                <w:szCs w:val="21"/>
              </w:rPr>
            </w:pPr>
            <w:r>
              <w:rPr>
                <w:rFonts w:hint="eastAsia" w:ascii="宋体" w:hAnsi="宋体" w:eastAsia="宋体" w:cs="Times New Roman"/>
                <w:szCs w:val="21"/>
              </w:rPr>
              <w:t>10</w:t>
            </w:r>
          </w:p>
        </w:tc>
        <w:tc>
          <w:tcPr>
            <w:tcW w:w="1375"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4.494</w:t>
            </w:r>
          </w:p>
        </w:tc>
        <w:tc>
          <w:tcPr>
            <w:tcW w:w="1203" w:type="dxa"/>
            <w:noWrap/>
            <w:vAlign w:val="center"/>
          </w:tcPr>
          <w:p>
            <w:pPr>
              <w:spacing w:line="360" w:lineRule="auto"/>
              <w:jc w:val="center"/>
              <w:rPr>
                <w:rFonts w:ascii="宋体" w:hAnsi="宋体" w:eastAsia="宋体" w:cs="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eastAsia="宋体" w:cs="Times New Roman"/>
                <w:bCs/>
                <w:szCs w:val="21"/>
              </w:rPr>
            </w:pPr>
            <w:r>
              <w:rPr>
                <w:rFonts w:hint="eastAsia" w:ascii="宋体" w:hAnsi="宋体" w:eastAsia="宋体" w:cs="Times New Roman"/>
                <w:bCs/>
                <w:szCs w:val="21"/>
              </w:rPr>
              <w:t>9</w:t>
            </w:r>
          </w:p>
        </w:tc>
        <w:tc>
          <w:tcPr>
            <w:tcW w:w="3435"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可见分光光度计</w:t>
            </w:r>
          </w:p>
        </w:tc>
        <w:tc>
          <w:tcPr>
            <w:tcW w:w="1031"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0.266</w:t>
            </w:r>
          </w:p>
        </w:tc>
        <w:tc>
          <w:tcPr>
            <w:tcW w:w="859" w:type="dxa"/>
            <w:noWrap/>
            <w:vAlign w:val="center"/>
          </w:tcPr>
          <w:p>
            <w:pPr>
              <w:autoSpaceDN w:val="0"/>
              <w:jc w:val="center"/>
              <w:textAlignment w:val="center"/>
              <w:rPr>
                <w:rFonts w:ascii="宋体" w:hAnsi="宋体" w:eastAsia="宋体" w:cs="Times New Roman"/>
                <w:szCs w:val="21"/>
              </w:rPr>
            </w:pPr>
            <w:r>
              <w:rPr>
                <w:rFonts w:hint="eastAsia" w:ascii="宋体" w:hAnsi="宋体" w:eastAsia="宋体" w:cs="Times New Roman"/>
                <w:szCs w:val="21"/>
              </w:rPr>
              <w:t>30</w:t>
            </w:r>
          </w:p>
        </w:tc>
        <w:tc>
          <w:tcPr>
            <w:tcW w:w="1375" w:type="dxa"/>
            <w:noWrap/>
            <w:vAlign w:val="center"/>
          </w:tcPr>
          <w:p>
            <w:pPr>
              <w:spacing w:line="360" w:lineRule="auto"/>
              <w:jc w:val="center"/>
              <w:rPr>
                <w:rFonts w:ascii="宋体" w:hAnsi="宋体" w:eastAsia="宋体" w:cs="Times New Roman"/>
                <w:bCs/>
                <w:szCs w:val="21"/>
              </w:rPr>
            </w:pPr>
            <w:r>
              <w:rPr>
                <w:rFonts w:hint="eastAsia" w:ascii="宋体" w:hAnsi="宋体" w:eastAsia="宋体" w:cs="Times New Roman"/>
                <w:color w:val="000000"/>
                <w:szCs w:val="21"/>
              </w:rPr>
              <w:t>7.98</w:t>
            </w:r>
          </w:p>
        </w:tc>
        <w:tc>
          <w:tcPr>
            <w:tcW w:w="1203" w:type="dxa"/>
            <w:noWrap/>
            <w:vAlign w:val="center"/>
          </w:tcPr>
          <w:p>
            <w:pPr>
              <w:spacing w:line="360" w:lineRule="auto"/>
              <w:jc w:val="center"/>
              <w:rPr>
                <w:rFonts w:ascii="宋体" w:hAnsi="宋体" w:eastAsia="宋体" w:cs="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eastAsia="宋体" w:cs="Times New Roman"/>
                <w:bCs/>
                <w:szCs w:val="21"/>
              </w:rPr>
            </w:pPr>
            <w:r>
              <w:rPr>
                <w:rFonts w:hint="eastAsia" w:ascii="宋体" w:hAnsi="宋体" w:eastAsia="宋体" w:cs="Times New Roman"/>
                <w:bCs/>
                <w:szCs w:val="21"/>
              </w:rPr>
              <w:t>10</w:t>
            </w:r>
          </w:p>
        </w:tc>
        <w:tc>
          <w:tcPr>
            <w:tcW w:w="3435"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超声波清洗器</w:t>
            </w:r>
          </w:p>
        </w:tc>
        <w:tc>
          <w:tcPr>
            <w:tcW w:w="1031"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0.57</w:t>
            </w:r>
          </w:p>
        </w:tc>
        <w:tc>
          <w:tcPr>
            <w:tcW w:w="859" w:type="dxa"/>
            <w:noWrap/>
            <w:vAlign w:val="center"/>
          </w:tcPr>
          <w:p>
            <w:pPr>
              <w:autoSpaceDN w:val="0"/>
              <w:jc w:val="center"/>
              <w:textAlignment w:val="center"/>
              <w:rPr>
                <w:rFonts w:ascii="宋体" w:hAnsi="宋体" w:eastAsia="宋体" w:cs="Times New Roman"/>
                <w:szCs w:val="21"/>
              </w:rPr>
            </w:pPr>
            <w:r>
              <w:rPr>
                <w:rFonts w:hint="eastAsia" w:ascii="宋体" w:hAnsi="宋体" w:eastAsia="宋体" w:cs="Times New Roman"/>
                <w:color w:val="000000"/>
                <w:szCs w:val="21"/>
              </w:rPr>
              <w:t>3台</w:t>
            </w:r>
          </w:p>
        </w:tc>
        <w:tc>
          <w:tcPr>
            <w:tcW w:w="1375"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1.71</w:t>
            </w:r>
          </w:p>
        </w:tc>
        <w:tc>
          <w:tcPr>
            <w:tcW w:w="1203" w:type="dxa"/>
            <w:noWrap/>
            <w:vAlign w:val="center"/>
          </w:tcPr>
          <w:p>
            <w:pPr>
              <w:spacing w:line="360" w:lineRule="auto"/>
              <w:jc w:val="center"/>
              <w:rPr>
                <w:rFonts w:ascii="宋体" w:hAnsi="宋体" w:eastAsia="宋体" w:cs="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eastAsia="宋体" w:cs="Times New Roman"/>
                <w:bCs/>
                <w:szCs w:val="21"/>
              </w:rPr>
            </w:pPr>
            <w:r>
              <w:rPr>
                <w:rFonts w:hint="eastAsia" w:ascii="宋体" w:hAnsi="宋体" w:eastAsia="宋体" w:cs="Times New Roman"/>
                <w:bCs/>
                <w:szCs w:val="21"/>
              </w:rPr>
              <w:t>11</w:t>
            </w:r>
          </w:p>
        </w:tc>
        <w:tc>
          <w:tcPr>
            <w:tcW w:w="3435"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恒温水浴锅</w:t>
            </w:r>
          </w:p>
        </w:tc>
        <w:tc>
          <w:tcPr>
            <w:tcW w:w="1031"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0.0822</w:t>
            </w:r>
          </w:p>
        </w:tc>
        <w:tc>
          <w:tcPr>
            <w:tcW w:w="859" w:type="dxa"/>
            <w:noWrap/>
            <w:vAlign w:val="center"/>
          </w:tcPr>
          <w:p>
            <w:pPr>
              <w:autoSpaceDN w:val="0"/>
              <w:jc w:val="center"/>
              <w:textAlignment w:val="center"/>
              <w:rPr>
                <w:rFonts w:ascii="宋体" w:hAnsi="宋体" w:eastAsia="宋体" w:cs="Times New Roman"/>
                <w:szCs w:val="21"/>
              </w:rPr>
            </w:pPr>
            <w:r>
              <w:rPr>
                <w:rFonts w:hint="eastAsia" w:ascii="宋体" w:hAnsi="宋体" w:eastAsia="宋体" w:cs="Times New Roman"/>
                <w:color w:val="000000"/>
                <w:szCs w:val="21"/>
              </w:rPr>
              <w:t>7台</w:t>
            </w:r>
          </w:p>
        </w:tc>
        <w:tc>
          <w:tcPr>
            <w:tcW w:w="1375"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0.5754</w:t>
            </w:r>
          </w:p>
        </w:tc>
        <w:tc>
          <w:tcPr>
            <w:tcW w:w="1203" w:type="dxa"/>
            <w:noWrap/>
            <w:vAlign w:val="center"/>
          </w:tcPr>
          <w:p>
            <w:pPr>
              <w:spacing w:line="360" w:lineRule="auto"/>
              <w:jc w:val="center"/>
              <w:rPr>
                <w:rFonts w:ascii="宋体" w:hAnsi="宋体" w:eastAsia="宋体" w:cs="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eastAsia="宋体" w:cs="Times New Roman"/>
                <w:bCs/>
                <w:szCs w:val="21"/>
              </w:rPr>
            </w:pPr>
            <w:r>
              <w:rPr>
                <w:rFonts w:hint="eastAsia" w:ascii="宋体" w:hAnsi="宋体" w:eastAsia="宋体" w:cs="Times New Roman"/>
                <w:bCs/>
                <w:szCs w:val="21"/>
              </w:rPr>
              <w:t>12</w:t>
            </w:r>
          </w:p>
        </w:tc>
        <w:tc>
          <w:tcPr>
            <w:tcW w:w="3435"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精馏操作实训装置</w:t>
            </w:r>
          </w:p>
        </w:tc>
        <w:tc>
          <w:tcPr>
            <w:tcW w:w="1031"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20</w:t>
            </w:r>
          </w:p>
        </w:tc>
        <w:tc>
          <w:tcPr>
            <w:tcW w:w="859" w:type="dxa"/>
            <w:noWrap/>
            <w:vAlign w:val="center"/>
          </w:tcPr>
          <w:p>
            <w:pPr>
              <w:autoSpaceDN w:val="0"/>
              <w:jc w:val="center"/>
              <w:textAlignment w:val="center"/>
              <w:rPr>
                <w:rFonts w:ascii="宋体" w:hAnsi="宋体" w:eastAsia="宋体" w:cs="Times New Roman"/>
                <w:szCs w:val="21"/>
              </w:rPr>
            </w:pPr>
            <w:r>
              <w:rPr>
                <w:rFonts w:hint="eastAsia" w:ascii="宋体" w:hAnsi="宋体" w:eastAsia="宋体" w:cs="Times New Roman"/>
                <w:szCs w:val="21"/>
              </w:rPr>
              <w:t>1</w:t>
            </w:r>
          </w:p>
        </w:tc>
        <w:tc>
          <w:tcPr>
            <w:tcW w:w="1375" w:type="dxa"/>
            <w:noWrap/>
            <w:vAlign w:val="center"/>
          </w:tcPr>
          <w:p>
            <w:pPr>
              <w:spacing w:line="360" w:lineRule="auto"/>
              <w:jc w:val="center"/>
              <w:rPr>
                <w:rFonts w:ascii="宋体" w:hAnsi="宋体" w:eastAsia="宋体" w:cs="Times New Roman"/>
                <w:bCs/>
                <w:szCs w:val="21"/>
              </w:rPr>
            </w:pPr>
            <w:r>
              <w:rPr>
                <w:rFonts w:hint="eastAsia" w:ascii="宋体" w:hAnsi="宋体" w:eastAsia="宋体" w:cs="Times New Roman"/>
                <w:color w:val="000000"/>
                <w:szCs w:val="21"/>
              </w:rPr>
              <w:t>20</w:t>
            </w:r>
          </w:p>
        </w:tc>
        <w:tc>
          <w:tcPr>
            <w:tcW w:w="1203" w:type="dxa"/>
            <w:noWrap/>
            <w:vAlign w:val="center"/>
          </w:tcPr>
          <w:p>
            <w:pPr>
              <w:spacing w:line="360" w:lineRule="auto"/>
              <w:jc w:val="center"/>
              <w:rPr>
                <w:rFonts w:ascii="宋体" w:hAnsi="宋体" w:eastAsia="宋体" w:cs="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eastAsia="宋体" w:cs="Times New Roman"/>
                <w:bCs/>
                <w:szCs w:val="21"/>
              </w:rPr>
            </w:pPr>
            <w:r>
              <w:rPr>
                <w:rFonts w:hint="eastAsia" w:ascii="宋体" w:hAnsi="宋体" w:eastAsia="宋体" w:cs="Times New Roman"/>
                <w:bCs/>
                <w:szCs w:val="21"/>
              </w:rPr>
              <w:t>13</w:t>
            </w:r>
          </w:p>
        </w:tc>
        <w:tc>
          <w:tcPr>
            <w:tcW w:w="3435"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高效液相色谱仪</w:t>
            </w:r>
          </w:p>
        </w:tc>
        <w:tc>
          <w:tcPr>
            <w:tcW w:w="1031"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22.2</w:t>
            </w:r>
          </w:p>
        </w:tc>
        <w:tc>
          <w:tcPr>
            <w:tcW w:w="859" w:type="dxa"/>
            <w:noWrap/>
            <w:vAlign w:val="center"/>
          </w:tcPr>
          <w:p>
            <w:pPr>
              <w:spacing w:line="360" w:lineRule="auto"/>
              <w:jc w:val="center"/>
              <w:rPr>
                <w:rFonts w:ascii="宋体" w:hAnsi="宋体" w:eastAsia="宋体" w:cs="Times New Roman"/>
                <w:szCs w:val="21"/>
              </w:rPr>
            </w:pPr>
            <w:r>
              <w:rPr>
                <w:rFonts w:hint="eastAsia" w:ascii="宋体" w:hAnsi="宋体" w:eastAsia="宋体" w:cs="Times New Roman"/>
                <w:szCs w:val="21"/>
              </w:rPr>
              <w:t>1</w:t>
            </w:r>
          </w:p>
        </w:tc>
        <w:tc>
          <w:tcPr>
            <w:tcW w:w="1375"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22.2</w:t>
            </w:r>
          </w:p>
        </w:tc>
        <w:tc>
          <w:tcPr>
            <w:tcW w:w="1203" w:type="dxa"/>
            <w:noWrap/>
            <w:vAlign w:val="center"/>
          </w:tcPr>
          <w:p>
            <w:pPr>
              <w:spacing w:line="360" w:lineRule="auto"/>
              <w:jc w:val="center"/>
              <w:rPr>
                <w:rFonts w:ascii="宋体" w:hAnsi="宋体" w:eastAsia="宋体" w:cs="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eastAsia="宋体" w:cs="Times New Roman"/>
                <w:bCs/>
                <w:szCs w:val="21"/>
              </w:rPr>
            </w:pPr>
            <w:r>
              <w:rPr>
                <w:rFonts w:hint="eastAsia" w:ascii="宋体" w:hAnsi="宋体" w:eastAsia="宋体" w:cs="Times New Roman"/>
                <w:bCs/>
                <w:szCs w:val="21"/>
              </w:rPr>
              <w:t>14</w:t>
            </w:r>
          </w:p>
        </w:tc>
        <w:tc>
          <w:tcPr>
            <w:tcW w:w="3435"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紫外可见光分光光度计</w:t>
            </w:r>
          </w:p>
        </w:tc>
        <w:tc>
          <w:tcPr>
            <w:tcW w:w="1031"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6</w:t>
            </w:r>
          </w:p>
        </w:tc>
        <w:tc>
          <w:tcPr>
            <w:tcW w:w="859" w:type="dxa"/>
            <w:noWrap/>
            <w:vAlign w:val="center"/>
          </w:tcPr>
          <w:p>
            <w:pPr>
              <w:autoSpaceDN w:val="0"/>
              <w:jc w:val="center"/>
              <w:textAlignment w:val="center"/>
              <w:rPr>
                <w:rFonts w:ascii="宋体" w:hAnsi="宋体" w:eastAsia="宋体" w:cs="Times New Roman"/>
                <w:szCs w:val="21"/>
              </w:rPr>
            </w:pPr>
            <w:r>
              <w:rPr>
                <w:rFonts w:hint="eastAsia" w:ascii="宋体" w:hAnsi="宋体" w:eastAsia="宋体" w:cs="Times New Roman"/>
                <w:szCs w:val="21"/>
              </w:rPr>
              <w:t>1</w:t>
            </w:r>
          </w:p>
        </w:tc>
        <w:tc>
          <w:tcPr>
            <w:tcW w:w="1375" w:type="dxa"/>
            <w:noWrap/>
            <w:vAlign w:val="center"/>
          </w:tcPr>
          <w:p>
            <w:pPr>
              <w:spacing w:line="360" w:lineRule="auto"/>
              <w:jc w:val="center"/>
              <w:rPr>
                <w:rFonts w:ascii="宋体" w:hAnsi="宋体" w:eastAsia="宋体" w:cs="Times New Roman"/>
                <w:bCs/>
                <w:szCs w:val="21"/>
              </w:rPr>
            </w:pPr>
            <w:r>
              <w:rPr>
                <w:rFonts w:hint="eastAsia" w:ascii="宋体" w:hAnsi="宋体" w:eastAsia="宋体" w:cs="Times New Roman"/>
                <w:color w:val="000000"/>
                <w:szCs w:val="21"/>
              </w:rPr>
              <w:t>6</w:t>
            </w:r>
          </w:p>
        </w:tc>
        <w:tc>
          <w:tcPr>
            <w:tcW w:w="1203" w:type="dxa"/>
            <w:noWrap/>
            <w:vAlign w:val="center"/>
          </w:tcPr>
          <w:p>
            <w:pPr>
              <w:spacing w:line="360" w:lineRule="auto"/>
              <w:jc w:val="center"/>
              <w:rPr>
                <w:rFonts w:ascii="宋体" w:hAnsi="宋体" w:eastAsia="宋体" w:cs="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eastAsia="宋体" w:cs="Times New Roman"/>
                <w:bCs/>
                <w:szCs w:val="21"/>
              </w:rPr>
            </w:pPr>
            <w:r>
              <w:rPr>
                <w:rFonts w:hint="eastAsia" w:ascii="宋体" w:hAnsi="宋体" w:eastAsia="宋体" w:cs="Times New Roman"/>
                <w:bCs/>
                <w:szCs w:val="21"/>
              </w:rPr>
              <w:t>15</w:t>
            </w:r>
          </w:p>
        </w:tc>
        <w:tc>
          <w:tcPr>
            <w:tcW w:w="3435"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旋转蒸发器(蒸发锅)</w:t>
            </w:r>
          </w:p>
        </w:tc>
        <w:tc>
          <w:tcPr>
            <w:tcW w:w="1031"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0.485</w:t>
            </w:r>
          </w:p>
        </w:tc>
        <w:tc>
          <w:tcPr>
            <w:tcW w:w="859" w:type="dxa"/>
            <w:noWrap/>
            <w:vAlign w:val="center"/>
          </w:tcPr>
          <w:p>
            <w:pPr>
              <w:autoSpaceDN w:val="0"/>
              <w:jc w:val="center"/>
              <w:textAlignment w:val="center"/>
              <w:rPr>
                <w:rFonts w:ascii="宋体" w:hAnsi="宋体" w:eastAsia="宋体" w:cs="Times New Roman"/>
                <w:szCs w:val="21"/>
              </w:rPr>
            </w:pPr>
            <w:r>
              <w:rPr>
                <w:rFonts w:hint="eastAsia" w:ascii="宋体" w:hAnsi="宋体" w:eastAsia="宋体" w:cs="Times New Roman"/>
                <w:szCs w:val="21"/>
              </w:rPr>
              <w:t>11</w:t>
            </w:r>
          </w:p>
        </w:tc>
        <w:tc>
          <w:tcPr>
            <w:tcW w:w="1375"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5.335</w:t>
            </w:r>
          </w:p>
        </w:tc>
        <w:tc>
          <w:tcPr>
            <w:tcW w:w="1203" w:type="dxa"/>
            <w:noWrap/>
            <w:vAlign w:val="center"/>
          </w:tcPr>
          <w:p>
            <w:pPr>
              <w:spacing w:line="360" w:lineRule="auto"/>
              <w:jc w:val="center"/>
              <w:rPr>
                <w:rFonts w:ascii="宋体" w:hAnsi="宋体" w:eastAsia="宋体" w:cs="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eastAsia="宋体" w:cs="Times New Roman"/>
                <w:bCs/>
                <w:szCs w:val="21"/>
              </w:rPr>
            </w:pPr>
            <w:r>
              <w:rPr>
                <w:rFonts w:hint="eastAsia" w:ascii="宋体" w:hAnsi="宋体" w:eastAsia="宋体" w:cs="Times New Roman"/>
                <w:bCs/>
                <w:szCs w:val="21"/>
              </w:rPr>
              <w:t>16</w:t>
            </w:r>
          </w:p>
        </w:tc>
        <w:tc>
          <w:tcPr>
            <w:tcW w:w="3435"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萃取操作实训单元装置</w:t>
            </w:r>
          </w:p>
        </w:tc>
        <w:tc>
          <w:tcPr>
            <w:tcW w:w="1031"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15</w:t>
            </w:r>
          </w:p>
        </w:tc>
        <w:tc>
          <w:tcPr>
            <w:tcW w:w="859" w:type="dxa"/>
            <w:noWrap/>
            <w:vAlign w:val="center"/>
          </w:tcPr>
          <w:p>
            <w:pPr>
              <w:autoSpaceDN w:val="0"/>
              <w:jc w:val="center"/>
              <w:textAlignment w:val="center"/>
              <w:rPr>
                <w:rFonts w:ascii="宋体" w:hAnsi="宋体" w:eastAsia="宋体" w:cs="Times New Roman"/>
                <w:szCs w:val="21"/>
              </w:rPr>
            </w:pPr>
            <w:r>
              <w:rPr>
                <w:rFonts w:hint="eastAsia" w:ascii="宋体" w:hAnsi="宋体" w:eastAsia="宋体" w:cs="Times New Roman"/>
                <w:szCs w:val="21"/>
              </w:rPr>
              <w:t>1</w:t>
            </w:r>
          </w:p>
        </w:tc>
        <w:tc>
          <w:tcPr>
            <w:tcW w:w="1375"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15</w:t>
            </w:r>
          </w:p>
        </w:tc>
        <w:tc>
          <w:tcPr>
            <w:tcW w:w="1203" w:type="dxa"/>
            <w:noWrap/>
            <w:vAlign w:val="center"/>
          </w:tcPr>
          <w:p>
            <w:pPr>
              <w:spacing w:line="360" w:lineRule="auto"/>
              <w:jc w:val="center"/>
              <w:rPr>
                <w:rFonts w:ascii="宋体" w:hAnsi="宋体" w:eastAsia="宋体" w:cs="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eastAsia="宋体" w:cs="Times New Roman"/>
                <w:bCs/>
                <w:szCs w:val="21"/>
              </w:rPr>
            </w:pPr>
            <w:r>
              <w:rPr>
                <w:rFonts w:hint="eastAsia" w:ascii="宋体" w:hAnsi="宋体" w:eastAsia="宋体" w:cs="Times New Roman"/>
                <w:bCs/>
                <w:szCs w:val="21"/>
              </w:rPr>
              <w:t>17</w:t>
            </w:r>
          </w:p>
        </w:tc>
        <w:tc>
          <w:tcPr>
            <w:tcW w:w="3435"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过滤操作实训单元装置</w:t>
            </w:r>
          </w:p>
        </w:tc>
        <w:tc>
          <w:tcPr>
            <w:tcW w:w="1031"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15</w:t>
            </w:r>
          </w:p>
        </w:tc>
        <w:tc>
          <w:tcPr>
            <w:tcW w:w="859" w:type="dxa"/>
            <w:noWrap/>
            <w:vAlign w:val="center"/>
          </w:tcPr>
          <w:p>
            <w:pPr>
              <w:autoSpaceDN w:val="0"/>
              <w:jc w:val="center"/>
              <w:textAlignment w:val="center"/>
              <w:rPr>
                <w:rFonts w:ascii="宋体" w:hAnsi="宋体" w:eastAsia="宋体" w:cs="Times New Roman"/>
                <w:szCs w:val="21"/>
              </w:rPr>
            </w:pPr>
            <w:r>
              <w:rPr>
                <w:rFonts w:hint="eastAsia" w:ascii="宋体" w:hAnsi="宋体" w:eastAsia="宋体" w:cs="Times New Roman"/>
                <w:szCs w:val="21"/>
              </w:rPr>
              <w:t>1</w:t>
            </w:r>
          </w:p>
        </w:tc>
        <w:tc>
          <w:tcPr>
            <w:tcW w:w="1375" w:type="dxa"/>
            <w:noWrap/>
            <w:vAlign w:val="center"/>
          </w:tcPr>
          <w:p>
            <w:pPr>
              <w:autoSpaceDN w:val="0"/>
              <w:jc w:val="center"/>
              <w:textAlignment w:val="center"/>
              <w:rPr>
                <w:rFonts w:ascii="宋体" w:hAnsi="宋体" w:eastAsia="宋体" w:cs="Times New Roman"/>
                <w:bCs/>
                <w:szCs w:val="21"/>
              </w:rPr>
            </w:pPr>
            <w:r>
              <w:rPr>
                <w:rFonts w:hint="eastAsia" w:ascii="宋体" w:hAnsi="宋体" w:eastAsia="宋体" w:cs="Times New Roman"/>
                <w:color w:val="000000"/>
                <w:szCs w:val="21"/>
              </w:rPr>
              <w:t>15</w:t>
            </w:r>
          </w:p>
        </w:tc>
        <w:tc>
          <w:tcPr>
            <w:tcW w:w="1203" w:type="dxa"/>
            <w:noWrap/>
            <w:vAlign w:val="center"/>
          </w:tcPr>
          <w:p>
            <w:pPr>
              <w:spacing w:line="360" w:lineRule="auto"/>
              <w:jc w:val="center"/>
              <w:rPr>
                <w:rFonts w:ascii="宋体" w:hAnsi="宋体" w:eastAsia="宋体" w:cs="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eastAsia="宋体" w:cs="Times New Roman"/>
                <w:bCs/>
                <w:szCs w:val="21"/>
              </w:rPr>
            </w:pPr>
            <w:r>
              <w:rPr>
                <w:rFonts w:hint="eastAsia" w:ascii="宋体" w:hAnsi="宋体" w:eastAsia="宋体" w:cs="Times New Roman"/>
                <w:bCs/>
                <w:szCs w:val="21"/>
              </w:rPr>
              <w:t>18</w:t>
            </w:r>
          </w:p>
        </w:tc>
        <w:tc>
          <w:tcPr>
            <w:tcW w:w="3435" w:type="dxa"/>
            <w:noWrap/>
            <w:vAlign w:val="center"/>
          </w:tcPr>
          <w:p>
            <w:pPr>
              <w:autoSpaceDN w:val="0"/>
              <w:jc w:val="center"/>
              <w:textAlignment w:val="center"/>
              <w:rPr>
                <w:rFonts w:ascii="宋体" w:hAnsi="宋体" w:eastAsia="宋体" w:cs="Times New Roman"/>
                <w:color w:val="000000"/>
                <w:szCs w:val="21"/>
              </w:rPr>
            </w:pPr>
            <w:r>
              <w:rPr>
                <w:rFonts w:ascii="Times New Roman" w:hAnsi="Times New Roman" w:eastAsia="宋体" w:cs="Times New Roman"/>
                <w:color w:val="000000"/>
              </w:rPr>
              <w:t>碳氢元素分析仪</w:t>
            </w:r>
          </w:p>
        </w:tc>
        <w:tc>
          <w:tcPr>
            <w:tcW w:w="1031" w:type="dxa"/>
            <w:noWrap/>
            <w:vAlign w:val="center"/>
          </w:tcPr>
          <w:p>
            <w:pPr>
              <w:autoSpaceDN w:val="0"/>
              <w:jc w:val="center"/>
              <w:textAlignment w:val="center"/>
              <w:rPr>
                <w:rFonts w:ascii="宋体" w:hAnsi="宋体" w:eastAsia="宋体" w:cs="Times New Roman"/>
                <w:color w:val="000000"/>
                <w:szCs w:val="21"/>
              </w:rPr>
            </w:pPr>
            <w:r>
              <w:rPr>
                <w:rFonts w:hint="eastAsia" w:ascii="宋体" w:hAnsi="宋体" w:eastAsia="宋体" w:cs="Times New Roman"/>
                <w:color w:val="000000"/>
                <w:szCs w:val="21"/>
              </w:rPr>
              <w:t>1.4</w:t>
            </w:r>
          </w:p>
        </w:tc>
        <w:tc>
          <w:tcPr>
            <w:tcW w:w="859" w:type="dxa"/>
            <w:noWrap/>
            <w:vAlign w:val="center"/>
          </w:tcPr>
          <w:p>
            <w:pPr>
              <w:autoSpaceDN w:val="0"/>
              <w:jc w:val="center"/>
              <w:textAlignment w:val="center"/>
              <w:rPr>
                <w:rFonts w:ascii="宋体" w:hAnsi="宋体" w:eastAsia="宋体" w:cs="Times New Roman"/>
                <w:szCs w:val="21"/>
              </w:rPr>
            </w:pPr>
            <w:r>
              <w:rPr>
                <w:rFonts w:hint="eastAsia" w:ascii="宋体" w:hAnsi="宋体" w:eastAsia="宋体" w:cs="Times New Roman"/>
                <w:szCs w:val="21"/>
              </w:rPr>
              <w:t>5</w:t>
            </w:r>
          </w:p>
        </w:tc>
        <w:tc>
          <w:tcPr>
            <w:tcW w:w="1375" w:type="dxa"/>
            <w:noWrap/>
            <w:vAlign w:val="center"/>
          </w:tcPr>
          <w:p>
            <w:pPr>
              <w:autoSpaceDN w:val="0"/>
              <w:jc w:val="center"/>
              <w:textAlignment w:val="center"/>
              <w:rPr>
                <w:rFonts w:ascii="宋体" w:hAnsi="宋体" w:eastAsia="宋体" w:cs="Times New Roman"/>
                <w:color w:val="000000"/>
                <w:szCs w:val="21"/>
              </w:rPr>
            </w:pPr>
            <w:r>
              <w:rPr>
                <w:rFonts w:hint="eastAsia" w:ascii="宋体" w:hAnsi="宋体" w:eastAsia="宋体" w:cs="Times New Roman"/>
                <w:color w:val="000000"/>
                <w:szCs w:val="21"/>
              </w:rPr>
              <w:t>7</w:t>
            </w:r>
          </w:p>
        </w:tc>
        <w:tc>
          <w:tcPr>
            <w:tcW w:w="1203" w:type="dxa"/>
            <w:noWrap/>
            <w:vAlign w:val="center"/>
          </w:tcPr>
          <w:p>
            <w:pPr>
              <w:spacing w:line="360" w:lineRule="auto"/>
              <w:jc w:val="center"/>
              <w:rPr>
                <w:rFonts w:ascii="宋体" w:hAnsi="宋体" w:eastAsia="宋体" w:cs="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eastAsia="宋体" w:cs="Times New Roman"/>
                <w:bCs/>
                <w:szCs w:val="21"/>
              </w:rPr>
            </w:pPr>
            <w:r>
              <w:rPr>
                <w:rFonts w:hint="eastAsia" w:ascii="宋体" w:hAnsi="宋体" w:eastAsia="宋体" w:cs="Times New Roman"/>
                <w:bCs/>
                <w:szCs w:val="21"/>
              </w:rPr>
              <w:t>19</w:t>
            </w:r>
          </w:p>
        </w:tc>
        <w:tc>
          <w:tcPr>
            <w:tcW w:w="3435" w:type="dxa"/>
            <w:noWrap/>
            <w:vAlign w:val="center"/>
          </w:tcPr>
          <w:p>
            <w:pPr>
              <w:autoSpaceDN w:val="0"/>
              <w:jc w:val="center"/>
              <w:textAlignment w:val="center"/>
              <w:rPr>
                <w:rFonts w:ascii="宋体" w:hAnsi="宋体" w:eastAsia="宋体" w:cs="Times New Roman"/>
                <w:color w:val="000000"/>
                <w:szCs w:val="21"/>
              </w:rPr>
            </w:pPr>
            <w:r>
              <w:rPr>
                <w:rFonts w:ascii="Times New Roman" w:hAnsi="Times New Roman" w:eastAsia="宋体" w:cs="Times New Roman"/>
                <w:color w:val="000000"/>
              </w:rPr>
              <w:t>微机全自动测硫仪</w:t>
            </w:r>
          </w:p>
        </w:tc>
        <w:tc>
          <w:tcPr>
            <w:tcW w:w="1031" w:type="dxa"/>
            <w:noWrap/>
            <w:vAlign w:val="center"/>
          </w:tcPr>
          <w:p>
            <w:pPr>
              <w:autoSpaceDN w:val="0"/>
              <w:jc w:val="center"/>
              <w:textAlignment w:val="center"/>
              <w:rPr>
                <w:rFonts w:ascii="宋体" w:hAnsi="宋体" w:eastAsia="宋体" w:cs="Times New Roman"/>
                <w:color w:val="000000"/>
                <w:szCs w:val="21"/>
              </w:rPr>
            </w:pPr>
            <w:r>
              <w:rPr>
                <w:rFonts w:hint="eastAsia" w:ascii="宋体" w:hAnsi="宋体" w:eastAsia="宋体" w:cs="Times New Roman"/>
                <w:color w:val="000000"/>
                <w:szCs w:val="21"/>
              </w:rPr>
              <w:t>4</w:t>
            </w:r>
          </w:p>
        </w:tc>
        <w:tc>
          <w:tcPr>
            <w:tcW w:w="859" w:type="dxa"/>
            <w:noWrap/>
            <w:vAlign w:val="center"/>
          </w:tcPr>
          <w:p>
            <w:pPr>
              <w:autoSpaceDN w:val="0"/>
              <w:jc w:val="center"/>
              <w:textAlignment w:val="center"/>
              <w:rPr>
                <w:rFonts w:ascii="宋体" w:hAnsi="宋体" w:eastAsia="宋体" w:cs="Times New Roman"/>
                <w:szCs w:val="21"/>
              </w:rPr>
            </w:pPr>
            <w:r>
              <w:rPr>
                <w:rFonts w:hint="eastAsia" w:ascii="宋体" w:hAnsi="宋体" w:eastAsia="宋体" w:cs="Times New Roman"/>
                <w:szCs w:val="21"/>
              </w:rPr>
              <w:t>1</w:t>
            </w:r>
          </w:p>
        </w:tc>
        <w:tc>
          <w:tcPr>
            <w:tcW w:w="1375" w:type="dxa"/>
            <w:noWrap/>
            <w:vAlign w:val="center"/>
          </w:tcPr>
          <w:p>
            <w:pPr>
              <w:autoSpaceDN w:val="0"/>
              <w:jc w:val="center"/>
              <w:textAlignment w:val="center"/>
              <w:rPr>
                <w:rFonts w:ascii="宋体" w:hAnsi="宋体" w:eastAsia="宋体" w:cs="Times New Roman"/>
                <w:color w:val="000000"/>
                <w:szCs w:val="21"/>
              </w:rPr>
            </w:pPr>
            <w:r>
              <w:rPr>
                <w:rFonts w:hint="eastAsia" w:ascii="宋体" w:hAnsi="宋体" w:eastAsia="宋体" w:cs="Times New Roman"/>
                <w:color w:val="000000"/>
                <w:szCs w:val="21"/>
              </w:rPr>
              <w:t>4</w:t>
            </w:r>
          </w:p>
        </w:tc>
        <w:tc>
          <w:tcPr>
            <w:tcW w:w="1203" w:type="dxa"/>
            <w:noWrap/>
            <w:vAlign w:val="center"/>
          </w:tcPr>
          <w:p>
            <w:pPr>
              <w:spacing w:line="360" w:lineRule="auto"/>
              <w:jc w:val="center"/>
              <w:rPr>
                <w:rFonts w:ascii="宋体" w:hAnsi="宋体" w:eastAsia="宋体" w:cs="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eastAsia="宋体" w:cs="Times New Roman"/>
                <w:bCs/>
                <w:szCs w:val="21"/>
              </w:rPr>
            </w:pPr>
            <w:r>
              <w:rPr>
                <w:rFonts w:hint="eastAsia" w:ascii="宋体" w:hAnsi="宋体" w:eastAsia="宋体" w:cs="Times New Roman"/>
                <w:bCs/>
                <w:szCs w:val="21"/>
              </w:rPr>
              <w:t>20</w:t>
            </w:r>
          </w:p>
        </w:tc>
        <w:tc>
          <w:tcPr>
            <w:tcW w:w="3435" w:type="dxa"/>
            <w:noWrap/>
            <w:vAlign w:val="center"/>
          </w:tcPr>
          <w:p>
            <w:pPr>
              <w:autoSpaceDN w:val="0"/>
              <w:jc w:val="center"/>
              <w:textAlignment w:val="center"/>
              <w:rPr>
                <w:rFonts w:ascii="宋体" w:hAnsi="宋体" w:eastAsia="宋体" w:cs="Times New Roman"/>
                <w:color w:val="000000"/>
                <w:szCs w:val="21"/>
              </w:rPr>
            </w:pPr>
            <w:r>
              <w:rPr>
                <w:rFonts w:ascii="Times New Roman" w:hAnsi="Times New Roman" w:eastAsia="宋体" w:cs="Times New Roman"/>
                <w:color w:val="000000"/>
              </w:rPr>
              <w:t>荧光分光光度计</w:t>
            </w:r>
          </w:p>
        </w:tc>
        <w:tc>
          <w:tcPr>
            <w:tcW w:w="1031" w:type="dxa"/>
            <w:noWrap/>
            <w:vAlign w:val="center"/>
          </w:tcPr>
          <w:p>
            <w:pPr>
              <w:autoSpaceDN w:val="0"/>
              <w:jc w:val="center"/>
              <w:textAlignment w:val="center"/>
              <w:rPr>
                <w:rFonts w:ascii="宋体" w:hAnsi="宋体" w:eastAsia="宋体" w:cs="Times New Roman"/>
                <w:color w:val="000000"/>
                <w:szCs w:val="21"/>
              </w:rPr>
            </w:pPr>
            <w:r>
              <w:rPr>
                <w:rFonts w:hint="eastAsia" w:ascii="宋体" w:hAnsi="宋体" w:eastAsia="宋体" w:cs="Times New Roman"/>
                <w:color w:val="000000"/>
                <w:szCs w:val="21"/>
              </w:rPr>
              <w:t>2</w:t>
            </w:r>
          </w:p>
        </w:tc>
        <w:tc>
          <w:tcPr>
            <w:tcW w:w="859" w:type="dxa"/>
            <w:noWrap/>
            <w:vAlign w:val="center"/>
          </w:tcPr>
          <w:p>
            <w:pPr>
              <w:autoSpaceDN w:val="0"/>
              <w:jc w:val="center"/>
              <w:textAlignment w:val="center"/>
              <w:rPr>
                <w:rFonts w:ascii="宋体" w:hAnsi="宋体" w:eastAsia="宋体" w:cs="Times New Roman"/>
                <w:szCs w:val="21"/>
              </w:rPr>
            </w:pPr>
            <w:r>
              <w:rPr>
                <w:rFonts w:hint="eastAsia" w:ascii="宋体" w:hAnsi="宋体" w:eastAsia="宋体" w:cs="Times New Roman"/>
                <w:szCs w:val="21"/>
              </w:rPr>
              <w:t>1</w:t>
            </w:r>
          </w:p>
        </w:tc>
        <w:tc>
          <w:tcPr>
            <w:tcW w:w="1375" w:type="dxa"/>
            <w:noWrap/>
            <w:vAlign w:val="center"/>
          </w:tcPr>
          <w:p>
            <w:pPr>
              <w:autoSpaceDN w:val="0"/>
              <w:jc w:val="center"/>
              <w:textAlignment w:val="center"/>
              <w:rPr>
                <w:rFonts w:ascii="宋体" w:hAnsi="宋体" w:eastAsia="宋体" w:cs="Times New Roman"/>
                <w:color w:val="000000"/>
                <w:szCs w:val="21"/>
              </w:rPr>
            </w:pPr>
            <w:r>
              <w:rPr>
                <w:rFonts w:hint="eastAsia" w:ascii="宋体" w:hAnsi="宋体" w:eastAsia="宋体" w:cs="Times New Roman"/>
                <w:color w:val="000000"/>
                <w:szCs w:val="21"/>
              </w:rPr>
              <w:t>2</w:t>
            </w:r>
          </w:p>
        </w:tc>
        <w:tc>
          <w:tcPr>
            <w:tcW w:w="1203" w:type="dxa"/>
            <w:noWrap/>
            <w:vAlign w:val="center"/>
          </w:tcPr>
          <w:p>
            <w:pPr>
              <w:spacing w:line="360" w:lineRule="auto"/>
              <w:jc w:val="center"/>
              <w:rPr>
                <w:rFonts w:ascii="宋体" w:hAnsi="宋体" w:eastAsia="宋体" w:cs="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eastAsia="宋体" w:cs="Times New Roman"/>
                <w:bCs/>
                <w:szCs w:val="21"/>
              </w:rPr>
            </w:pPr>
            <w:r>
              <w:rPr>
                <w:rFonts w:hint="eastAsia" w:ascii="宋体" w:hAnsi="宋体" w:eastAsia="宋体" w:cs="Times New Roman"/>
                <w:bCs/>
                <w:szCs w:val="21"/>
              </w:rPr>
              <w:t>21</w:t>
            </w:r>
          </w:p>
        </w:tc>
        <w:tc>
          <w:tcPr>
            <w:tcW w:w="3435" w:type="dxa"/>
            <w:noWrap/>
            <w:vAlign w:val="center"/>
          </w:tcPr>
          <w:p>
            <w:pPr>
              <w:autoSpaceDN w:val="0"/>
              <w:jc w:val="center"/>
              <w:textAlignment w:val="center"/>
              <w:rPr>
                <w:rFonts w:ascii="宋体" w:hAnsi="宋体" w:eastAsia="宋体" w:cs="Times New Roman"/>
                <w:color w:val="000000"/>
                <w:szCs w:val="21"/>
              </w:rPr>
            </w:pPr>
            <w:r>
              <w:rPr>
                <w:rFonts w:ascii="Times New Roman" w:hAnsi="Times New Roman" w:eastAsia="宋体" w:cs="Times New Roman"/>
                <w:color w:val="000000"/>
              </w:rPr>
              <w:t>薄层色谱系统</w:t>
            </w:r>
          </w:p>
        </w:tc>
        <w:tc>
          <w:tcPr>
            <w:tcW w:w="1031" w:type="dxa"/>
            <w:noWrap/>
            <w:vAlign w:val="center"/>
          </w:tcPr>
          <w:p>
            <w:pPr>
              <w:autoSpaceDN w:val="0"/>
              <w:jc w:val="center"/>
              <w:textAlignment w:val="center"/>
              <w:rPr>
                <w:rFonts w:ascii="宋体" w:hAnsi="宋体" w:eastAsia="宋体" w:cs="Times New Roman"/>
                <w:color w:val="000000"/>
                <w:szCs w:val="21"/>
              </w:rPr>
            </w:pPr>
            <w:r>
              <w:rPr>
                <w:rFonts w:hint="eastAsia" w:ascii="宋体" w:hAnsi="宋体" w:eastAsia="宋体" w:cs="Times New Roman"/>
                <w:color w:val="000000"/>
                <w:szCs w:val="21"/>
              </w:rPr>
              <w:t>3</w:t>
            </w:r>
          </w:p>
        </w:tc>
        <w:tc>
          <w:tcPr>
            <w:tcW w:w="859" w:type="dxa"/>
            <w:noWrap/>
            <w:vAlign w:val="center"/>
          </w:tcPr>
          <w:p>
            <w:pPr>
              <w:autoSpaceDN w:val="0"/>
              <w:jc w:val="center"/>
              <w:textAlignment w:val="center"/>
              <w:rPr>
                <w:rFonts w:ascii="宋体" w:hAnsi="宋体" w:eastAsia="宋体" w:cs="Times New Roman"/>
                <w:szCs w:val="21"/>
              </w:rPr>
            </w:pPr>
            <w:r>
              <w:rPr>
                <w:rFonts w:hint="eastAsia" w:ascii="宋体" w:hAnsi="宋体" w:eastAsia="宋体" w:cs="Times New Roman"/>
                <w:szCs w:val="21"/>
              </w:rPr>
              <w:t>1</w:t>
            </w:r>
          </w:p>
        </w:tc>
        <w:tc>
          <w:tcPr>
            <w:tcW w:w="1375" w:type="dxa"/>
            <w:noWrap/>
            <w:vAlign w:val="center"/>
          </w:tcPr>
          <w:p>
            <w:pPr>
              <w:autoSpaceDN w:val="0"/>
              <w:jc w:val="center"/>
              <w:textAlignment w:val="center"/>
              <w:rPr>
                <w:rFonts w:ascii="宋体" w:hAnsi="宋体" w:eastAsia="宋体" w:cs="Times New Roman"/>
                <w:color w:val="000000"/>
                <w:szCs w:val="21"/>
              </w:rPr>
            </w:pPr>
            <w:r>
              <w:rPr>
                <w:rFonts w:hint="eastAsia" w:ascii="宋体" w:hAnsi="宋体" w:eastAsia="宋体" w:cs="Times New Roman"/>
                <w:color w:val="000000"/>
                <w:szCs w:val="21"/>
              </w:rPr>
              <w:t>3</w:t>
            </w:r>
          </w:p>
        </w:tc>
        <w:tc>
          <w:tcPr>
            <w:tcW w:w="1203" w:type="dxa"/>
            <w:noWrap/>
            <w:vAlign w:val="center"/>
          </w:tcPr>
          <w:p>
            <w:pPr>
              <w:spacing w:line="360" w:lineRule="auto"/>
              <w:jc w:val="center"/>
              <w:rPr>
                <w:rFonts w:ascii="宋体" w:hAnsi="宋体" w:eastAsia="宋体" w:cs="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eastAsia="宋体" w:cs="Times New Roman"/>
                <w:bCs/>
                <w:szCs w:val="21"/>
              </w:rPr>
            </w:pPr>
            <w:r>
              <w:rPr>
                <w:rFonts w:hint="eastAsia" w:ascii="宋体" w:hAnsi="宋体" w:eastAsia="宋体" w:cs="Times New Roman"/>
                <w:bCs/>
                <w:szCs w:val="21"/>
              </w:rPr>
              <w:t>22</w:t>
            </w:r>
          </w:p>
        </w:tc>
        <w:tc>
          <w:tcPr>
            <w:tcW w:w="3435" w:type="dxa"/>
            <w:noWrap/>
            <w:vAlign w:val="center"/>
          </w:tcPr>
          <w:p>
            <w:pPr>
              <w:autoSpaceDN w:val="0"/>
              <w:jc w:val="center"/>
              <w:textAlignment w:val="center"/>
              <w:rPr>
                <w:rFonts w:ascii="宋体" w:hAnsi="宋体" w:eastAsia="宋体" w:cs="Times New Roman"/>
                <w:color w:val="000000"/>
                <w:szCs w:val="21"/>
              </w:rPr>
            </w:pPr>
            <w:r>
              <w:rPr>
                <w:rFonts w:ascii="Times New Roman" w:hAnsi="Times New Roman" w:eastAsia="宋体" w:cs="Times New Roman"/>
                <w:color w:val="000000"/>
              </w:rPr>
              <w:t>自动工业分析仪</w:t>
            </w:r>
          </w:p>
        </w:tc>
        <w:tc>
          <w:tcPr>
            <w:tcW w:w="1031" w:type="dxa"/>
            <w:noWrap/>
            <w:vAlign w:val="center"/>
          </w:tcPr>
          <w:p>
            <w:pPr>
              <w:autoSpaceDN w:val="0"/>
              <w:jc w:val="center"/>
              <w:textAlignment w:val="center"/>
              <w:rPr>
                <w:rFonts w:ascii="宋体" w:hAnsi="宋体" w:eastAsia="宋体" w:cs="Times New Roman"/>
                <w:color w:val="000000"/>
                <w:szCs w:val="21"/>
              </w:rPr>
            </w:pPr>
            <w:r>
              <w:rPr>
                <w:rFonts w:hint="eastAsia" w:ascii="宋体" w:hAnsi="宋体" w:eastAsia="宋体" w:cs="Times New Roman"/>
                <w:color w:val="000000"/>
                <w:szCs w:val="21"/>
              </w:rPr>
              <w:t>12.5</w:t>
            </w:r>
          </w:p>
        </w:tc>
        <w:tc>
          <w:tcPr>
            <w:tcW w:w="859" w:type="dxa"/>
            <w:noWrap/>
            <w:vAlign w:val="center"/>
          </w:tcPr>
          <w:p>
            <w:pPr>
              <w:autoSpaceDN w:val="0"/>
              <w:jc w:val="center"/>
              <w:textAlignment w:val="center"/>
              <w:rPr>
                <w:rFonts w:ascii="宋体" w:hAnsi="宋体" w:eastAsia="宋体" w:cs="Times New Roman"/>
                <w:szCs w:val="21"/>
              </w:rPr>
            </w:pPr>
            <w:r>
              <w:rPr>
                <w:rFonts w:hint="eastAsia" w:ascii="宋体" w:hAnsi="宋体" w:eastAsia="宋体" w:cs="Times New Roman"/>
                <w:szCs w:val="21"/>
              </w:rPr>
              <w:t>1</w:t>
            </w:r>
          </w:p>
        </w:tc>
        <w:tc>
          <w:tcPr>
            <w:tcW w:w="1375" w:type="dxa"/>
            <w:noWrap/>
            <w:vAlign w:val="center"/>
          </w:tcPr>
          <w:p>
            <w:pPr>
              <w:autoSpaceDN w:val="0"/>
              <w:jc w:val="center"/>
              <w:textAlignment w:val="center"/>
              <w:rPr>
                <w:rFonts w:ascii="宋体" w:hAnsi="宋体" w:eastAsia="宋体" w:cs="Times New Roman"/>
                <w:color w:val="000000"/>
                <w:szCs w:val="21"/>
              </w:rPr>
            </w:pPr>
            <w:r>
              <w:rPr>
                <w:rFonts w:hint="eastAsia" w:ascii="宋体" w:hAnsi="宋体" w:eastAsia="宋体" w:cs="Times New Roman"/>
                <w:color w:val="000000"/>
                <w:szCs w:val="21"/>
              </w:rPr>
              <w:t>12.5</w:t>
            </w:r>
          </w:p>
        </w:tc>
        <w:tc>
          <w:tcPr>
            <w:tcW w:w="1203" w:type="dxa"/>
            <w:noWrap/>
            <w:vAlign w:val="center"/>
          </w:tcPr>
          <w:p>
            <w:pPr>
              <w:spacing w:line="360" w:lineRule="auto"/>
              <w:jc w:val="center"/>
              <w:rPr>
                <w:rFonts w:ascii="宋体" w:hAnsi="宋体" w:eastAsia="宋体" w:cs="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eastAsia="宋体" w:cs="Times New Roman"/>
                <w:bCs/>
                <w:szCs w:val="21"/>
              </w:rPr>
            </w:pPr>
            <w:r>
              <w:rPr>
                <w:rFonts w:hint="eastAsia" w:ascii="宋体" w:hAnsi="宋体" w:eastAsia="宋体" w:cs="Times New Roman"/>
                <w:bCs/>
                <w:szCs w:val="21"/>
              </w:rPr>
              <w:t>23</w:t>
            </w:r>
          </w:p>
        </w:tc>
        <w:tc>
          <w:tcPr>
            <w:tcW w:w="3435" w:type="dxa"/>
            <w:noWrap/>
            <w:vAlign w:val="center"/>
          </w:tcPr>
          <w:p>
            <w:pPr>
              <w:autoSpaceDN w:val="0"/>
              <w:jc w:val="center"/>
              <w:textAlignment w:val="center"/>
              <w:rPr>
                <w:rFonts w:ascii="宋体" w:hAnsi="宋体" w:eastAsia="宋体" w:cs="Times New Roman"/>
                <w:color w:val="000000"/>
                <w:szCs w:val="21"/>
              </w:rPr>
            </w:pPr>
            <w:r>
              <w:rPr>
                <w:rFonts w:ascii="Times New Roman" w:hAnsi="Times New Roman" w:eastAsia="宋体" w:cs="Times New Roman"/>
                <w:color w:val="000000"/>
              </w:rPr>
              <w:t>显微镜</w:t>
            </w:r>
          </w:p>
        </w:tc>
        <w:tc>
          <w:tcPr>
            <w:tcW w:w="1031" w:type="dxa"/>
            <w:noWrap/>
            <w:vAlign w:val="center"/>
          </w:tcPr>
          <w:p>
            <w:pPr>
              <w:autoSpaceDN w:val="0"/>
              <w:jc w:val="center"/>
              <w:textAlignment w:val="center"/>
              <w:rPr>
                <w:rFonts w:ascii="宋体" w:hAnsi="宋体" w:eastAsia="宋体" w:cs="Times New Roman"/>
                <w:color w:val="000000"/>
                <w:szCs w:val="21"/>
              </w:rPr>
            </w:pPr>
            <w:r>
              <w:rPr>
                <w:rFonts w:hint="eastAsia" w:ascii="宋体" w:hAnsi="宋体" w:eastAsia="宋体" w:cs="Times New Roman"/>
                <w:color w:val="000000"/>
                <w:szCs w:val="21"/>
              </w:rPr>
              <w:t>1.5</w:t>
            </w:r>
          </w:p>
        </w:tc>
        <w:tc>
          <w:tcPr>
            <w:tcW w:w="859" w:type="dxa"/>
            <w:noWrap/>
            <w:vAlign w:val="center"/>
          </w:tcPr>
          <w:p>
            <w:pPr>
              <w:autoSpaceDN w:val="0"/>
              <w:jc w:val="center"/>
              <w:textAlignment w:val="center"/>
              <w:rPr>
                <w:rFonts w:ascii="宋体" w:hAnsi="宋体" w:eastAsia="宋体" w:cs="Times New Roman"/>
                <w:szCs w:val="21"/>
              </w:rPr>
            </w:pPr>
            <w:r>
              <w:rPr>
                <w:rFonts w:hint="eastAsia" w:ascii="宋体" w:hAnsi="宋体" w:eastAsia="宋体" w:cs="Times New Roman"/>
                <w:szCs w:val="21"/>
              </w:rPr>
              <w:t>4</w:t>
            </w:r>
          </w:p>
        </w:tc>
        <w:tc>
          <w:tcPr>
            <w:tcW w:w="1375" w:type="dxa"/>
            <w:noWrap/>
            <w:vAlign w:val="center"/>
          </w:tcPr>
          <w:p>
            <w:pPr>
              <w:autoSpaceDN w:val="0"/>
              <w:jc w:val="center"/>
              <w:textAlignment w:val="center"/>
              <w:rPr>
                <w:rFonts w:ascii="宋体" w:hAnsi="宋体" w:eastAsia="宋体" w:cs="Times New Roman"/>
                <w:color w:val="000000"/>
                <w:szCs w:val="21"/>
              </w:rPr>
            </w:pPr>
            <w:r>
              <w:rPr>
                <w:rFonts w:hint="eastAsia" w:ascii="宋体" w:hAnsi="宋体" w:eastAsia="宋体" w:cs="Times New Roman"/>
                <w:color w:val="000000"/>
                <w:szCs w:val="21"/>
              </w:rPr>
              <w:t>6</w:t>
            </w:r>
          </w:p>
        </w:tc>
        <w:tc>
          <w:tcPr>
            <w:tcW w:w="1203" w:type="dxa"/>
            <w:noWrap/>
            <w:vAlign w:val="center"/>
          </w:tcPr>
          <w:p>
            <w:pPr>
              <w:spacing w:line="360" w:lineRule="auto"/>
              <w:jc w:val="center"/>
              <w:rPr>
                <w:rFonts w:ascii="宋体" w:hAnsi="宋体" w:eastAsia="宋体" w:cs="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eastAsia="宋体" w:cs="Times New Roman"/>
                <w:bCs/>
                <w:szCs w:val="21"/>
              </w:rPr>
            </w:pPr>
            <w:r>
              <w:rPr>
                <w:rFonts w:hint="eastAsia" w:ascii="宋体" w:hAnsi="宋体" w:eastAsia="宋体" w:cs="Times New Roman"/>
                <w:bCs/>
                <w:szCs w:val="21"/>
              </w:rPr>
              <w:t>24</w:t>
            </w:r>
          </w:p>
        </w:tc>
        <w:tc>
          <w:tcPr>
            <w:tcW w:w="3435" w:type="dxa"/>
            <w:noWrap/>
            <w:vAlign w:val="center"/>
          </w:tcPr>
          <w:p>
            <w:pPr>
              <w:autoSpaceDN w:val="0"/>
              <w:jc w:val="center"/>
              <w:textAlignment w:val="center"/>
              <w:rPr>
                <w:rFonts w:ascii="宋体" w:hAnsi="宋体" w:eastAsia="宋体" w:cs="Times New Roman"/>
                <w:color w:val="000000"/>
                <w:szCs w:val="21"/>
              </w:rPr>
            </w:pPr>
            <w:r>
              <w:rPr>
                <w:rFonts w:ascii="Times New Roman" w:hAnsi="Times New Roman" w:eastAsia="宋体" w:cs="Times New Roman"/>
                <w:color w:val="000000"/>
              </w:rPr>
              <w:t>COD测定仪</w:t>
            </w:r>
          </w:p>
        </w:tc>
        <w:tc>
          <w:tcPr>
            <w:tcW w:w="1031" w:type="dxa"/>
            <w:noWrap/>
            <w:vAlign w:val="center"/>
          </w:tcPr>
          <w:p>
            <w:pPr>
              <w:autoSpaceDN w:val="0"/>
              <w:jc w:val="center"/>
              <w:textAlignment w:val="center"/>
              <w:rPr>
                <w:rFonts w:ascii="宋体" w:hAnsi="宋体" w:eastAsia="宋体" w:cs="Times New Roman"/>
                <w:color w:val="000000"/>
                <w:szCs w:val="21"/>
              </w:rPr>
            </w:pPr>
            <w:r>
              <w:rPr>
                <w:rFonts w:hint="eastAsia" w:ascii="宋体" w:hAnsi="宋体" w:eastAsia="宋体" w:cs="Times New Roman"/>
                <w:color w:val="000000"/>
                <w:szCs w:val="21"/>
              </w:rPr>
              <w:t>1.1</w:t>
            </w:r>
          </w:p>
        </w:tc>
        <w:tc>
          <w:tcPr>
            <w:tcW w:w="859" w:type="dxa"/>
            <w:noWrap/>
            <w:vAlign w:val="center"/>
          </w:tcPr>
          <w:p>
            <w:pPr>
              <w:autoSpaceDN w:val="0"/>
              <w:jc w:val="center"/>
              <w:textAlignment w:val="center"/>
              <w:rPr>
                <w:rFonts w:ascii="宋体" w:hAnsi="宋体" w:eastAsia="宋体" w:cs="Times New Roman"/>
                <w:szCs w:val="21"/>
              </w:rPr>
            </w:pPr>
            <w:r>
              <w:rPr>
                <w:rFonts w:hint="eastAsia" w:ascii="宋体" w:hAnsi="宋体" w:eastAsia="宋体" w:cs="Times New Roman"/>
                <w:szCs w:val="21"/>
              </w:rPr>
              <w:t>1</w:t>
            </w:r>
          </w:p>
        </w:tc>
        <w:tc>
          <w:tcPr>
            <w:tcW w:w="1375" w:type="dxa"/>
            <w:noWrap/>
            <w:vAlign w:val="center"/>
          </w:tcPr>
          <w:p>
            <w:pPr>
              <w:autoSpaceDN w:val="0"/>
              <w:jc w:val="center"/>
              <w:textAlignment w:val="center"/>
              <w:rPr>
                <w:rFonts w:ascii="宋体" w:hAnsi="宋体" w:eastAsia="宋体" w:cs="Times New Roman"/>
                <w:color w:val="000000"/>
                <w:szCs w:val="21"/>
              </w:rPr>
            </w:pPr>
            <w:r>
              <w:rPr>
                <w:rFonts w:hint="eastAsia" w:ascii="宋体" w:hAnsi="宋体" w:eastAsia="宋体" w:cs="Times New Roman"/>
                <w:color w:val="000000"/>
                <w:szCs w:val="21"/>
              </w:rPr>
              <w:t>1.1</w:t>
            </w:r>
          </w:p>
        </w:tc>
        <w:tc>
          <w:tcPr>
            <w:tcW w:w="1203" w:type="dxa"/>
            <w:noWrap/>
            <w:vAlign w:val="center"/>
          </w:tcPr>
          <w:p>
            <w:pPr>
              <w:spacing w:line="360" w:lineRule="auto"/>
              <w:jc w:val="center"/>
              <w:rPr>
                <w:rFonts w:ascii="宋体" w:hAnsi="宋体" w:eastAsia="宋体" w:cs="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eastAsia="宋体" w:cs="Times New Roman"/>
                <w:bCs/>
                <w:szCs w:val="21"/>
              </w:rPr>
            </w:pPr>
            <w:r>
              <w:rPr>
                <w:rFonts w:hint="eastAsia" w:ascii="宋体" w:hAnsi="宋体" w:eastAsia="宋体" w:cs="Times New Roman"/>
                <w:bCs/>
                <w:szCs w:val="21"/>
              </w:rPr>
              <w:t>25</w:t>
            </w:r>
          </w:p>
        </w:tc>
        <w:tc>
          <w:tcPr>
            <w:tcW w:w="3435" w:type="dxa"/>
            <w:noWrap/>
            <w:vAlign w:val="center"/>
          </w:tcPr>
          <w:p>
            <w:pPr>
              <w:autoSpaceDN w:val="0"/>
              <w:jc w:val="center"/>
              <w:textAlignment w:val="center"/>
              <w:rPr>
                <w:rFonts w:ascii="宋体" w:hAnsi="宋体" w:eastAsia="宋体" w:cs="Times New Roman"/>
                <w:color w:val="000000"/>
                <w:szCs w:val="21"/>
              </w:rPr>
            </w:pPr>
            <w:r>
              <w:rPr>
                <w:rFonts w:hint="eastAsia" w:ascii="Times New Roman" w:hAnsi="Times New Roman" w:eastAsia="宋体" w:cs="Times New Roman"/>
                <w:color w:val="000000"/>
              </w:rPr>
              <w:t>B</w:t>
            </w:r>
            <w:r>
              <w:rPr>
                <w:rFonts w:ascii="Times New Roman" w:hAnsi="Times New Roman" w:eastAsia="宋体" w:cs="Times New Roman"/>
                <w:color w:val="000000"/>
              </w:rPr>
              <w:t>OD测定仪</w:t>
            </w:r>
          </w:p>
        </w:tc>
        <w:tc>
          <w:tcPr>
            <w:tcW w:w="1031" w:type="dxa"/>
            <w:noWrap/>
            <w:vAlign w:val="center"/>
          </w:tcPr>
          <w:p>
            <w:pPr>
              <w:autoSpaceDN w:val="0"/>
              <w:jc w:val="center"/>
              <w:textAlignment w:val="center"/>
              <w:rPr>
                <w:rFonts w:ascii="宋体" w:hAnsi="宋体" w:eastAsia="宋体" w:cs="Times New Roman"/>
                <w:color w:val="000000"/>
                <w:szCs w:val="21"/>
              </w:rPr>
            </w:pPr>
            <w:r>
              <w:rPr>
                <w:rFonts w:hint="eastAsia" w:ascii="宋体" w:hAnsi="宋体" w:eastAsia="宋体" w:cs="Times New Roman"/>
                <w:color w:val="000000"/>
                <w:szCs w:val="21"/>
              </w:rPr>
              <w:t>2.1</w:t>
            </w:r>
          </w:p>
        </w:tc>
        <w:tc>
          <w:tcPr>
            <w:tcW w:w="859" w:type="dxa"/>
            <w:noWrap/>
            <w:vAlign w:val="center"/>
          </w:tcPr>
          <w:p>
            <w:pPr>
              <w:autoSpaceDN w:val="0"/>
              <w:jc w:val="center"/>
              <w:textAlignment w:val="center"/>
              <w:rPr>
                <w:rFonts w:ascii="宋体" w:hAnsi="宋体" w:eastAsia="宋体" w:cs="Times New Roman"/>
                <w:szCs w:val="21"/>
              </w:rPr>
            </w:pPr>
            <w:r>
              <w:rPr>
                <w:rFonts w:hint="eastAsia" w:ascii="宋体" w:hAnsi="宋体" w:eastAsia="宋体" w:cs="Times New Roman"/>
                <w:szCs w:val="21"/>
              </w:rPr>
              <w:t>1</w:t>
            </w:r>
          </w:p>
        </w:tc>
        <w:tc>
          <w:tcPr>
            <w:tcW w:w="1375" w:type="dxa"/>
            <w:noWrap/>
            <w:vAlign w:val="center"/>
          </w:tcPr>
          <w:p>
            <w:pPr>
              <w:autoSpaceDN w:val="0"/>
              <w:jc w:val="center"/>
              <w:textAlignment w:val="center"/>
              <w:rPr>
                <w:rFonts w:ascii="宋体" w:hAnsi="宋体" w:eastAsia="宋体" w:cs="Times New Roman"/>
                <w:color w:val="000000"/>
                <w:szCs w:val="21"/>
              </w:rPr>
            </w:pPr>
            <w:r>
              <w:rPr>
                <w:rFonts w:hint="eastAsia" w:ascii="宋体" w:hAnsi="宋体" w:eastAsia="宋体" w:cs="Times New Roman"/>
                <w:color w:val="000000"/>
                <w:szCs w:val="21"/>
              </w:rPr>
              <w:t>2.1</w:t>
            </w:r>
          </w:p>
        </w:tc>
        <w:tc>
          <w:tcPr>
            <w:tcW w:w="1203" w:type="dxa"/>
            <w:noWrap/>
            <w:vAlign w:val="center"/>
          </w:tcPr>
          <w:p>
            <w:pPr>
              <w:spacing w:line="360" w:lineRule="auto"/>
              <w:jc w:val="center"/>
              <w:rPr>
                <w:rFonts w:ascii="宋体" w:hAnsi="宋体" w:eastAsia="宋体" w:cs="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eastAsia="宋体" w:cs="Times New Roman"/>
                <w:bCs/>
                <w:szCs w:val="21"/>
              </w:rPr>
            </w:pPr>
            <w:r>
              <w:rPr>
                <w:rFonts w:hint="eastAsia" w:ascii="宋体" w:hAnsi="宋体" w:eastAsia="宋体" w:cs="Times New Roman"/>
                <w:bCs/>
                <w:szCs w:val="21"/>
              </w:rPr>
              <w:t>26</w:t>
            </w:r>
          </w:p>
        </w:tc>
        <w:tc>
          <w:tcPr>
            <w:tcW w:w="3435" w:type="dxa"/>
            <w:noWrap/>
            <w:vAlign w:val="center"/>
          </w:tcPr>
          <w:p>
            <w:pPr>
              <w:autoSpaceDN w:val="0"/>
              <w:jc w:val="center"/>
              <w:textAlignment w:val="center"/>
              <w:rPr>
                <w:rFonts w:ascii="Times New Roman" w:hAnsi="Times New Roman" w:eastAsia="宋体" w:cs="Times New Roman"/>
                <w:color w:val="000000"/>
              </w:rPr>
            </w:pPr>
            <w:r>
              <w:rPr>
                <w:rFonts w:ascii="Times New Roman" w:hAnsi="Times New Roman" w:eastAsia="宋体" w:cs="Times New Roman"/>
                <w:color w:val="000000"/>
              </w:rPr>
              <w:t>便携式水质重金属测定仪</w:t>
            </w:r>
          </w:p>
        </w:tc>
        <w:tc>
          <w:tcPr>
            <w:tcW w:w="1031" w:type="dxa"/>
            <w:noWrap/>
            <w:vAlign w:val="center"/>
          </w:tcPr>
          <w:p>
            <w:pPr>
              <w:autoSpaceDN w:val="0"/>
              <w:jc w:val="center"/>
              <w:textAlignment w:val="center"/>
              <w:rPr>
                <w:rFonts w:ascii="宋体" w:hAnsi="宋体" w:eastAsia="宋体" w:cs="Times New Roman"/>
                <w:color w:val="000000"/>
                <w:szCs w:val="21"/>
              </w:rPr>
            </w:pPr>
            <w:r>
              <w:rPr>
                <w:rFonts w:hint="eastAsia" w:ascii="宋体" w:hAnsi="宋体" w:eastAsia="宋体" w:cs="Times New Roman"/>
                <w:color w:val="000000"/>
                <w:szCs w:val="21"/>
              </w:rPr>
              <w:t>7.8</w:t>
            </w:r>
          </w:p>
        </w:tc>
        <w:tc>
          <w:tcPr>
            <w:tcW w:w="859" w:type="dxa"/>
            <w:noWrap/>
            <w:vAlign w:val="center"/>
          </w:tcPr>
          <w:p>
            <w:pPr>
              <w:autoSpaceDN w:val="0"/>
              <w:jc w:val="center"/>
              <w:textAlignment w:val="center"/>
              <w:rPr>
                <w:rFonts w:ascii="宋体" w:hAnsi="宋体" w:eastAsia="宋体" w:cs="Times New Roman"/>
                <w:szCs w:val="21"/>
              </w:rPr>
            </w:pPr>
            <w:r>
              <w:rPr>
                <w:rFonts w:hint="eastAsia" w:ascii="宋体" w:hAnsi="宋体" w:eastAsia="宋体" w:cs="Times New Roman"/>
                <w:szCs w:val="21"/>
              </w:rPr>
              <w:t>1</w:t>
            </w:r>
          </w:p>
        </w:tc>
        <w:tc>
          <w:tcPr>
            <w:tcW w:w="1375" w:type="dxa"/>
            <w:noWrap/>
            <w:vAlign w:val="center"/>
          </w:tcPr>
          <w:p>
            <w:pPr>
              <w:autoSpaceDN w:val="0"/>
              <w:jc w:val="center"/>
              <w:textAlignment w:val="center"/>
              <w:rPr>
                <w:rFonts w:ascii="宋体" w:hAnsi="宋体" w:eastAsia="宋体" w:cs="Times New Roman"/>
                <w:color w:val="000000"/>
                <w:szCs w:val="21"/>
              </w:rPr>
            </w:pPr>
            <w:r>
              <w:rPr>
                <w:rFonts w:hint="eastAsia" w:ascii="宋体" w:hAnsi="宋体" w:eastAsia="宋体" w:cs="Times New Roman"/>
                <w:color w:val="000000"/>
                <w:szCs w:val="21"/>
              </w:rPr>
              <w:t>7.8</w:t>
            </w:r>
          </w:p>
        </w:tc>
        <w:tc>
          <w:tcPr>
            <w:tcW w:w="1203" w:type="dxa"/>
            <w:noWrap/>
            <w:vAlign w:val="center"/>
          </w:tcPr>
          <w:p>
            <w:pPr>
              <w:spacing w:line="360" w:lineRule="auto"/>
              <w:jc w:val="center"/>
              <w:rPr>
                <w:rFonts w:ascii="宋体" w:hAnsi="宋体" w:eastAsia="宋体" w:cs="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eastAsia="宋体" w:cs="Times New Roman"/>
                <w:bCs/>
                <w:szCs w:val="21"/>
              </w:rPr>
            </w:pPr>
            <w:r>
              <w:rPr>
                <w:rFonts w:hint="eastAsia" w:ascii="宋体" w:hAnsi="宋体" w:eastAsia="宋体" w:cs="Times New Roman"/>
                <w:bCs/>
                <w:szCs w:val="21"/>
              </w:rPr>
              <w:t>27</w:t>
            </w:r>
          </w:p>
        </w:tc>
        <w:tc>
          <w:tcPr>
            <w:tcW w:w="3435" w:type="dxa"/>
            <w:noWrap/>
            <w:vAlign w:val="center"/>
          </w:tcPr>
          <w:p>
            <w:pPr>
              <w:autoSpaceDN w:val="0"/>
              <w:jc w:val="center"/>
              <w:textAlignment w:val="center"/>
              <w:rPr>
                <w:rFonts w:ascii="Times New Roman" w:hAnsi="Times New Roman" w:eastAsia="宋体" w:cs="Times New Roman"/>
                <w:color w:val="000000"/>
              </w:rPr>
            </w:pPr>
            <w:r>
              <w:rPr>
                <w:rFonts w:ascii="Times New Roman" w:hAnsi="Times New Roman" w:eastAsia="宋体" w:cs="Times New Roman"/>
                <w:color w:val="000000"/>
              </w:rPr>
              <w:t>便携式水质分析系统</w:t>
            </w:r>
          </w:p>
        </w:tc>
        <w:tc>
          <w:tcPr>
            <w:tcW w:w="1031" w:type="dxa"/>
            <w:noWrap/>
            <w:vAlign w:val="center"/>
          </w:tcPr>
          <w:p>
            <w:pPr>
              <w:autoSpaceDN w:val="0"/>
              <w:jc w:val="center"/>
              <w:textAlignment w:val="center"/>
              <w:rPr>
                <w:rFonts w:ascii="宋体" w:hAnsi="宋体" w:eastAsia="宋体" w:cs="Times New Roman"/>
                <w:color w:val="000000"/>
                <w:szCs w:val="21"/>
              </w:rPr>
            </w:pPr>
            <w:r>
              <w:rPr>
                <w:rFonts w:hint="eastAsia" w:ascii="宋体" w:hAnsi="宋体" w:eastAsia="宋体" w:cs="Times New Roman"/>
                <w:color w:val="000000"/>
                <w:szCs w:val="21"/>
              </w:rPr>
              <w:t>4.4</w:t>
            </w:r>
          </w:p>
        </w:tc>
        <w:tc>
          <w:tcPr>
            <w:tcW w:w="859" w:type="dxa"/>
            <w:noWrap/>
            <w:vAlign w:val="center"/>
          </w:tcPr>
          <w:p>
            <w:pPr>
              <w:autoSpaceDN w:val="0"/>
              <w:jc w:val="center"/>
              <w:textAlignment w:val="center"/>
              <w:rPr>
                <w:rFonts w:ascii="宋体" w:hAnsi="宋体" w:eastAsia="宋体" w:cs="Times New Roman"/>
                <w:szCs w:val="21"/>
              </w:rPr>
            </w:pPr>
            <w:r>
              <w:rPr>
                <w:rFonts w:hint="eastAsia" w:ascii="宋体" w:hAnsi="宋体" w:eastAsia="宋体" w:cs="Times New Roman"/>
                <w:szCs w:val="21"/>
              </w:rPr>
              <w:t>1</w:t>
            </w:r>
          </w:p>
        </w:tc>
        <w:tc>
          <w:tcPr>
            <w:tcW w:w="1375" w:type="dxa"/>
            <w:noWrap/>
            <w:vAlign w:val="center"/>
          </w:tcPr>
          <w:p>
            <w:pPr>
              <w:autoSpaceDN w:val="0"/>
              <w:jc w:val="center"/>
              <w:textAlignment w:val="center"/>
              <w:rPr>
                <w:rFonts w:ascii="宋体" w:hAnsi="宋体" w:eastAsia="宋体" w:cs="Times New Roman"/>
                <w:color w:val="000000"/>
                <w:szCs w:val="21"/>
              </w:rPr>
            </w:pPr>
            <w:r>
              <w:rPr>
                <w:rFonts w:hint="eastAsia" w:ascii="宋体" w:hAnsi="宋体" w:eastAsia="宋体" w:cs="Times New Roman"/>
                <w:color w:val="000000"/>
                <w:szCs w:val="21"/>
              </w:rPr>
              <w:t>4.4</w:t>
            </w:r>
          </w:p>
        </w:tc>
        <w:tc>
          <w:tcPr>
            <w:tcW w:w="1203" w:type="dxa"/>
            <w:noWrap/>
            <w:vAlign w:val="center"/>
          </w:tcPr>
          <w:p>
            <w:pPr>
              <w:spacing w:line="360" w:lineRule="auto"/>
              <w:jc w:val="center"/>
              <w:rPr>
                <w:rFonts w:ascii="宋体" w:hAnsi="宋体" w:eastAsia="宋体" w:cs="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eastAsia="宋体" w:cs="Times New Roman"/>
                <w:bCs/>
                <w:szCs w:val="21"/>
              </w:rPr>
            </w:pPr>
            <w:r>
              <w:rPr>
                <w:rFonts w:hint="eastAsia" w:ascii="宋体" w:hAnsi="宋体" w:eastAsia="宋体" w:cs="Times New Roman"/>
                <w:bCs/>
                <w:szCs w:val="21"/>
              </w:rPr>
              <w:t>28</w:t>
            </w:r>
          </w:p>
        </w:tc>
        <w:tc>
          <w:tcPr>
            <w:tcW w:w="3435" w:type="dxa"/>
            <w:noWrap/>
            <w:vAlign w:val="center"/>
          </w:tcPr>
          <w:p>
            <w:pPr>
              <w:autoSpaceDN w:val="0"/>
              <w:jc w:val="center"/>
              <w:textAlignment w:val="center"/>
              <w:rPr>
                <w:rFonts w:ascii="Times New Roman" w:hAnsi="Times New Roman" w:eastAsia="宋体" w:cs="Times New Roman"/>
                <w:color w:val="000000"/>
              </w:rPr>
            </w:pPr>
            <w:r>
              <w:rPr>
                <w:rFonts w:ascii="Times New Roman" w:hAnsi="Times New Roman" w:eastAsia="宋体" w:cs="Times New Roman"/>
                <w:color w:val="000000"/>
              </w:rPr>
              <w:t>化工操作单元仿真实训室——硬件系统</w:t>
            </w:r>
            <w:r>
              <w:rPr>
                <w:rFonts w:hint="eastAsia" w:ascii="Times New Roman" w:hAnsi="Times New Roman" w:eastAsia="宋体" w:cs="Times New Roman"/>
                <w:color w:val="000000"/>
              </w:rPr>
              <w:t>、软件及配套</w:t>
            </w:r>
          </w:p>
        </w:tc>
        <w:tc>
          <w:tcPr>
            <w:tcW w:w="1031" w:type="dxa"/>
            <w:noWrap/>
            <w:vAlign w:val="center"/>
          </w:tcPr>
          <w:p>
            <w:pPr>
              <w:autoSpaceDN w:val="0"/>
              <w:jc w:val="center"/>
              <w:textAlignment w:val="center"/>
              <w:rPr>
                <w:rFonts w:ascii="宋体" w:hAnsi="宋体" w:eastAsia="宋体" w:cs="Times New Roman"/>
                <w:color w:val="000000"/>
                <w:szCs w:val="21"/>
              </w:rPr>
            </w:pPr>
            <w:r>
              <w:rPr>
                <w:rFonts w:hint="eastAsia" w:ascii="宋体" w:hAnsi="宋体" w:eastAsia="宋体" w:cs="Times New Roman"/>
                <w:color w:val="000000"/>
                <w:szCs w:val="21"/>
              </w:rPr>
              <w:t>24</w:t>
            </w:r>
          </w:p>
        </w:tc>
        <w:tc>
          <w:tcPr>
            <w:tcW w:w="859" w:type="dxa"/>
            <w:noWrap/>
            <w:vAlign w:val="center"/>
          </w:tcPr>
          <w:p>
            <w:pPr>
              <w:autoSpaceDN w:val="0"/>
              <w:jc w:val="center"/>
              <w:textAlignment w:val="center"/>
              <w:rPr>
                <w:rFonts w:ascii="宋体" w:hAnsi="宋体" w:eastAsia="宋体" w:cs="Times New Roman"/>
                <w:szCs w:val="21"/>
              </w:rPr>
            </w:pPr>
            <w:r>
              <w:rPr>
                <w:rFonts w:hint="eastAsia" w:ascii="宋体" w:hAnsi="宋体" w:eastAsia="宋体" w:cs="Times New Roman"/>
                <w:szCs w:val="21"/>
              </w:rPr>
              <w:t>1</w:t>
            </w:r>
          </w:p>
        </w:tc>
        <w:tc>
          <w:tcPr>
            <w:tcW w:w="1375" w:type="dxa"/>
            <w:noWrap/>
            <w:vAlign w:val="center"/>
          </w:tcPr>
          <w:p>
            <w:pPr>
              <w:autoSpaceDN w:val="0"/>
              <w:jc w:val="center"/>
              <w:textAlignment w:val="center"/>
              <w:rPr>
                <w:rFonts w:ascii="宋体" w:hAnsi="宋体" w:eastAsia="宋体" w:cs="Times New Roman"/>
                <w:color w:val="000000"/>
                <w:szCs w:val="21"/>
              </w:rPr>
            </w:pPr>
            <w:r>
              <w:rPr>
                <w:rFonts w:hint="eastAsia" w:ascii="宋体" w:hAnsi="宋体" w:eastAsia="宋体" w:cs="Times New Roman"/>
                <w:color w:val="000000"/>
                <w:szCs w:val="21"/>
              </w:rPr>
              <w:t>24</w:t>
            </w:r>
          </w:p>
        </w:tc>
        <w:tc>
          <w:tcPr>
            <w:tcW w:w="1203" w:type="dxa"/>
            <w:noWrap/>
            <w:vAlign w:val="center"/>
          </w:tcPr>
          <w:p>
            <w:pPr>
              <w:spacing w:line="360" w:lineRule="auto"/>
              <w:jc w:val="center"/>
              <w:rPr>
                <w:rFonts w:ascii="宋体" w:hAnsi="宋体" w:eastAsia="宋体" w:cs="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eastAsia="宋体" w:cs="Times New Roman"/>
                <w:bCs/>
                <w:szCs w:val="21"/>
              </w:rPr>
            </w:pPr>
            <w:r>
              <w:rPr>
                <w:rFonts w:hint="eastAsia" w:ascii="宋体" w:hAnsi="宋体" w:eastAsia="宋体" w:cs="Times New Roman"/>
                <w:bCs/>
                <w:szCs w:val="21"/>
              </w:rPr>
              <w:t>29</w:t>
            </w:r>
          </w:p>
        </w:tc>
        <w:tc>
          <w:tcPr>
            <w:tcW w:w="3435" w:type="dxa"/>
            <w:noWrap/>
            <w:vAlign w:val="center"/>
          </w:tcPr>
          <w:p>
            <w:pPr>
              <w:autoSpaceDN w:val="0"/>
              <w:jc w:val="center"/>
              <w:textAlignment w:val="center"/>
              <w:rPr>
                <w:rFonts w:ascii="Times New Roman" w:hAnsi="Times New Roman" w:eastAsia="宋体" w:cs="Times New Roman"/>
                <w:color w:val="000000"/>
              </w:rPr>
            </w:pPr>
            <w:r>
              <w:rPr>
                <w:rFonts w:ascii="Times New Roman" w:hAnsi="Times New Roman" w:eastAsia="宋体" w:cs="Times New Roman"/>
                <w:sz w:val="18"/>
                <w:szCs w:val="18"/>
              </w:rPr>
              <w:t>智能沙盘</w:t>
            </w:r>
          </w:p>
        </w:tc>
        <w:tc>
          <w:tcPr>
            <w:tcW w:w="1031" w:type="dxa"/>
            <w:noWrap/>
            <w:vAlign w:val="center"/>
          </w:tcPr>
          <w:p>
            <w:pPr>
              <w:autoSpaceDN w:val="0"/>
              <w:jc w:val="center"/>
              <w:textAlignment w:val="center"/>
              <w:rPr>
                <w:rFonts w:ascii="宋体" w:hAnsi="宋体" w:eastAsia="宋体" w:cs="Times New Roman"/>
                <w:color w:val="000000"/>
                <w:szCs w:val="21"/>
              </w:rPr>
            </w:pPr>
            <w:r>
              <w:rPr>
                <w:rFonts w:hint="eastAsia" w:ascii="宋体" w:hAnsi="宋体" w:eastAsia="宋体" w:cs="Times New Roman"/>
                <w:color w:val="000000"/>
                <w:szCs w:val="21"/>
              </w:rPr>
              <w:t>32.5</w:t>
            </w:r>
          </w:p>
        </w:tc>
        <w:tc>
          <w:tcPr>
            <w:tcW w:w="859" w:type="dxa"/>
            <w:noWrap/>
            <w:vAlign w:val="center"/>
          </w:tcPr>
          <w:p>
            <w:pPr>
              <w:autoSpaceDN w:val="0"/>
              <w:jc w:val="center"/>
              <w:textAlignment w:val="center"/>
              <w:rPr>
                <w:rFonts w:ascii="宋体" w:hAnsi="宋体" w:eastAsia="宋体" w:cs="Times New Roman"/>
                <w:szCs w:val="21"/>
              </w:rPr>
            </w:pPr>
            <w:r>
              <w:rPr>
                <w:rFonts w:hint="eastAsia" w:ascii="宋体" w:hAnsi="宋体" w:eastAsia="宋体" w:cs="Times New Roman"/>
                <w:szCs w:val="21"/>
              </w:rPr>
              <w:t>1</w:t>
            </w:r>
          </w:p>
        </w:tc>
        <w:tc>
          <w:tcPr>
            <w:tcW w:w="1375" w:type="dxa"/>
            <w:noWrap/>
            <w:vAlign w:val="center"/>
          </w:tcPr>
          <w:p>
            <w:pPr>
              <w:autoSpaceDN w:val="0"/>
              <w:jc w:val="center"/>
              <w:textAlignment w:val="center"/>
              <w:rPr>
                <w:rFonts w:ascii="宋体" w:hAnsi="宋体" w:eastAsia="宋体" w:cs="Times New Roman"/>
                <w:color w:val="000000"/>
                <w:szCs w:val="21"/>
              </w:rPr>
            </w:pPr>
            <w:r>
              <w:rPr>
                <w:rFonts w:hint="eastAsia" w:ascii="宋体" w:hAnsi="宋体" w:eastAsia="宋体" w:cs="Times New Roman"/>
                <w:color w:val="000000"/>
                <w:szCs w:val="21"/>
              </w:rPr>
              <w:t>32.5</w:t>
            </w:r>
          </w:p>
        </w:tc>
        <w:tc>
          <w:tcPr>
            <w:tcW w:w="1203" w:type="dxa"/>
            <w:noWrap/>
            <w:vAlign w:val="center"/>
          </w:tcPr>
          <w:p>
            <w:pPr>
              <w:spacing w:line="360" w:lineRule="auto"/>
              <w:jc w:val="center"/>
              <w:rPr>
                <w:rFonts w:ascii="宋体" w:hAnsi="宋体" w:eastAsia="宋体" w:cs="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noWrap/>
            <w:vAlign w:val="center"/>
          </w:tcPr>
          <w:p>
            <w:pPr>
              <w:spacing w:line="360" w:lineRule="auto"/>
              <w:jc w:val="center"/>
              <w:rPr>
                <w:rFonts w:ascii="宋体" w:hAnsi="宋体" w:eastAsia="宋体" w:cs="Times New Roman"/>
                <w:bCs/>
                <w:szCs w:val="21"/>
              </w:rPr>
            </w:pPr>
            <w:r>
              <w:rPr>
                <w:rFonts w:hint="eastAsia" w:ascii="宋体" w:hAnsi="宋体" w:eastAsia="宋体" w:cs="Times New Roman"/>
                <w:bCs/>
                <w:szCs w:val="21"/>
              </w:rPr>
              <w:t>30</w:t>
            </w:r>
          </w:p>
        </w:tc>
        <w:tc>
          <w:tcPr>
            <w:tcW w:w="3435" w:type="dxa"/>
            <w:noWrap/>
            <w:vAlign w:val="center"/>
          </w:tcPr>
          <w:p>
            <w:pPr>
              <w:autoSpaceDN w:val="0"/>
              <w:jc w:val="center"/>
              <w:textAlignment w:val="center"/>
              <w:rPr>
                <w:rFonts w:ascii="Times New Roman" w:hAnsi="Times New Roman" w:eastAsia="宋体" w:cs="Times New Roman"/>
                <w:color w:val="000000"/>
              </w:rPr>
            </w:pPr>
            <w:r>
              <w:rPr>
                <w:rFonts w:ascii="Times New Roman" w:hAnsi="Times New Roman" w:eastAsia="宋体" w:cs="Times New Roman"/>
                <w:color w:val="000000"/>
              </w:rPr>
              <w:t>微机灰熔点测定仪</w:t>
            </w:r>
          </w:p>
        </w:tc>
        <w:tc>
          <w:tcPr>
            <w:tcW w:w="1031" w:type="dxa"/>
            <w:noWrap/>
            <w:vAlign w:val="center"/>
          </w:tcPr>
          <w:p>
            <w:pPr>
              <w:autoSpaceDN w:val="0"/>
              <w:jc w:val="center"/>
              <w:textAlignment w:val="center"/>
              <w:rPr>
                <w:rFonts w:ascii="宋体" w:hAnsi="宋体" w:eastAsia="宋体" w:cs="Times New Roman"/>
                <w:color w:val="000000"/>
                <w:szCs w:val="21"/>
              </w:rPr>
            </w:pPr>
            <w:r>
              <w:rPr>
                <w:rFonts w:hint="eastAsia" w:ascii="宋体" w:hAnsi="宋体" w:eastAsia="宋体" w:cs="Times New Roman"/>
                <w:color w:val="000000"/>
                <w:szCs w:val="21"/>
              </w:rPr>
              <w:t>3.2</w:t>
            </w:r>
          </w:p>
        </w:tc>
        <w:tc>
          <w:tcPr>
            <w:tcW w:w="859" w:type="dxa"/>
            <w:noWrap/>
            <w:vAlign w:val="center"/>
          </w:tcPr>
          <w:p>
            <w:pPr>
              <w:autoSpaceDN w:val="0"/>
              <w:jc w:val="center"/>
              <w:textAlignment w:val="center"/>
              <w:rPr>
                <w:rFonts w:ascii="宋体" w:hAnsi="宋体" w:eastAsia="宋体" w:cs="Times New Roman"/>
                <w:szCs w:val="21"/>
              </w:rPr>
            </w:pPr>
            <w:r>
              <w:rPr>
                <w:rFonts w:hint="eastAsia" w:ascii="宋体" w:hAnsi="宋体" w:eastAsia="宋体" w:cs="Times New Roman"/>
                <w:szCs w:val="21"/>
              </w:rPr>
              <w:t>1</w:t>
            </w:r>
          </w:p>
        </w:tc>
        <w:tc>
          <w:tcPr>
            <w:tcW w:w="1375" w:type="dxa"/>
            <w:noWrap/>
            <w:vAlign w:val="center"/>
          </w:tcPr>
          <w:p>
            <w:pPr>
              <w:autoSpaceDN w:val="0"/>
              <w:jc w:val="center"/>
              <w:textAlignment w:val="center"/>
              <w:rPr>
                <w:rFonts w:ascii="宋体" w:hAnsi="宋体" w:eastAsia="宋体" w:cs="Times New Roman"/>
                <w:color w:val="000000"/>
                <w:szCs w:val="21"/>
              </w:rPr>
            </w:pPr>
            <w:r>
              <w:rPr>
                <w:rFonts w:hint="eastAsia" w:ascii="宋体" w:hAnsi="宋体" w:eastAsia="宋体" w:cs="Times New Roman"/>
                <w:color w:val="000000"/>
                <w:szCs w:val="21"/>
              </w:rPr>
              <w:t>3.2</w:t>
            </w:r>
          </w:p>
        </w:tc>
        <w:tc>
          <w:tcPr>
            <w:tcW w:w="1203" w:type="dxa"/>
            <w:noWrap/>
            <w:vAlign w:val="center"/>
          </w:tcPr>
          <w:p>
            <w:pPr>
              <w:spacing w:line="360" w:lineRule="auto"/>
              <w:jc w:val="center"/>
              <w:rPr>
                <w:rFonts w:ascii="宋体" w:hAnsi="宋体" w:eastAsia="宋体" w:cs="Times New Roman"/>
                <w:bCs/>
                <w:szCs w:val="21"/>
              </w:rPr>
            </w:pPr>
          </w:p>
        </w:tc>
      </w:tr>
    </w:tbl>
    <w:p>
      <w:pPr>
        <w:spacing w:line="360" w:lineRule="auto"/>
      </w:pPr>
    </w:p>
    <w:p>
      <w:pPr>
        <w:spacing w:line="360" w:lineRule="auto"/>
        <w:ind w:firstLine="300" w:firstLineChars="100"/>
        <w:rPr>
          <w:rFonts w:ascii="黑体" w:hAnsi="黑体" w:eastAsia="黑体"/>
          <w:sz w:val="30"/>
          <w:szCs w:val="30"/>
        </w:rPr>
      </w:pPr>
      <w:r>
        <w:rPr>
          <w:rFonts w:ascii="黑体" w:hAnsi="黑体" w:eastAsia="黑体"/>
          <w:sz w:val="30"/>
          <w:szCs w:val="30"/>
        </w:rPr>
        <w:t>（二）校外实习基地教学条件</w:t>
      </w:r>
      <w:bookmarkEnd w:id="128"/>
    </w:p>
    <w:p>
      <w:pPr>
        <w:spacing w:line="360" w:lineRule="auto"/>
        <w:ind w:firstLine="480" w:firstLineChars="200"/>
        <w:rPr>
          <w:sz w:val="24"/>
        </w:rPr>
      </w:pPr>
      <w:r>
        <w:rPr>
          <w:rFonts w:hAnsi="宋体"/>
          <w:sz w:val="24"/>
        </w:rPr>
        <w:t>实训和顶岗实习是高职教育不可缺少的一个重要教学环节，也直接关系到人才培养目标能否实现的关键性环节。为了能够培养符合化工企业要求的应用化工技术专业高</w:t>
      </w:r>
      <w:r>
        <w:rPr>
          <w:rFonts w:hint="eastAsia" w:hAnsi="宋体"/>
          <w:sz w:val="24"/>
        </w:rPr>
        <w:t>素质</w:t>
      </w:r>
      <w:r>
        <w:rPr>
          <w:rFonts w:hAnsi="宋体"/>
          <w:sz w:val="24"/>
        </w:rPr>
        <w:t>技术技能人才，现建有</w:t>
      </w:r>
      <w:r>
        <w:rPr>
          <w:rFonts w:hint="eastAsia"/>
          <w:sz w:val="24"/>
        </w:rPr>
        <w:t>5</w:t>
      </w:r>
      <w:r>
        <w:rPr>
          <w:rFonts w:hAnsi="宋体"/>
          <w:sz w:val="24"/>
        </w:rPr>
        <w:t>个校外实习基地。</w:t>
      </w:r>
    </w:p>
    <w:p>
      <w:pPr>
        <w:spacing w:line="360" w:lineRule="auto"/>
        <w:ind w:firstLine="480" w:firstLineChars="200"/>
        <w:jc w:val="center"/>
        <w:rPr>
          <w:rFonts w:hAnsi="宋体"/>
          <w:bCs/>
          <w:sz w:val="24"/>
        </w:rPr>
      </w:pPr>
      <w:r>
        <w:rPr>
          <w:rFonts w:hAnsi="宋体"/>
          <w:bCs/>
          <w:sz w:val="24"/>
        </w:rPr>
        <w:t>表</w:t>
      </w:r>
      <w:r>
        <w:rPr>
          <w:bCs/>
          <w:sz w:val="24"/>
        </w:rPr>
        <w:t>5.</w:t>
      </w:r>
      <w:r>
        <w:rPr>
          <w:rFonts w:hint="eastAsia"/>
          <w:bCs/>
          <w:sz w:val="24"/>
        </w:rPr>
        <w:t>9</w:t>
      </w:r>
      <w:r>
        <w:rPr>
          <w:rFonts w:hAnsi="宋体"/>
          <w:bCs/>
          <w:sz w:val="24"/>
        </w:rPr>
        <w:t>校外实习基地情况</w:t>
      </w:r>
    </w:p>
    <w:p>
      <w:pPr>
        <w:spacing w:line="360" w:lineRule="auto"/>
        <w:ind w:firstLine="480" w:firstLineChars="200"/>
        <w:jc w:val="center"/>
        <w:rPr>
          <w:rFonts w:hAnsi="宋体"/>
          <w:bCs/>
          <w:sz w:val="24"/>
        </w:rPr>
      </w:pPr>
    </w:p>
    <w:tbl>
      <w:tblPr>
        <w:tblStyle w:val="1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3167"/>
        <w:gridCol w:w="4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77" w:type="dxa"/>
            <w:vAlign w:val="center"/>
          </w:tcPr>
          <w:p>
            <w:pPr>
              <w:spacing w:line="360" w:lineRule="auto"/>
              <w:jc w:val="center"/>
              <w:rPr>
                <w:rFonts w:ascii="宋体" w:hAnsi="宋体"/>
                <w:b/>
                <w:szCs w:val="21"/>
              </w:rPr>
            </w:pPr>
            <w:r>
              <w:rPr>
                <w:rFonts w:hint="eastAsia" w:ascii="宋体" w:hAnsi="宋体"/>
                <w:b/>
                <w:szCs w:val="21"/>
              </w:rPr>
              <w:t>序号</w:t>
            </w:r>
          </w:p>
        </w:tc>
        <w:tc>
          <w:tcPr>
            <w:tcW w:w="3167" w:type="dxa"/>
            <w:vAlign w:val="center"/>
          </w:tcPr>
          <w:p>
            <w:pPr>
              <w:spacing w:line="360" w:lineRule="auto"/>
              <w:jc w:val="center"/>
              <w:rPr>
                <w:rFonts w:ascii="宋体" w:hAnsi="宋体"/>
                <w:b/>
                <w:szCs w:val="21"/>
              </w:rPr>
            </w:pPr>
            <w:r>
              <w:rPr>
                <w:rFonts w:hint="eastAsia" w:ascii="宋体" w:hAnsi="宋体"/>
                <w:b/>
                <w:szCs w:val="21"/>
              </w:rPr>
              <w:t>名称</w:t>
            </w:r>
          </w:p>
        </w:tc>
        <w:tc>
          <w:tcPr>
            <w:tcW w:w="4478" w:type="dxa"/>
            <w:vAlign w:val="center"/>
          </w:tcPr>
          <w:p>
            <w:pPr>
              <w:spacing w:line="360" w:lineRule="auto"/>
              <w:jc w:val="center"/>
              <w:rPr>
                <w:rFonts w:ascii="宋体" w:hAnsi="宋体"/>
                <w:b/>
                <w:szCs w:val="21"/>
              </w:rPr>
            </w:pPr>
            <w:r>
              <w:rPr>
                <w:rFonts w:hint="eastAsia" w:ascii="宋体" w:hAnsi="宋体"/>
                <w:b/>
                <w:szCs w:val="21"/>
              </w:rPr>
              <w:t>主要功能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877" w:type="dxa"/>
            <w:vAlign w:val="center"/>
          </w:tcPr>
          <w:p>
            <w:pPr>
              <w:widowControl/>
              <w:spacing w:line="360" w:lineRule="auto"/>
              <w:jc w:val="center"/>
              <w:rPr>
                <w:rFonts w:ascii="宋体" w:hAnsi="宋体"/>
                <w:kern w:val="0"/>
                <w:szCs w:val="21"/>
              </w:rPr>
            </w:pPr>
            <w:r>
              <w:rPr>
                <w:rFonts w:hint="eastAsia" w:ascii="宋体" w:hAnsi="宋体"/>
                <w:kern w:val="0"/>
                <w:szCs w:val="21"/>
              </w:rPr>
              <w:t>1</w:t>
            </w:r>
          </w:p>
        </w:tc>
        <w:tc>
          <w:tcPr>
            <w:tcW w:w="3167" w:type="dxa"/>
            <w:vAlign w:val="center"/>
          </w:tcPr>
          <w:p>
            <w:pPr>
              <w:autoSpaceDN w:val="0"/>
              <w:spacing w:line="360" w:lineRule="auto"/>
              <w:jc w:val="center"/>
              <w:textAlignment w:val="center"/>
              <w:rPr>
                <w:rFonts w:ascii="宋体" w:hAnsi="宋体"/>
                <w:kern w:val="0"/>
                <w:szCs w:val="21"/>
              </w:rPr>
            </w:pPr>
            <w:r>
              <w:rPr>
                <w:rFonts w:hint="eastAsia" w:ascii="宋体" w:hAnsi="宋体"/>
                <w:color w:val="000000"/>
                <w:szCs w:val="21"/>
              </w:rPr>
              <w:t>山西兰花科创煤化工公司</w:t>
            </w:r>
          </w:p>
        </w:tc>
        <w:tc>
          <w:tcPr>
            <w:tcW w:w="4478" w:type="dxa"/>
            <w:vAlign w:val="center"/>
          </w:tcPr>
          <w:p>
            <w:pPr>
              <w:autoSpaceDN w:val="0"/>
              <w:spacing w:line="360" w:lineRule="auto"/>
              <w:jc w:val="center"/>
              <w:textAlignment w:val="center"/>
              <w:rPr>
                <w:rFonts w:ascii="宋体" w:hAnsi="宋体"/>
                <w:szCs w:val="21"/>
              </w:rPr>
            </w:pPr>
            <w:r>
              <w:rPr>
                <w:rFonts w:hint="eastAsia" w:ascii="宋体" w:hAnsi="宋体"/>
                <w:color w:val="000000"/>
                <w:szCs w:val="21"/>
              </w:rPr>
              <w:t>合成氨工艺流程、尿素合成工艺、基本设备操作、化工仪表操作、设备故障检修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877" w:type="dxa"/>
            <w:vAlign w:val="center"/>
          </w:tcPr>
          <w:p>
            <w:pPr>
              <w:widowControl/>
              <w:spacing w:line="360" w:lineRule="auto"/>
              <w:jc w:val="center"/>
              <w:rPr>
                <w:rFonts w:ascii="宋体" w:hAnsi="宋体"/>
                <w:kern w:val="0"/>
                <w:szCs w:val="21"/>
              </w:rPr>
            </w:pPr>
            <w:r>
              <w:rPr>
                <w:rFonts w:hint="eastAsia" w:ascii="宋体" w:hAnsi="宋体"/>
                <w:kern w:val="0"/>
                <w:szCs w:val="21"/>
              </w:rPr>
              <w:t>2</w:t>
            </w:r>
          </w:p>
        </w:tc>
        <w:tc>
          <w:tcPr>
            <w:tcW w:w="3167" w:type="dxa"/>
            <w:vAlign w:val="center"/>
          </w:tcPr>
          <w:p>
            <w:pPr>
              <w:autoSpaceDN w:val="0"/>
              <w:spacing w:line="360" w:lineRule="auto"/>
              <w:jc w:val="center"/>
              <w:textAlignment w:val="center"/>
              <w:rPr>
                <w:rFonts w:ascii="宋体" w:hAnsi="宋体"/>
                <w:kern w:val="0"/>
                <w:szCs w:val="21"/>
              </w:rPr>
            </w:pPr>
            <w:r>
              <w:rPr>
                <w:rFonts w:hint="eastAsia" w:ascii="宋体" w:hAnsi="宋体"/>
                <w:color w:val="000000"/>
                <w:szCs w:val="21"/>
              </w:rPr>
              <w:t>山西兰花科创化工分公司</w:t>
            </w:r>
          </w:p>
        </w:tc>
        <w:tc>
          <w:tcPr>
            <w:tcW w:w="4478" w:type="dxa"/>
            <w:vAlign w:val="center"/>
          </w:tcPr>
          <w:p>
            <w:pPr>
              <w:autoSpaceDN w:val="0"/>
              <w:spacing w:line="360" w:lineRule="auto"/>
              <w:jc w:val="center"/>
              <w:textAlignment w:val="center"/>
              <w:rPr>
                <w:rFonts w:ascii="宋体" w:hAnsi="宋体"/>
                <w:szCs w:val="21"/>
              </w:rPr>
            </w:pPr>
            <w:r>
              <w:rPr>
                <w:rFonts w:hint="eastAsia" w:ascii="宋体" w:hAnsi="宋体"/>
                <w:color w:val="000000"/>
                <w:szCs w:val="21"/>
              </w:rPr>
              <w:t>合成氨工艺流程、尿素合成工艺、基本设备操作、化工仪表操作、设备故障检修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877" w:type="dxa"/>
            <w:vAlign w:val="center"/>
          </w:tcPr>
          <w:p>
            <w:pPr>
              <w:widowControl/>
              <w:spacing w:line="360" w:lineRule="auto"/>
              <w:jc w:val="center"/>
              <w:rPr>
                <w:rFonts w:ascii="宋体" w:hAnsi="宋体"/>
                <w:kern w:val="0"/>
                <w:szCs w:val="21"/>
              </w:rPr>
            </w:pPr>
            <w:r>
              <w:rPr>
                <w:rFonts w:hint="eastAsia" w:ascii="宋体" w:hAnsi="宋体"/>
                <w:kern w:val="0"/>
                <w:szCs w:val="21"/>
              </w:rPr>
              <w:t>3</w:t>
            </w:r>
          </w:p>
        </w:tc>
        <w:tc>
          <w:tcPr>
            <w:tcW w:w="3167" w:type="dxa"/>
            <w:vAlign w:val="center"/>
          </w:tcPr>
          <w:p>
            <w:pPr>
              <w:autoSpaceDN w:val="0"/>
              <w:spacing w:line="360" w:lineRule="auto"/>
              <w:jc w:val="center"/>
              <w:textAlignment w:val="center"/>
              <w:rPr>
                <w:rFonts w:ascii="宋体" w:hAnsi="宋体"/>
                <w:kern w:val="0"/>
                <w:szCs w:val="21"/>
              </w:rPr>
            </w:pPr>
            <w:r>
              <w:rPr>
                <w:rFonts w:hint="eastAsia" w:ascii="宋体" w:hAnsi="宋体"/>
                <w:color w:val="000000"/>
                <w:szCs w:val="21"/>
              </w:rPr>
              <w:t>山西兰花科创田悦分公司</w:t>
            </w:r>
          </w:p>
        </w:tc>
        <w:tc>
          <w:tcPr>
            <w:tcW w:w="4478" w:type="dxa"/>
            <w:vAlign w:val="center"/>
          </w:tcPr>
          <w:p>
            <w:pPr>
              <w:autoSpaceDN w:val="0"/>
              <w:spacing w:line="360" w:lineRule="auto"/>
              <w:jc w:val="center"/>
              <w:textAlignment w:val="center"/>
              <w:rPr>
                <w:rFonts w:ascii="宋体" w:hAnsi="宋体"/>
                <w:szCs w:val="21"/>
              </w:rPr>
            </w:pPr>
            <w:r>
              <w:rPr>
                <w:rFonts w:hint="eastAsia" w:ascii="宋体" w:hAnsi="宋体"/>
                <w:color w:val="000000"/>
                <w:szCs w:val="21"/>
              </w:rPr>
              <w:t>合成氨工艺流程、尿素合成工艺、基本设备操作、化工仪表操作、设备故障检修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877" w:type="dxa"/>
            <w:vAlign w:val="center"/>
          </w:tcPr>
          <w:p>
            <w:pPr>
              <w:widowControl/>
              <w:spacing w:line="360" w:lineRule="auto"/>
              <w:jc w:val="center"/>
              <w:rPr>
                <w:rFonts w:ascii="宋体" w:hAnsi="宋体"/>
                <w:kern w:val="0"/>
                <w:szCs w:val="21"/>
              </w:rPr>
            </w:pPr>
            <w:r>
              <w:rPr>
                <w:rFonts w:hint="eastAsia" w:ascii="宋体" w:hAnsi="宋体"/>
                <w:kern w:val="0"/>
                <w:szCs w:val="21"/>
              </w:rPr>
              <w:t>4</w:t>
            </w:r>
          </w:p>
        </w:tc>
        <w:tc>
          <w:tcPr>
            <w:tcW w:w="3167" w:type="dxa"/>
            <w:vAlign w:val="center"/>
          </w:tcPr>
          <w:p>
            <w:pPr>
              <w:autoSpaceDN w:val="0"/>
              <w:spacing w:line="360" w:lineRule="auto"/>
              <w:jc w:val="center"/>
              <w:textAlignment w:val="center"/>
              <w:rPr>
                <w:rFonts w:ascii="宋体" w:hAnsi="宋体"/>
                <w:kern w:val="0"/>
                <w:szCs w:val="21"/>
              </w:rPr>
            </w:pPr>
            <w:r>
              <w:rPr>
                <w:rFonts w:hint="eastAsia" w:ascii="宋体" w:hAnsi="宋体"/>
                <w:color w:val="000000"/>
                <w:szCs w:val="21"/>
              </w:rPr>
              <w:t>山西天泽煤化工集团股份公司</w:t>
            </w:r>
          </w:p>
        </w:tc>
        <w:tc>
          <w:tcPr>
            <w:tcW w:w="4478" w:type="dxa"/>
            <w:vAlign w:val="center"/>
          </w:tcPr>
          <w:p>
            <w:pPr>
              <w:autoSpaceDN w:val="0"/>
              <w:spacing w:line="360" w:lineRule="auto"/>
              <w:jc w:val="center"/>
              <w:textAlignment w:val="center"/>
              <w:rPr>
                <w:rFonts w:ascii="宋体" w:hAnsi="宋体"/>
                <w:szCs w:val="21"/>
              </w:rPr>
            </w:pPr>
            <w:r>
              <w:rPr>
                <w:rFonts w:hint="eastAsia" w:ascii="宋体" w:hAnsi="宋体"/>
                <w:color w:val="000000"/>
                <w:szCs w:val="21"/>
              </w:rPr>
              <w:t>合成氨工艺流程、尿素合成工艺、基本设备操作、化工仪表操作、设备故障检修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877" w:type="dxa"/>
            <w:vAlign w:val="center"/>
          </w:tcPr>
          <w:p>
            <w:pPr>
              <w:autoSpaceDN w:val="0"/>
              <w:spacing w:line="360" w:lineRule="auto"/>
              <w:jc w:val="center"/>
              <w:textAlignment w:val="center"/>
              <w:rPr>
                <w:rFonts w:ascii="宋体" w:hAnsi="宋体"/>
                <w:color w:val="000000"/>
                <w:szCs w:val="21"/>
              </w:rPr>
            </w:pPr>
            <w:r>
              <w:rPr>
                <w:rFonts w:hint="eastAsia" w:ascii="宋体" w:hAnsi="宋体"/>
                <w:color w:val="000000"/>
                <w:szCs w:val="21"/>
              </w:rPr>
              <w:t>5</w:t>
            </w:r>
          </w:p>
        </w:tc>
        <w:tc>
          <w:tcPr>
            <w:tcW w:w="3167" w:type="dxa"/>
            <w:vAlign w:val="center"/>
          </w:tcPr>
          <w:p>
            <w:pPr>
              <w:autoSpaceDN w:val="0"/>
              <w:spacing w:line="360" w:lineRule="auto"/>
              <w:jc w:val="center"/>
              <w:textAlignment w:val="center"/>
              <w:rPr>
                <w:rFonts w:ascii="宋体" w:hAnsi="宋体"/>
                <w:color w:val="000000"/>
                <w:szCs w:val="21"/>
              </w:rPr>
            </w:pPr>
            <w:r>
              <w:rPr>
                <w:rFonts w:hint="eastAsia" w:ascii="宋体" w:hAnsi="宋体"/>
                <w:color w:val="000000"/>
                <w:szCs w:val="21"/>
              </w:rPr>
              <w:t>晋城市泽锦生物科技有限公司</w:t>
            </w:r>
          </w:p>
        </w:tc>
        <w:tc>
          <w:tcPr>
            <w:tcW w:w="4478" w:type="dxa"/>
            <w:vAlign w:val="center"/>
          </w:tcPr>
          <w:p>
            <w:pPr>
              <w:spacing w:line="360" w:lineRule="auto"/>
              <w:jc w:val="center"/>
              <w:rPr>
                <w:rFonts w:ascii="宋体" w:hAnsi="宋体"/>
                <w:szCs w:val="21"/>
              </w:rPr>
            </w:pPr>
            <w:r>
              <w:rPr>
                <w:rFonts w:hint="eastAsia" w:ascii="宋体" w:hAnsi="宋体"/>
                <w:szCs w:val="21"/>
              </w:rPr>
              <w:t>生态有机肥、微生物肥的制作流程</w:t>
            </w:r>
          </w:p>
        </w:tc>
      </w:tr>
    </w:tbl>
    <w:p>
      <w:pPr>
        <w:pStyle w:val="3"/>
        <w:ind w:firstLine="480" w:firstLineChars="150"/>
        <w:rPr>
          <w:b w:val="0"/>
        </w:rPr>
      </w:pPr>
      <w:bookmarkStart w:id="129" w:name="_Toc17278769"/>
      <w:bookmarkStart w:id="130" w:name="_Toc570"/>
      <w:r>
        <w:rPr>
          <w:rFonts w:hint="eastAsia"/>
          <w:b w:val="0"/>
        </w:rPr>
        <w:t>四、教学监督与评价机制保障</w:t>
      </w:r>
      <w:bookmarkEnd w:id="123"/>
      <w:bookmarkEnd w:id="124"/>
      <w:bookmarkEnd w:id="125"/>
      <w:bookmarkEnd w:id="126"/>
      <w:bookmarkEnd w:id="129"/>
      <w:bookmarkEnd w:id="130"/>
    </w:p>
    <w:p>
      <w:pPr>
        <w:spacing w:line="440" w:lineRule="exact"/>
        <w:ind w:firstLine="540" w:firstLineChars="225"/>
        <w:rPr>
          <w:rFonts w:ascii="宋体" w:hAnsi="宋体"/>
          <w:sz w:val="24"/>
        </w:rPr>
      </w:pPr>
      <w:bookmarkStart w:id="131" w:name="_Toc339985624"/>
      <w:bookmarkStart w:id="132" w:name="_Toc341338659"/>
      <w:bookmarkStart w:id="133" w:name="_Toc29651"/>
      <w:bookmarkStart w:id="134" w:name="_Toc339913823"/>
      <w:r>
        <w:rPr>
          <w:rFonts w:hint="eastAsia" w:ascii="宋体" w:hAnsi="宋体"/>
          <w:sz w:val="24"/>
        </w:rPr>
        <w:t>经过多年实践，学院已经形成和建立了行之有效的教学管理制度和教学质量监控体系，对规范正常教学秩序、严格教学管理，保证教学质量起到了积极的保障作用。</w:t>
      </w:r>
    </w:p>
    <w:p>
      <w:pPr>
        <w:spacing w:line="360" w:lineRule="auto"/>
        <w:ind w:firstLine="300" w:firstLineChars="100"/>
        <w:rPr>
          <w:rFonts w:ascii="黑体" w:hAnsi="黑体" w:eastAsia="黑体"/>
          <w:sz w:val="30"/>
          <w:szCs w:val="30"/>
        </w:rPr>
      </w:pPr>
      <w:bookmarkStart w:id="135" w:name="_Toc20533"/>
      <w:r>
        <w:rPr>
          <w:rFonts w:hint="eastAsia" w:ascii="黑体" w:hAnsi="黑体" w:eastAsia="黑体"/>
          <w:sz w:val="30"/>
          <w:szCs w:val="30"/>
        </w:rPr>
        <w:t>（一）</w:t>
      </w:r>
      <w:r>
        <w:rPr>
          <w:rFonts w:ascii="黑体" w:hAnsi="黑体" w:eastAsia="黑体"/>
          <w:sz w:val="30"/>
          <w:szCs w:val="30"/>
        </w:rPr>
        <w:t>教学监督管理</w:t>
      </w:r>
      <w:bookmarkEnd w:id="135"/>
    </w:p>
    <w:p>
      <w:pPr>
        <w:spacing w:line="360" w:lineRule="auto"/>
        <w:ind w:firstLine="480" w:firstLineChars="200"/>
        <w:rPr>
          <w:sz w:val="24"/>
        </w:rPr>
      </w:pPr>
      <w:r>
        <w:rPr>
          <w:rFonts w:hint="eastAsia"/>
          <w:sz w:val="24"/>
        </w:rPr>
        <w:t>1.</w:t>
      </w:r>
      <w:r>
        <w:rPr>
          <w:sz w:val="24"/>
        </w:rPr>
        <w:t>日常教学管理</w:t>
      </w:r>
    </w:p>
    <w:p>
      <w:pPr>
        <w:spacing w:line="360" w:lineRule="auto"/>
        <w:ind w:firstLine="480" w:firstLineChars="200"/>
        <w:rPr>
          <w:sz w:val="24"/>
        </w:rPr>
      </w:pPr>
      <w:r>
        <w:rPr>
          <w:sz w:val="24"/>
        </w:rPr>
        <w:t>在教务处统一安排下，</w:t>
      </w:r>
      <w:r>
        <w:rPr>
          <w:rFonts w:hint="eastAsia"/>
          <w:sz w:val="24"/>
        </w:rPr>
        <w:t>该</w:t>
      </w:r>
      <w:r>
        <w:rPr>
          <w:sz w:val="24"/>
        </w:rPr>
        <w:t>系会同教务处，共同对</w:t>
      </w:r>
      <w:r>
        <w:rPr>
          <w:rFonts w:hint="eastAsia"/>
          <w:sz w:val="24"/>
        </w:rPr>
        <w:t>人才培养方案</w:t>
      </w:r>
      <w:r>
        <w:rPr>
          <w:sz w:val="24"/>
        </w:rPr>
        <w:t>的执行情况（即教学过程）和教师的教学纪律进行定期和不定期的检查和督导，以保证教学秩序的稳定。检查可采取听课、检查任课教师的教学资料、召开学生座谈会、对学生进行问卷调查等形式进行。教务处和</w:t>
      </w:r>
      <w:r>
        <w:rPr>
          <w:rFonts w:hint="eastAsia"/>
          <w:sz w:val="24"/>
        </w:rPr>
        <w:t>本</w:t>
      </w:r>
      <w:r>
        <w:rPr>
          <w:sz w:val="24"/>
        </w:rPr>
        <w:t>系每学期</w:t>
      </w:r>
      <w:r>
        <w:rPr>
          <w:rFonts w:hint="eastAsia"/>
          <w:sz w:val="24"/>
        </w:rPr>
        <w:t>安排多次</w:t>
      </w:r>
      <w:r>
        <w:rPr>
          <w:sz w:val="24"/>
        </w:rPr>
        <w:t>集中</w:t>
      </w:r>
      <w:r>
        <w:rPr>
          <w:rFonts w:hint="eastAsia"/>
          <w:sz w:val="24"/>
        </w:rPr>
        <w:t>教学</w:t>
      </w:r>
      <w:r>
        <w:rPr>
          <w:sz w:val="24"/>
        </w:rPr>
        <w:t>检查</w:t>
      </w:r>
      <w:r>
        <w:rPr>
          <w:rFonts w:hint="eastAsia"/>
          <w:sz w:val="24"/>
        </w:rPr>
        <w:t>，规范教学常规</w:t>
      </w:r>
      <w:r>
        <w:rPr>
          <w:sz w:val="24"/>
        </w:rPr>
        <w:t>。</w:t>
      </w:r>
    </w:p>
    <w:p>
      <w:pPr>
        <w:spacing w:line="360" w:lineRule="auto"/>
        <w:rPr>
          <w:sz w:val="24"/>
        </w:rPr>
      </w:pPr>
      <w:r>
        <w:rPr>
          <w:rFonts w:hint="eastAsia"/>
          <w:sz w:val="24"/>
        </w:rPr>
        <w:t xml:space="preserve">    2.</w:t>
      </w:r>
      <w:r>
        <w:rPr>
          <w:sz w:val="24"/>
        </w:rPr>
        <w:t>建立教务</w:t>
      </w:r>
      <w:r>
        <w:rPr>
          <w:rFonts w:hint="eastAsia"/>
          <w:sz w:val="24"/>
        </w:rPr>
        <w:t>例</w:t>
      </w:r>
      <w:r>
        <w:rPr>
          <w:sz w:val="24"/>
        </w:rPr>
        <w:t>会制度</w:t>
      </w:r>
    </w:p>
    <w:p>
      <w:pPr>
        <w:spacing w:line="360" w:lineRule="auto"/>
        <w:ind w:firstLine="480" w:firstLineChars="200"/>
        <w:rPr>
          <w:sz w:val="24"/>
        </w:rPr>
      </w:pPr>
      <w:r>
        <w:rPr>
          <w:sz w:val="24"/>
        </w:rPr>
        <w:t>由教务处协助主管</w:t>
      </w:r>
      <w:r>
        <w:rPr>
          <w:rFonts w:hint="eastAsia"/>
          <w:sz w:val="24"/>
        </w:rPr>
        <w:t>院</w:t>
      </w:r>
      <w:r>
        <w:rPr>
          <w:sz w:val="24"/>
        </w:rPr>
        <w:t>长定期和不定期召开</w:t>
      </w:r>
      <w:r>
        <w:rPr>
          <w:rFonts w:hint="eastAsia"/>
          <w:sz w:val="24"/>
        </w:rPr>
        <w:t>教务例会，各</w:t>
      </w:r>
      <w:r>
        <w:rPr>
          <w:sz w:val="24"/>
        </w:rPr>
        <w:t>系主任参加。通过教务</w:t>
      </w:r>
      <w:r>
        <w:rPr>
          <w:rFonts w:hint="eastAsia"/>
          <w:sz w:val="24"/>
        </w:rPr>
        <w:t>例</w:t>
      </w:r>
      <w:r>
        <w:rPr>
          <w:sz w:val="24"/>
        </w:rPr>
        <w:t>会，了解</w:t>
      </w:r>
      <w:r>
        <w:rPr>
          <w:rFonts w:hint="eastAsia"/>
          <w:sz w:val="24"/>
        </w:rPr>
        <w:t>各教学</w:t>
      </w:r>
      <w:r>
        <w:rPr>
          <w:sz w:val="24"/>
        </w:rPr>
        <w:t>系</w:t>
      </w:r>
      <w:r>
        <w:rPr>
          <w:rFonts w:hint="eastAsia"/>
          <w:sz w:val="24"/>
        </w:rPr>
        <w:t>的</w:t>
      </w:r>
      <w:r>
        <w:rPr>
          <w:sz w:val="24"/>
        </w:rPr>
        <w:t>教学情况，研究和处理教学计划执行中出现的各种问题，布置教学工作任务。</w:t>
      </w:r>
    </w:p>
    <w:p>
      <w:pPr>
        <w:spacing w:line="360" w:lineRule="auto"/>
        <w:ind w:firstLine="480" w:firstLineChars="200"/>
        <w:rPr>
          <w:sz w:val="24"/>
        </w:rPr>
      </w:pPr>
      <w:r>
        <w:rPr>
          <w:rFonts w:hint="eastAsia"/>
          <w:sz w:val="24"/>
        </w:rPr>
        <w:t>3.化工</w:t>
      </w:r>
      <w:r>
        <w:rPr>
          <w:sz w:val="24"/>
        </w:rPr>
        <w:t>系教学管理</w:t>
      </w:r>
    </w:p>
    <w:p>
      <w:pPr>
        <w:spacing w:line="360" w:lineRule="auto"/>
        <w:ind w:firstLine="480" w:firstLineChars="200"/>
        <w:rPr>
          <w:sz w:val="24"/>
        </w:rPr>
      </w:pPr>
      <w:r>
        <w:rPr>
          <w:rFonts w:hint="eastAsia"/>
          <w:sz w:val="24"/>
        </w:rPr>
        <w:t>化工</w:t>
      </w:r>
      <w:r>
        <w:rPr>
          <w:sz w:val="24"/>
        </w:rPr>
        <w:t>系定期召开</w:t>
      </w:r>
      <w:r>
        <w:rPr>
          <w:rFonts w:hint="eastAsia"/>
          <w:sz w:val="24"/>
        </w:rPr>
        <w:t>专业</w:t>
      </w:r>
      <w:r>
        <w:rPr>
          <w:sz w:val="24"/>
        </w:rPr>
        <w:t>主任会议和任课教师会议，及时掌握教学过程情况，总结教学工作和教学管理工作经验，及时研究解决教学过程中出现的问题。</w:t>
      </w:r>
      <w:r>
        <w:rPr>
          <w:rFonts w:hint="eastAsia"/>
          <w:sz w:val="24"/>
        </w:rPr>
        <w:t>专业</w:t>
      </w:r>
      <w:r>
        <w:rPr>
          <w:sz w:val="24"/>
        </w:rPr>
        <w:t>室要在每学期初制定出工作计划，组织集体备课、观摩教学、</w:t>
      </w:r>
      <w:r>
        <w:rPr>
          <w:rFonts w:hint="eastAsia"/>
          <w:sz w:val="24"/>
        </w:rPr>
        <w:t>开展</w:t>
      </w:r>
      <w:r>
        <w:rPr>
          <w:sz w:val="24"/>
        </w:rPr>
        <w:t>教学研究，了解教师教学进展情况，按学院布置进行教学检查。</w:t>
      </w:r>
    </w:p>
    <w:p>
      <w:pPr>
        <w:spacing w:line="360" w:lineRule="auto"/>
        <w:ind w:firstLine="300" w:firstLineChars="100"/>
        <w:rPr>
          <w:rFonts w:ascii="黑体" w:hAnsi="黑体" w:eastAsia="黑体"/>
          <w:sz w:val="30"/>
          <w:szCs w:val="30"/>
        </w:rPr>
      </w:pPr>
      <w:bookmarkStart w:id="136" w:name="_Toc16427"/>
      <w:r>
        <w:rPr>
          <w:rFonts w:hint="eastAsia" w:ascii="黑体" w:hAnsi="黑体" w:eastAsia="黑体"/>
          <w:sz w:val="30"/>
          <w:szCs w:val="30"/>
        </w:rPr>
        <w:t>（二）教学质量监控体系</w:t>
      </w:r>
      <w:bookmarkEnd w:id="136"/>
    </w:p>
    <w:p>
      <w:pPr>
        <w:spacing w:line="360" w:lineRule="auto"/>
        <w:ind w:firstLine="480" w:firstLineChars="200"/>
        <w:rPr>
          <w:sz w:val="24"/>
        </w:rPr>
      </w:pPr>
      <w:r>
        <w:rPr>
          <w:rFonts w:hint="eastAsia"/>
          <w:sz w:val="24"/>
        </w:rPr>
        <w:t>由院、系两级教学督导制度、值周干部听课制度、学生评教制度、教学检查与评价制度组成。</w:t>
      </w:r>
    </w:p>
    <w:p>
      <w:pPr>
        <w:spacing w:line="360" w:lineRule="auto"/>
        <w:ind w:firstLine="480" w:firstLineChars="200"/>
        <w:rPr>
          <w:sz w:val="24"/>
        </w:rPr>
      </w:pPr>
      <w:bookmarkStart w:id="137" w:name="_Toc16950"/>
      <w:bookmarkStart w:id="138" w:name="_Toc361913086"/>
      <w:r>
        <w:rPr>
          <w:rFonts w:hint="eastAsia"/>
          <w:sz w:val="24"/>
        </w:rPr>
        <w:t>1.院、系两级教学督导制度</w:t>
      </w:r>
      <w:bookmarkEnd w:id="137"/>
      <w:bookmarkEnd w:id="138"/>
    </w:p>
    <w:p>
      <w:pPr>
        <w:spacing w:line="360" w:lineRule="auto"/>
        <w:ind w:firstLine="480" w:firstLineChars="200"/>
        <w:rPr>
          <w:sz w:val="24"/>
        </w:rPr>
      </w:pPr>
      <w:r>
        <w:rPr>
          <w:rFonts w:hint="eastAsia"/>
          <w:sz w:val="24"/>
        </w:rPr>
        <w:t xml:space="preserve">建有院系两级教学指导委员会。院级教学指导委员会是学院教学工作方面的咨询机构和智囊团；系（专业）教学指导委员会负责对系教学过程实施中影响教学质量的各个环节进行监督、评价，直接对分管教学院长负责，并接受院级教学指导委员会的业务指导。专业教学指导委员会成员由教学经验丰富、 学术水平高、 责任心强的专任教师和企业兼职教师组成，对教学工作实行监督、检查、评价、审议、指导。 </w:t>
      </w:r>
    </w:p>
    <w:p>
      <w:pPr>
        <w:spacing w:line="360" w:lineRule="auto"/>
        <w:ind w:firstLine="480" w:firstLineChars="200"/>
        <w:rPr>
          <w:sz w:val="24"/>
        </w:rPr>
      </w:pPr>
      <w:bookmarkStart w:id="139" w:name="_Toc361913087"/>
      <w:bookmarkStart w:id="140" w:name="_Toc6210"/>
      <w:r>
        <w:rPr>
          <w:rFonts w:hint="eastAsia"/>
          <w:sz w:val="24"/>
        </w:rPr>
        <w:t>2.值周领导干部听课制度</w:t>
      </w:r>
      <w:bookmarkEnd w:id="139"/>
      <w:bookmarkEnd w:id="140"/>
    </w:p>
    <w:p>
      <w:pPr>
        <w:spacing w:line="360" w:lineRule="auto"/>
        <w:ind w:firstLine="480" w:firstLineChars="200"/>
        <w:rPr>
          <w:sz w:val="24"/>
        </w:rPr>
      </w:pPr>
      <w:r>
        <w:rPr>
          <w:rFonts w:hint="eastAsia"/>
          <w:sz w:val="24"/>
        </w:rPr>
        <w:t>建立值周领导干部听课制度，学院和系部各级党政干部深入教学第一线，及时了解教学情况，倾听师生意见，发现并解决教学中存在的问题，避免教学一线与管理层的脱节，保证教学管理工作的针对性和有效性。</w:t>
      </w:r>
    </w:p>
    <w:p>
      <w:pPr>
        <w:spacing w:line="360" w:lineRule="auto"/>
        <w:ind w:firstLine="480" w:firstLineChars="200"/>
        <w:rPr>
          <w:sz w:val="24"/>
        </w:rPr>
      </w:pPr>
      <w:bookmarkStart w:id="141" w:name="_Toc19398"/>
      <w:bookmarkStart w:id="142" w:name="_Toc361913088"/>
      <w:r>
        <w:rPr>
          <w:rFonts w:hint="eastAsia"/>
          <w:sz w:val="24"/>
        </w:rPr>
        <w:t>3.学生评教制度</w:t>
      </w:r>
      <w:bookmarkEnd w:id="141"/>
      <w:bookmarkEnd w:id="142"/>
    </w:p>
    <w:p>
      <w:pPr>
        <w:spacing w:line="360" w:lineRule="auto"/>
        <w:ind w:firstLine="480" w:firstLineChars="200"/>
        <w:rPr>
          <w:sz w:val="24"/>
        </w:rPr>
      </w:pPr>
      <w:r>
        <w:rPr>
          <w:rFonts w:hint="eastAsia"/>
          <w:sz w:val="24"/>
        </w:rPr>
        <w:t>每学期期中、期末，以专业为单位，选取部分学生、课代表和学生干部，举行学期座谈会，</w:t>
      </w:r>
      <w:r>
        <w:rPr>
          <w:sz w:val="24"/>
        </w:rPr>
        <w:t>填写任课教师评分表</w:t>
      </w:r>
      <w:r>
        <w:rPr>
          <w:rFonts w:hint="eastAsia"/>
          <w:sz w:val="24"/>
        </w:rPr>
        <w:t xml:space="preserve">，给学生以畅通的渠道反映本系、本专业的教学管理、办学条件和教学质量中存在的问题并对教学提出意见和建议，使系部的管理和教学更加贴近学生、贴近实际。 </w:t>
      </w:r>
    </w:p>
    <w:p>
      <w:pPr>
        <w:spacing w:line="360" w:lineRule="auto"/>
        <w:ind w:firstLine="480" w:firstLineChars="200"/>
        <w:rPr>
          <w:sz w:val="24"/>
        </w:rPr>
      </w:pPr>
      <w:bookmarkStart w:id="143" w:name="_Toc29103"/>
      <w:bookmarkStart w:id="144" w:name="_Toc361913089"/>
      <w:r>
        <w:rPr>
          <w:rFonts w:hint="eastAsia"/>
          <w:sz w:val="24"/>
        </w:rPr>
        <w:t>4.教学检查制度</w:t>
      </w:r>
      <w:bookmarkEnd w:id="143"/>
      <w:bookmarkEnd w:id="144"/>
    </w:p>
    <w:p>
      <w:pPr>
        <w:spacing w:line="360" w:lineRule="auto"/>
        <w:rPr>
          <w:sz w:val="24"/>
        </w:rPr>
      </w:pPr>
      <w:r>
        <w:rPr>
          <w:rFonts w:hint="eastAsia"/>
          <w:sz w:val="24"/>
        </w:rPr>
        <w:t xml:space="preserve">    根据《晋城职业技术学院教学检查与管理办法》，从期初到期末，本系安排不少于3次的集中教学检查，教学情况的检查工作贯穿始终，发现问题并及时解决问题，注意归纳分析和总结经验，以指导工作，不断提高管理者在日常教学检查中的预见问题、解决困难的能力。 </w:t>
      </w:r>
    </w:p>
    <w:p>
      <w:pPr>
        <w:spacing w:line="360" w:lineRule="auto"/>
        <w:ind w:firstLine="480" w:firstLineChars="200"/>
        <w:rPr>
          <w:sz w:val="24"/>
        </w:rPr>
      </w:pPr>
      <w:bookmarkStart w:id="145" w:name="_Toc361913090"/>
      <w:bookmarkStart w:id="146" w:name="_Toc23114"/>
      <w:r>
        <w:rPr>
          <w:rFonts w:hint="eastAsia"/>
          <w:sz w:val="24"/>
        </w:rPr>
        <w:t>5.教学评价</w:t>
      </w:r>
      <w:bookmarkEnd w:id="145"/>
      <w:bookmarkEnd w:id="146"/>
    </w:p>
    <w:p>
      <w:pPr>
        <w:spacing w:line="360" w:lineRule="auto"/>
        <w:ind w:firstLine="480" w:firstLineChars="200"/>
        <w:rPr>
          <w:rFonts w:ascii="宋体" w:hAnsi="宋体"/>
          <w:sz w:val="24"/>
        </w:rPr>
      </w:pPr>
      <w:r>
        <w:rPr>
          <w:sz w:val="24"/>
        </w:rPr>
        <w:t>科学的教</w:t>
      </w:r>
      <w:r>
        <w:rPr>
          <w:rFonts w:ascii="宋体" w:hAnsi="宋体"/>
          <w:sz w:val="24"/>
        </w:rPr>
        <w:t>学质量评价体系是检验人才培养方案实施效果和修订人才培养方案的有效途径。本专业采取如下措施以保证教学评价的运行：</w:t>
      </w:r>
    </w:p>
    <w:p>
      <w:pPr>
        <w:spacing w:line="360" w:lineRule="auto"/>
        <w:ind w:firstLine="480" w:firstLineChars="200"/>
        <w:rPr>
          <w:rFonts w:ascii="宋体" w:hAnsi="宋体"/>
          <w:sz w:val="24"/>
        </w:rPr>
      </w:pPr>
      <w:r>
        <w:rPr>
          <w:rFonts w:hint="eastAsia" w:ascii="宋体" w:hAnsi="宋体"/>
          <w:sz w:val="24"/>
        </w:rPr>
        <w:t>（1）</w:t>
      </w:r>
      <w:r>
        <w:rPr>
          <w:rFonts w:ascii="宋体" w:hAnsi="宋体"/>
          <w:sz w:val="24"/>
        </w:rPr>
        <w:t>建立由</w:t>
      </w:r>
      <w:r>
        <w:rPr>
          <w:rFonts w:hint="eastAsia" w:ascii="宋体" w:hAnsi="宋体"/>
          <w:sz w:val="24"/>
        </w:rPr>
        <w:t>化工</w:t>
      </w:r>
      <w:r>
        <w:rPr>
          <w:rFonts w:ascii="宋体" w:hAnsi="宋体"/>
          <w:sz w:val="24"/>
        </w:rPr>
        <w:t>企业和学院共同参与的教学质量评价运行机制；</w:t>
      </w:r>
    </w:p>
    <w:p>
      <w:pPr>
        <w:spacing w:line="360" w:lineRule="auto"/>
        <w:ind w:firstLine="480" w:firstLineChars="200"/>
        <w:rPr>
          <w:rFonts w:ascii="宋体" w:hAnsi="宋体"/>
          <w:sz w:val="24"/>
        </w:rPr>
      </w:pPr>
      <w:r>
        <w:rPr>
          <w:rFonts w:hint="eastAsia" w:ascii="宋体" w:hAnsi="宋体"/>
          <w:sz w:val="24"/>
        </w:rPr>
        <w:t>（2）</w:t>
      </w:r>
      <w:r>
        <w:rPr>
          <w:rFonts w:ascii="宋体" w:hAnsi="宋体"/>
          <w:sz w:val="24"/>
        </w:rPr>
        <w:t>建立学生综合素质的评价制度，并建立学生自评、互评和教师评价、企业评价、社会评价相结合的综合评价体系；</w:t>
      </w:r>
    </w:p>
    <w:p>
      <w:pPr>
        <w:spacing w:line="360" w:lineRule="auto"/>
        <w:ind w:firstLine="480" w:firstLineChars="200"/>
        <w:rPr>
          <w:rFonts w:ascii="宋体" w:hAnsi="宋体"/>
          <w:sz w:val="24"/>
        </w:rPr>
      </w:pPr>
      <w:r>
        <w:rPr>
          <w:rFonts w:hint="eastAsia" w:ascii="宋体" w:hAnsi="宋体"/>
          <w:sz w:val="24"/>
        </w:rPr>
        <w:t>（3）</w:t>
      </w:r>
      <w:r>
        <w:rPr>
          <w:rFonts w:ascii="宋体" w:hAnsi="宋体"/>
          <w:sz w:val="24"/>
        </w:rPr>
        <w:t>建立毕业生跟踪调查制度，完善企业对毕业生满意度调查、学生和家长对学</w:t>
      </w:r>
      <w:r>
        <w:rPr>
          <w:rFonts w:hint="eastAsia" w:ascii="宋体" w:hAnsi="宋体"/>
          <w:sz w:val="24"/>
        </w:rPr>
        <w:t>院</w:t>
      </w:r>
      <w:r>
        <w:rPr>
          <w:rFonts w:ascii="宋体" w:hAnsi="宋体"/>
          <w:sz w:val="24"/>
        </w:rPr>
        <w:t>的满意度调查运行机制；</w:t>
      </w:r>
    </w:p>
    <w:p>
      <w:pPr>
        <w:spacing w:line="360" w:lineRule="auto"/>
        <w:ind w:firstLine="480" w:firstLineChars="200"/>
        <w:rPr>
          <w:rFonts w:ascii="宋体" w:hAnsi="宋体"/>
          <w:sz w:val="24"/>
        </w:rPr>
      </w:pPr>
      <w:r>
        <w:rPr>
          <w:rFonts w:hint="eastAsia" w:ascii="宋体" w:hAnsi="宋体"/>
          <w:sz w:val="24"/>
        </w:rPr>
        <w:t>（4）</w:t>
      </w:r>
      <w:r>
        <w:rPr>
          <w:rFonts w:ascii="宋体" w:hAnsi="宋体"/>
          <w:sz w:val="24"/>
        </w:rPr>
        <w:t>专业指导委员会负责对来自企业、家长、毕业生的质量评价结果进行分析，对人才培养方案进行整改与完善并用于新一轮人才培养过程。</w:t>
      </w:r>
    </w:p>
    <w:p>
      <w:pPr>
        <w:pStyle w:val="3"/>
        <w:ind w:firstLine="480" w:firstLineChars="150"/>
        <w:rPr>
          <w:b w:val="0"/>
        </w:rPr>
      </w:pPr>
      <w:bookmarkStart w:id="147" w:name="_Toc17278770"/>
      <w:bookmarkStart w:id="148" w:name="_Toc10476"/>
      <w:r>
        <w:rPr>
          <w:rFonts w:hint="eastAsia"/>
          <w:b w:val="0"/>
        </w:rPr>
        <w:t>五、机制保障</w:t>
      </w:r>
      <w:bookmarkEnd w:id="131"/>
      <w:bookmarkEnd w:id="132"/>
      <w:bookmarkEnd w:id="133"/>
      <w:bookmarkEnd w:id="134"/>
      <w:bookmarkEnd w:id="147"/>
      <w:bookmarkEnd w:id="148"/>
    </w:p>
    <w:p>
      <w:pPr>
        <w:spacing w:line="360" w:lineRule="auto"/>
        <w:ind w:firstLine="480" w:firstLineChars="200"/>
        <w:rPr>
          <w:color w:val="000000"/>
          <w:sz w:val="24"/>
        </w:rPr>
      </w:pPr>
      <w:r>
        <w:rPr>
          <w:rFonts w:hAnsi="宋体"/>
          <w:color w:val="000000"/>
          <w:sz w:val="24"/>
        </w:rPr>
        <w:t>在统一思想的前提下，为确保规划目标的整体、协同、有序、稳定的实施，必须落实思想政治、制度、资金、基本建设、合作机制等五个方面的保障措施。</w:t>
      </w:r>
    </w:p>
    <w:p>
      <w:pPr>
        <w:spacing w:line="360" w:lineRule="auto"/>
        <w:ind w:firstLine="300" w:firstLineChars="100"/>
        <w:rPr>
          <w:rFonts w:ascii="黑体" w:hAnsi="黑体" w:eastAsia="黑体"/>
          <w:sz w:val="30"/>
          <w:szCs w:val="30"/>
        </w:rPr>
      </w:pPr>
      <w:r>
        <w:rPr>
          <w:rFonts w:ascii="黑体" w:hAnsi="黑体" w:eastAsia="黑体"/>
          <w:sz w:val="30"/>
          <w:szCs w:val="30"/>
        </w:rPr>
        <w:t>（一）思想政治保障</w:t>
      </w:r>
    </w:p>
    <w:p>
      <w:pPr>
        <w:spacing w:line="360" w:lineRule="auto"/>
        <w:ind w:firstLine="480" w:firstLineChars="200"/>
        <w:rPr>
          <w:color w:val="000000"/>
          <w:sz w:val="24"/>
        </w:rPr>
      </w:pPr>
      <w:r>
        <w:rPr>
          <w:rFonts w:hAnsi="宋体"/>
          <w:color w:val="000000"/>
          <w:sz w:val="24"/>
        </w:rPr>
        <w:t>要切实加强党建和思想政治工作，构建和谐校园。贯彻落实关于新时期党的建设工程的各项方针，全面构建学校党建工作的长效机制，加强思想、组织和作风建设。全面落实反腐倡廉各项工作任务，建立健全教育、制度、监督并重的惩治和预防腐败体系。加强安全教育与管理，完善校园安全稳定防控体系。进一步加强师生思想政治教育工作，建设一支高素质的思想政治教育队伍。打造宣传平台与载体，增强宣传工作的亲和力、感召力和凝聚力。全面实施大学生素质教育工程，充分发挥思想政治理论课的主渠道作用，加强以艺术教育为特色的人文素质教育，建立覆盖课堂教学、课外活动和社会实践的大学生素质教育体系。加强心理健康教育，创新高职生教育与管理模式。加大校园文化建设的力度，以师德师风建设为核心，推进学校的教风、学风和校园育人环境的建设，彰显大学精神，构建和谐校园。</w:t>
      </w:r>
    </w:p>
    <w:p>
      <w:pPr>
        <w:spacing w:line="360" w:lineRule="auto"/>
        <w:ind w:firstLine="300" w:firstLineChars="100"/>
        <w:rPr>
          <w:rFonts w:ascii="黑体" w:hAnsi="黑体" w:eastAsia="黑体"/>
          <w:sz w:val="30"/>
          <w:szCs w:val="30"/>
        </w:rPr>
      </w:pPr>
      <w:r>
        <w:rPr>
          <w:rFonts w:ascii="黑体" w:hAnsi="黑体" w:eastAsia="黑体"/>
          <w:sz w:val="30"/>
          <w:szCs w:val="30"/>
        </w:rPr>
        <w:t>（二）制度保障</w:t>
      </w:r>
    </w:p>
    <w:p>
      <w:pPr>
        <w:spacing w:line="360" w:lineRule="auto"/>
        <w:ind w:firstLine="480" w:firstLineChars="200"/>
        <w:rPr>
          <w:color w:val="000000"/>
          <w:sz w:val="24"/>
        </w:rPr>
      </w:pPr>
      <w:r>
        <w:rPr>
          <w:rFonts w:hAnsi="宋体"/>
          <w:color w:val="000000"/>
          <w:sz w:val="24"/>
        </w:rPr>
        <w:t>学院发展规划的目标要求，要从建立和完善各项规章制度着手。要从标准、考核、激励等方面形成长效机制。学院继续坚持</w:t>
      </w:r>
      <w:r>
        <w:rPr>
          <w:color w:val="000000"/>
          <w:sz w:val="24"/>
        </w:rPr>
        <w:t>“</w:t>
      </w:r>
      <w:r>
        <w:rPr>
          <w:rFonts w:hAnsi="宋体"/>
          <w:color w:val="000000"/>
          <w:sz w:val="24"/>
        </w:rPr>
        <w:t>事业留人、环境留人、待遇留人</w:t>
      </w:r>
      <w:r>
        <w:rPr>
          <w:color w:val="000000"/>
          <w:sz w:val="24"/>
        </w:rPr>
        <w:t>”</w:t>
      </w:r>
      <w:r>
        <w:rPr>
          <w:rFonts w:hAnsi="宋体"/>
          <w:color w:val="000000"/>
          <w:sz w:val="24"/>
        </w:rPr>
        <w:t>的理念，进一步修订完善各项规章制度，全面实施目标责任制考核，建立科学的业绩评价体系，形成</w:t>
      </w:r>
      <w:r>
        <w:rPr>
          <w:color w:val="000000"/>
          <w:sz w:val="24"/>
        </w:rPr>
        <w:t>“</w:t>
      </w:r>
      <w:r>
        <w:rPr>
          <w:rFonts w:hAnsi="宋体"/>
          <w:color w:val="000000"/>
          <w:sz w:val="24"/>
        </w:rPr>
        <w:t>能上能下、能进能出</w:t>
      </w:r>
      <w:r>
        <w:rPr>
          <w:color w:val="000000"/>
          <w:sz w:val="24"/>
        </w:rPr>
        <w:t>”</w:t>
      </w:r>
      <w:r>
        <w:rPr>
          <w:rFonts w:hAnsi="宋体"/>
          <w:color w:val="000000"/>
          <w:sz w:val="24"/>
        </w:rPr>
        <w:t>的竞争激励机制；逐步推进民主治校、依法治校，健全决策目标、执行责任和监督考核体系，完善院系二级管理体制，提高工作效能，进一步增强凝聚力、领导力、执行力、学习力、创造力，全力打造稳定和谐的校园，全面推动学院各项工作持续、健康、快速发展。</w:t>
      </w:r>
    </w:p>
    <w:p>
      <w:pPr>
        <w:spacing w:line="360" w:lineRule="auto"/>
        <w:ind w:firstLine="300" w:firstLineChars="100"/>
        <w:rPr>
          <w:rFonts w:ascii="黑体" w:hAnsi="黑体" w:eastAsia="黑体"/>
          <w:sz w:val="30"/>
          <w:szCs w:val="30"/>
        </w:rPr>
      </w:pPr>
      <w:r>
        <w:rPr>
          <w:rFonts w:ascii="黑体" w:hAnsi="黑体" w:eastAsia="黑体"/>
          <w:sz w:val="30"/>
          <w:szCs w:val="30"/>
        </w:rPr>
        <w:t>（三）资金保障</w:t>
      </w:r>
    </w:p>
    <w:p>
      <w:pPr>
        <w:spacing w:line="360" w:lineRule="auto"/>
        <w:ind w:firstLine="480" w:firstLineChars="200"/>
        <w:rPr>
          <w:color w:val="000000"/>
          <w:sz w:val="24"/>
        </w:rPr>
      </w:pPr>
      <w:r>
        <w:rPr>
          <w:rFonts w:hAnsi="宋体"/>
          <w:color w:val="000000"/>
          <w:sz w:val="24"/>
        </w:rPr>
        <w:t>建立健全财务约束机制和节约激励机制，厉行增收节支，防范财务风险，形成科学规范的资产配置体系，降低运营成本。用足、用活各项政策，多渠道筹措办学经费，争取和引进更多的校外资源，实现财政投入、社会筹措与学院自筹投入的多元投入方式。</w:t>
      </w:r>
    </w:p>
    <w:p>
      <w:pPr>
        <w:spacing w:line="360" w:lineRule="auto"/>
        <w:ind w:firstLine="480" w:firstLineChars="200"/>
        <w:rPr>
          <w:color w:val="000000"/>
          <w:sz w:val="24"/>
        </w:rPr>
      </w:pPr>
      <w:r>
        <w:rPr>
          <w:rFonts w:hAnsi="宋体"/>
          <w:color w:val="000000"/>
          <w:sz w:val="24"/>
        </w:rPr>
        <w:t>进一步完善财务管理体制和管理模式，进一步落实经费包干制度。加强学院财务收支活动的宏观调控，加强学院各类资金的统一调度、控制、审核和审计等工作，科学运作学院资金，提高资金使用效率。</w:t>
      </w:r>
    </w:p>
    <w:p>
      <w:pPr>
        <w:spacing w:line="360" w:lineRule="auto"/>
        <w:ind w:firstLine="300" w:firstLineChars="100"/>
        <w:rPr>
          <w:rFonts w:ascii="黑体" w:hAnsi="黑体" w:eastAsia="黑体"/>
          <w:sz w:val="30"/>
          <w:szCs w:val="30"/>
        </w:rPr>
      </w:pPr>
      <w:r>
        <w:rPr>
          <w:rFonts w:ascii="黑体" w:hAnsi="黑体" w:eastAsia="黑体"/>
          <w:sz w:val="30"/>
          <w:szCs w:val="30"/>
        </w:rPr>
        <w:t>（四）基本建设保障</w:t>
      </w:r>
    </w:p>
    <w:p>
      <w:pPr>
        <w:spacing w:line="360" w:lineRule="auto"/>
        <w:ind w:firstLine="480" w:firstLineChars="200"/>
        <w:rPr>
          <w:color w:val="000000"/>
          <w:sz w:val="24"/>
        </w:rPr>
      </w:pPr>
      <w:r>
        <w:rPr>
          <w:rFonts w:hAnsi="宋体"/>
          <w:color w:val="000000"/>
          <w:sz w:val="24"/>
        </w:rPr>
        <w:t>加强实验、实训设施建设与管理，不断改善实训条件。加强校园网络建设：建设数字化校园，满足现代化教学和管理要求，搭建教学资源共享平台。加强专业图书资料的合理投入，重点加大对电子资料的投入。</w:t>
      </w:r>
    </w:p>
    <w:p>
      <w:pPr>
        <w:spacing w:line="360" w:lineRule="auto"/>
        <w:ind w:firstLine="300" w:firstLineChars="100"/>
        <w:rPr>
          <w:rFonts w:ascii="黑体" w:hAnsi="黑体" w:eastAsia="黑体"/>
          <w:sz w:val="30"/>
          <w:szCs w:val="30"/>
        </w:rPr>
      </w:pPr>
      <w:r>
        <w:rPr>
          <w:rFonts w:ascii="黑体" w:hAnsi="黑体" w:eastAsia="黑体"/>
          <w:sz w:val="30"/>
          <w:szCs w:val="30"/>
        </w:rPr>
        <w:t>（五）合作机制保障</w:t>
      </w:r>
    </w:p>
    <w:p>
      <w:pPr>
        <w:spacing w:line="360" w:lineRule="auto"/>
        <w:ind w:firstLine="480" w:firstLineChars="200"/>
        <w:rPr>
          <w:color w:val="000000"/>
          <w:sz w:val="24"/>
        </w:rPr>
      </w:pPr>
      <w:r>
        <w:rPr>
          <w:rFonts w:hAnsi="宋体"/>
          <w:color w:val="000000"/>
          <w:sz w:val="24"/>
        </w:rPr>
        <w:t>充分发挥校企合作委员会的作用，创新与完善校企合作机制和服务平台建设，进一步加强与现有多家企业的融合度。一要加大企业界人士对学院发展咨询、专业建设等工作的参与力度；二要加强与企业间建立定期联系或共建信息库，及时掌握企业发展方向和人力资源需求状况，及时调整专业结构和学生培养计划，及时更新教学内容；三要进一步促进产学互动，在兼职教师、双师培养、实习基地和就业渠道方面创造更好的基础条件；此外，学院也要加强为企业提供培训服务，为其员工开展继续教育和在岗培训等工作，为企业人力资源开发、建设注入活力。力争每年增加一定数量的合作企业，特别是沿海与大城市企业，扩大校企合作的影响力，实现学院科学发展。</w:t>
      </w:r>
    </w:p>
    <w:p>
      <w:pPr>
        <w:spacing w:line="360" w:lineRule="auto"/>
        <w:ind w:firstLine="480" w:firstLineChars="200"/>
        <w:rPr>
          <w:color w:val="000000"/>
          <w:sz w:val="24"/>
        </w:rPr>
      </w:pPr>
    </w:p>
    <w:p>
      <w:pPr>
        <w:tabs>
          <w:tab w:val="left" w:pos="3960"/>
        </w:tabs>
      </w:pPr>
    </w:p>
    <w:p>
      <w:pPr>
        <w:tabs>
          <w:tab w:val="left" w:pos="3960"/>
        </w:tabs>
      </w:pPr>
    </w:p>
    <w:p>
      <w:pPr>
        <w:tabs>
          <w:tab w:val="left" w:pos="3960"/>
        </w:tabs>
      </w:pPr>
    </w:p>
    <w:p>
      <w:pPr>
        <w:tabs>
          <w:tab w:val="left" w:pos="3960"/>
        </w:tabs>
      </w:pPr>
    </w:p>
    <w:p>
      <w:pPr>
        <w:tabs>
          <w:tab w:val="left" w:pos="3960"/>
        </w:tabs>
      </w:pPr>
    </w:p>
    <w:p>
      <w:pPr>
        <w:tabs>
          <w:tab w:val="left" w:pos="3960"/>
        </w:tabs>
      </w:pPr>
    </w:p>
    <w:p>
      <w:pPr>
        <w:tabs>
          <w:tab w:val="left" w:pos="3960"/>
        </w:tabs>
      </w:pPr>
    </w:p>
    <w:p>
      <w:pPr>
        <w:tabs>
          <w:tab w:val="left" w:pos="3960"/>
        </w:tabs>
      </w:pPr>
    </w:p>
    <w:p>
      <w:pPr>
        <w:tabs>
          <w:tab w:val="left" w:pos="3960"/>
        </w:tabs>
      </w:pPr>
    </w:p>
    <w:p>
      <w:pPr>
        <w:tabs>
          <w:tab w:val="left" w:pos="3960"/>
        </w:tabs>
      </w:pPr>
    </w:p>
    <w:p>
      <w:pPr>
        <w:tabs>
          <w:tab w:val="left" w:pos="3960"/>
        </w:tabs>
      </w:pPr>
    </w:p>
    <w:p>
      <w:pPr>
        <w:tabs>
          <w:tab w:val="left" w:pos="3960"/>
        </w:tabs>
      </w:pPr>
    </w:p>
    <w:p>
      <w:pPr>
        <w:tabs>
          <w:tab w:val="left" w:pos="3960"/>
        </w:tabs>
      </w:pPr>
    </w:p>
    <w:p>
      <w:pPr>
        <w:tabs>
          <w:tab w:val="left" w:pos="3960"/>
        </w:tabs>
      </w:pPr>
    </w:p>
    <w:p>
      <w:pPr>
        <w:tabs>
          <w:tab w:val="left" w:pos="3960"/>
        </w:tabs>
      </w:pPr>
    </w:p>
    <w:p>
      <w:pPr>
        <w:tabs>
          <w:tab w:val="left" w:pos="3960"/>
        </w:tabs>
      </w:pPr>
    </w:p>
    <w:p>
      <w:pPr>
        <w:tabs>
          <w:tab w:val="left" w:pos="3960"/>
        </w:tabs>
      </w:pPr>
    </w:p>
    <w:p>
      <w:pPr>
        <w:tabs>
          <w:tab w:val="left" w:pos="3960"/>
        </w:tabs>
      </w:pPr>
    </w:p>
    <w:p>
      <w:pPr>
        <w:tabs>
          <w:tab w:val="left" w:pos="3960"/>
        </w:tabs>
      </w:pPr>
    </w:p>
    <w:p>
      <w:pPr>
        <w:tabs>
          <w:tab w:val="left" w:pos="3960"/>
        </w:tabs>
      </w:pPr>
    </w:p>
    <w:p>
      <w:pPr>
        <w:tabs>
          <w:tab w:val="left" w:pos="3960"/>
        </w:tabs>
      </w:pPr>
    </w:p>
    <w:p>
      <w:pPr>
        <w:tabs>
          <w:tab w:val="left" w:pos="3960"/>
        </w:tabs>
      </w:pPr>
    </w:p>
    <w:p>
      <w:pPr>
        <w:tabs>
          <w:tab w:val="left" w:pos="3960"/>
        </w:tabs>
      </w:pPr>
    </w:p>
    <w:p>
      <w:pPr>
        <w:tabs>
          <w:tab w:val="left" w:pos="3960"/>
        </w:tabs>
      </w:pPr>
    </w:p>
    <w:p>
      <w:pPr>
        <w:tabs>
          <w:tab w:val="left" w:pos="3960"/>
        </w:tabs>
      </w:pPr>
    </w:p>
    <w:p>
      <w:pPr>
        <w:tabs>
          <w:tab w:val="left" w:pos="3960"/>
        </w:tabs>
      </w:pPr>
    </w:p>
    <w:p>
      <w:pPr>
        <w:tabs>
          <w:tab w:val="left" w:pos="3960"/>
        </w:tabs>
      </w:pPr>
    </w:p>
    <w:p>
      <w:pPr>
        <w:tabs>
          <w:tab w:val="left" w:pos="3960"/>
        </w:tabs>
      </w:pPr>
    </w:p>
    <w:p>
      <w:pPr>
        <w:tabs>
          <w:tab w:val="left" w:pos="3960"/>
        </w:tabs>
      </w:pPr>
    </w:p>
    <w:p>
      <w:pPr>
        <w:tabs>
          <w:tab w:val="left" w:pos="3960"/>
        </w:tabs>
      </w:pPr>
    </w:p>
    <w:p>
      <w:pPr>
        <w:tabs>
          <w:tab w:val="left" w:pos="3960"/>
        </w:tabs>
      </w:pPr>
    </w:p>
    <w:p>
      <w:pPr>
        <w:adjustRightInd w:val="0"/>
        <w:snapToGrid w:val="0"/>
        <w:spacing w:line="360" w:lineRule="auto"/>
        <w:rPr>
          <w:rFonts w:ascii="宋体" w:hAnsi="宋体"/>
          <w:bCs/>
          <w:sz w:val="24"/>
        </w:rPr>
      </w:pPr>
      <w:r>
        <w:rPr>
          <w:rFonts w:hint="eastAsia" w:ascii="宋体" w:hAnsi="宋体"/>
          <w:bCs/>
          <w:sz w:val="24"/>
        </w:rPr>
        <w:t>附件一：</w:t>
      </w:r>
    </w:p>
    <w:p>
      <w:pPr>
        <w:adjustRightInd w:val="0"/>
        <w:snapToGrid w:val="0"/>
        <w:spacing w:line="360" w:lineRule="auto"/>
        <w:rPr>
          <w:rFonts w:ascii="宋体" w:hAnsi="宋体"/>
          <w:bCs/>
          <w:sz w:val="24"/>
        </w:rPr>
      </w:pPr>
      <w:r>
        <w:rPr>
          <w:rFonts w:hint="eastAsia" w:ascii="宋体" w:hAnsi="宋体"/>
          <w:bCs/>
          <w:sz w:val="24"/>
        </w:rPr>
        <w:t xml:space="preserve">                       企业在岗人员的问卷调查表</w:t>
      </w:r>
    </w:p>
    <w:p>
      <w:pPr>
        <w:adjustRightInd w:val="0"/>
        <w:snapToGrid w:val="0"/>
        <w:spacing w:line="360" w:lineRule="auto"/>
        <w:rPr>
          <w:rFonts w:ascii="宋体" w:hAnsi="宋体"/>
          <w:bCs/>
          <w:sz w:val="24"/>
        </w:rPr>
      </w:pPr>
    </w:p>
    <w:p>
      <w:pPr>
        <w:numPr>
          <w:ilvl w:val="0"/>
          <w:numId w:val="2"/>
        </w:numPr>
        <w:adjustRightInd w:val="0"/>
        <w:snapToGrid w:val="0"/>
        <w:spacing w:line="360" w:lineRule="auto"/>
        <w:rPr>
          <w:rFonts w:ascii="宋体" w:hAnsi="宋体"/>
          <w:bCs/>
          <w:sz w:val="24"/>
        </w:rPr>
      </w:pPr>
      <w:r>
        <w:rPr>
          <w:rFonts w:hint="eastAsia" w:ascii="宋体" w:hAnsi="宋体"/>
          <w:bCs/>
          <w:sz w:val="24"/>
        </w:rPr>
        <w:t>您的性别：  男</w:t>
      </w:r>
      <w:r>
        <w:rPr>
          <w:rFonts w:hint="eastAsia" w:ascii="宋体" w:hAnsi="宋体"/>
          <w:bCs/>
          <w:sz w:val="24"/>
        </w:rPr>
        <w:sym w:font="Wingdings 2" w:char="00A3"/>
      </w:r>
      <w:r>
        <w:rPr>
          <w:rFonts w:hint="eastAsia" w:ascii="宋体" w:hAnsi="宋体"/>
          <w:bCs/>
          <w:sz w:val="24"/>
        </w:rPr>
        <w:t xml:space="preserve">               女</w:t>
      </w:r>
      <w:r>
        <w:rPr>
          <w:rFonts w:hint="eastAsia" w:ascii="宋体" w:hAnsi="宋体"/>
          <w:bCs/>
          <w:sz w:val="24"/>
        </w:rPr>
        <w:sym w:font="Wingdings 2" w:char="00A3"/>
      </w:r>
    </w:p>
    <w:p>
      <w:pPr>
        <w:numPr>
          <w:ilvl w:val="0"/>
          <w:numId w:val="2"/>
        </w:numPr>
        <w:adjustRightInd w:val="0"/>
        <w:snapToGrid w:val="0"/>
        <w:spacing w:line="360" w:lineRule="auto"/>
        <w:rPr>
          <w:rFonts w:ascii="宋体" w:hAnsi="宋体"/>
          <w:bCs/>
          <w:sz w:val="24"/>
        </w:rPr>
      </w:pPr>
      <w:r>
        <w:rPr>
          <w:rFonts w:hint="eastAsia" w:ascii="宋体" w:hAnsi="宋体"/>
          <w:bCs/>
          <w:sz w:val="24"/>
        </w:rPr>
        <w:t>你所在的企业名称：</w:t>
      </w:r>
    </w:p>
    <w:p>
      <w:pPr>
        <w:numPr>
          <w:ilvl w:val="0"/>
          <w:numId w:val="2"/>
        </w:numPr>
        <w:adjustRightInd w:val="0"/>
        <w:snapToGrid w:val="0"/>
        <w:spacing w:line="360" w:lineRule="auto"/>
        <w:rPr>
          <w:rFonts w:ascii="宋体" w:hAnsi="宋体"/>
          <w:bCs/>
          <w:sz w:val="24"/>
        </w:rPr>
      </w:pPr>
      <w:r>
        <w:rPr>
          <w:rFonts w:hint="eastAsia" w:ascii="宋体" w:hAnsi="宋体"/>
          <w:bCs/>
          <w:sz w:val="24"/>
        </w:rPr>
        <w:t>你所在企业的性质：私企</w:t>
      </w:r>
      <w:r>
        <w:rPr>
          <w:rFonts w:hint="eastAsia" w:ascii="宋体" w:hAnsi="宋体"/>
          <w:bCs/>
          <w:sz w:val="24"/>
        </w:rPr>
        <w:sym w:font="Wingdings 2" w:char="00A3"/>
      </w:r>
      <w:r>
        <w:rPr>
          <w:rFonts w:hint="eastAsia" w:ascii="宋体" w:hAnsi="宋体"/>
          <w:bCs/>
          <w:sz w:val="24"/>
        </w:rPr>
        <w:t xml:space="preserve">          国企</w:t>
      </w:r>
      <w:r>
        <w:rPr>
          <w:rFonts w:hint="eastAsia" w:ascii="宋体" w:hAnsi="宋体"/>
          <w:bCs/>
          <w:sz w:val="24"/>
        </w:rPr>
        <w:sym w:font="Wingdings 2" w:char="00A3"/>
      </w:r>
    </w:p>
    <w:p>
      <w:pPr>
        <w:numPr>
          <w:ilvl w:val="0"/>
          <w:numId w:val="2"/>
        </w:numPr>
        <w:adjustRightInd w:val="0"/>
        <w:snapToGrid w:val="0"/>
        <w:spacing w:line="360" w:lineRule="auto"/>
        <w:rPr>
          <w:rFonts w:ascii="宋体" w:hAnsi="宋体"/>
          <w:bCs/>
          <w:sz w:val="24"/>
        </w:rPr>
      </w:pPr>
      <w:r>
        <w:rPr>
          <w:rFonts w:hint="eastAsia" w:ascii="宋体" w:hAnsi="宋体"/>
          <w:bCs/>
          <w:sz w:val="24"/>
        </w:rPr>
        <w:t>您的年龄：20-30岁</w:t>
      </w:r>
      <w:r>
        <w:rPr>
          <w:rFonts w:hint="eastAsia" w:ascii="宋体" w:hAnsi="宋体"/>
          <w:bCs/>
          <w:sz w:val="24"/>
        </w:rPr>
        <w:sym w:font="Wingdings 2" w:char="00A3"/>
      </w:r>
      <w:r>
        <w:rPr>
          <w:rFonts w:hint="eastAsia" w:ascii="宋体" w:hAnsi="宋体"/>
          <w:bCs/>
          <w:sz w:val="24"/>
        </w:rPr>
        <w:t xml:space="preserve">    30-40岁</w:t>
      </w:r>
      <w:r>
        <w:rPr>
          <w:rFonts w:hint="eastAsia" w:ascii="宋体" w:hAnsi="宋体"/>
          <w:bCs/>
          <w:sz w:val="24"/>
        </w:rPr>
        <w:sym w:font="Wingdings 2" w:char="00A3"/>
      </w:r>
      <w:r>
        <w:rPr>
          <w:rFonts w:hint="eastAsia" w:ascii="宋体" w:hAnsi="宋体"/>
          <w:bCs/>
          <w:sz w:val="24"/>
        </w:rPr>
        <w:t xml:space="preserve">     40-50岁</w:t>
      </w:r>
      <w:r>
        <w:rPr>
          <w:rFonts w:hint="eastAsia" w:ascii="宋体" w:hAnsi="宋体"/>
          <w:bCs/>
          <w:sz w:val="24"/>
        </w:rPr>
        <w:sym w:font="Wingdings 2" w:char="00A3"/>
      </w:r>
      <w:r>
        <w:rPr>
          <w:rFonts w:hint="eastAsia" w:ascii="宋体" w:hAnsi="宋体"/>
          <w:bCs/>
          <w:sz w:val="24"/>
        </w:rPr>
        <w:t xml:space="preserve">    50岁以上</w:t>
      </w:r>
      <w:r>
        <w:rPr>
          <w:rFonts w:hint="eastAsia" w:ascii="宋体" w:hAnsi="宋体"/>
          <w:bCs/>
          <w:sz w:val="24"/>
        </w:rPr>
        <w:sym w:font="Wingdings 2" w:char="00A3"/>
      </w:r>
    </w:p>
    <w:p>
      <w:pPr>
        <w:numPr>
          <w:ilvl w:val="0"/>
          <w:numId w:val="2"/>
        </w:numPr>
        <w:adjustRightInd w:val="0"/>
        <w:snapToGrid w:val="0"/>
        <w:spacing w:line="360" w:lineRule="auto"/>
        <w:rPr>
          <w:rFonts w:ascii="宋体" w:hAnsi="宋体"/>
          <w:bCs/>
          <w:sz w:val="24"/>
        </w:rPr>
      </w:pPr>
      <w:r>
        <w:rPr>
          <w:rFonts w:hint="eastAsia" w:ascii="宋体" w:hAnsi="宋体"/>
          <w:bCs/>
          <w:sz w:val="24"/>
        </w:rPr>
        <w:t>你的工龄：5年以下</w:t>
      </w:r>
      <w:r>
        <w:rPr>
          <w:rFonts w:hint="eastAsia" w:ascii="宋体" w:hAnsi="宋体"/>
          <w:bCs/>
          <w:sz w:val="24"/>
        </w:rPr>
        <w:sym w:font="Wingdings 2" w:char="00A3"/>
      </w:r>
      <w:r>
        <w:rPr>
          <w:rFonts w:hint="eastAsia" w:ascii="宋体" w:hAnsi="宋体"/>
          <w:bCs/>
          <w:sz w:val="24"/>
        </w:rPr>
        <w:t xml:space="preserve">    5-10年</w:t>
      </w:r>
      <w:r>
        <w:rPr>
          <w:rFonts w:hint="eastAsia" w:ascii="宋体" w:hAnsi="宋体"/>
          <w:bCs/>
          <w:sz w:val="24"/>
        </w:rPr>
        <w:sym w:font="Wingdings 2" w:char="00A3"/>
      </w:r>
      <w:r>
        <w:rPr>
          <w:rFonts w:hint="eastAsia" w:ascii="宋体" w:hAnsi="宋体"/>
          <w:bCs/>
          <w:sz w:val="24"/>
        </w:rPr>
        <w:t xml:space="preserve">      10-15年</w:t>
      </w:r>
      <w:r>
        <w:rPr>
          <w:rFonts w:hint="eastAsia" w:ascii="宋体" w:hAnsi="宋体"/>
          <w:bCs/>
          <w:sz w:val="24"/>
        </w:rPr>
        <w:sym w:font="Wingdings 2" w:char="00A3"/>
      </w:r>
      <w:r>
        <w:rPr>
          <w:rFonts w:hint="eastAsia" w:ascii="宋体" w:hAnsi="宋体"/>
          <w:bCs/>
          <w:sz w:val="24"/>
        </w:rPr>
        <w:t xml:space="preserve">    15年以上</w:t>
      </w:r>
      <w:r>
        <w:rPr>
          <w:rFonts w:hint="eastAsia" w:ascii="宋体" w:hAnsi="宋体"/>
          <w:bCs/>
          <w:sz w:val="24"/>
        </w:rPr>
        <w:sym w:font="Wingdings 2" w:char="00A3"/>
      </w:r>
    </w:p>
    <w:p>
      <w:pPr>
        <w:numPr>
          <w:ilvl w:val="0"/>
          <w:numId w:val="2"/>
        </w:numPr>
        <w:adjustRightInd w:val="0"/>
        <w:snapToGrid w:val="0"/>
        <w:spacing w:line="360" w:lineRule="auto"/>
        <w:rPr>
          <w:rFonts w:ascii="宋体" w:hAnsi="宋体"/>
          <w:bCs/>
          <w:sz w:val="24"/>
        </w:rPr>
      </w:pPr>
      <w:r>
        <w:rPr>
          <w:rFonts w:hint="eastAsia" w:ascii="宋体" w:hAnsi="宋体"/>
          <w:bCs/>
          <w:sz w:val="24"/>
        </w:rPr>
        <w:t>您的学历：高中</w:t>
      </w:r>
      <w:r>
        <w:rPr>
          <w:rFonts w:hint="eastAsia" w:ascii="宋体" w:hAnsi="宋体"/>
          <w:bCs/>
          <w:sz w:val="24"/>
        </w:rPr>
        <w:sym w:font="Wingdings 2" w:char="00A3"/>
      </w:r>
      <w:r>
        <w:rPr>
          <w:rFonts w:hint="eastAsia" w:ascii="宋体" w:hAnsi="宋体"/>
          <w:bCs/>
          <w:sz w:val="24"/>
        </w:rPr>
        <w:t xml:space="preserve">   大专</w:t>
      </w:r>
      <w:r>
        <w:rPr>
          <w:rFonts w:hint="eastAsia" w:ascii="宋体" w:hAnsi="宋体"/>
          <w:bCs/>
          <w:sz w:val="24"/>
        </w:rPr>
        <w:sym w:font="Wingdings 2" w:char="00A3"/>
      </w:r>
      <w:r>
        <w:rPr>
          <w:rFonts w:hint="eastAsia" w:ascii="宋体" w:hAnsi="宋体"/>
          <w:bCs/>
          <w:sz w:val="24"/>
        </w:rPr>
        <w:t xml:space="preserve">    本科</w:t>
      </w:r>
      <w:r>
        <w:rPr>
          <w:rFonts w:hint="eastAsia" w:ascii="宋体" w:hAnsi="宋体"/>
          <w:bCs/>
          <w:sz w:val="24"/>
        </w:rPr>
        <w:sym w:font="Wingdings 2" w:char="00A3"/>
      </w:r>
      <w:r>
        <w:rPr>
          <w:rFonts w:hint="eastAsia" w:ascii="宋体" w:hAnsi="宋体"/>
          <w:bCs/>
          <w:sz w:val="24"/>
        </w:rPr>
        <w:t xml:space="preserve">     硕士</w:t>
      </w:r>
      <w:r>
        <w:rPr>
          <w:rFonts w:hint="eastAsia" w:ascii="宋体" w:hAnsi="宋体"/>
          <w:bCs/>
          <w:sz w:val="24"/>
        </w:rPr>
        <w:sym w:font="Wingdings 2" w:char="00A3"/>
      </w:r>
      <w:r>
        <w:rPr>
          <w:rFonts w:hint="eastAsia" w:ascii="宋体" w:hAnsi="宋体"/>
          <w:bCs/>
          <w:sz w:val="24"/>
        </w:rPr>
        <w:t xml:space="preserve">     博士</w:t>
      </w:r>
      <w:r>
        <w:rPr>
          <w:rFonts w:hint="eastAsia" w:ascii="宋体" w:hAnsi="宋体"/>
          <w:bCs/>
          <w:sz w:val="24"/>
        </w:rPr>
        <w:sym w:font="Wingdings 2" w:char="00A3"/>
      </w:r>
    </w:p>
    <w:p>
      <w:pPr>
        <w:numPr>
          <w:ilvl w:val="0"/>
          <w:numId w:val="2"/>
        </w:numPr>
        <w:adjustRightInd w:val="0"/>
        <w:snapToGrid w:val="0"/>
        <w:spacing w:line="360" w:lineRule="auto"/>
        <w:rPr>
          <w:rFonts w:ascii="宋体" w:hAnsi="宋体"/>
          <w:bCs/>
          <w:sz w:val="24"/>
        </w:rPr>
      </w:pPr>
      <w:r>
        <w:rPr>
          <w:rFonts w:hint="eastAsia" w:ascii="宋体" w:hAnsi="宋体"/>
          <w:bCs/>
          <w:sz w:val="24"/>
        </w:rPr>
        <w:t>您的职称：初级</w:t>
      </w:r>
      <w:r>
        <w:rPr>
          <w:rFonts w:hint="eastAsia" w:ascii="宋体" w:hAnsi="宋体"/>
          <w:bCs/>
          <w:sz w:val="24"/>
        </w:rPr>
        <w:sym w:font="Wingdings 2" w:char="00A3"/>
      </w:r>
      <w:r>
        <w:rPr>
          <w:rFonts w:hint="eastAsia" w:ascii="宋体" w:hAnsi="宋体"/>
          <w:bCs/>
          <w:sz w:val="24"/>
        </w:rPr>
        <w:t xml:space="preserve">             中级</w:t>
      </w:r>
      <w:r>
        <w:rPr>
          <w:rFonts w:hint="eastAsia" w:ascii="宋体" w:hAnsi="宋体"/>
          <w:bCs/>
          <w:sz w:val="24"/>
        </w:rPr>
        <w:sym w:font="Wingdings 2" w:char="00A3"/>
      </w:r>
      <w:r>
        <w:rPr>
          <w:rFonts w:hint="eastAsia" w:ascii="宋体" w:hAnsi="宋体"/>
          <w:bCs/>
          <w:sz w:val="24"/>
        </w:rPr>
        <w:t xml:space="preserve">                高级</w:t>
      </w:r>
      <w:r>
        <w:rPr>
          <w:rFonts w:hint="eastAsia" w:ascii="宋体" w:hAnsi="宋体"/>
          <w:bCs/>
          <w:sz w:val="24"/>
        </w:rPr>
        <w:sym w:font="Wingdings 2" w:char="00A3"/>
      </w:r>
    </w:p>
    <w:p>
      <w:pPr>
        <w:numPr>
          <w:ilvl w:val="0"/>
          <w:numId w:val="2"/>
        </w:numPr>
        <w:adjustRightInd w:val="0"/>
        <w:snapToGrid w:val="0"/>
        <w:spacing w:line="360" w:lineRule="auto"/>
        <w:rPr>
          <w:rFonts w:ascii="宋体" w:hAnsi="宋体"/>
          <w:bCs/>
          <w:sz w:val="24"/>
        </w:rPr>
      </w:pPr>
      <w:r>
        <w:rPr>
          <w:rFonts w:hint="eastAsia" w:ascii="宋体" w:hAnsi="宋体"/>
          <w:bCs/>
          <w:sz w:val="24"/>
        </w:rPr>
        <w:t>您近入企业的渠道是：招工</w:t>
      </w:r>
      <w:r>
        <w:rPr>
          <w:rFonts w:hint="eastAsia" w:ascii="宋体" w:hAnsi="宋体"/>
          <w:bCs/>
          <w:sz w:val="24"/>
        </w:rPr>
        <w:sym w:font="Wingdings 2" w:char="00A3"/>
      </w:r>
      <w:r>
        <w:rPr>
          <w:rFonts w:hint="eastAsia" w:ascii="宋体" w:hAnsi="宋体"/>
          <w:bCs/>
          <w:sz w:val="24"/>
        </w:rPr>
        <w:t xml:space="preserve">          招聘</w:t>
      </w:r>
      <w:r>
        <w:rPr>
          <w:rFonts w:hint="eastAsia" w:ascii="宋体" w:hAnsi="宋体"/>
          <w:bCs/>
          <w:sz w:val="24"/>
        </w:rPr>
        <w:sym w:font="Wingdings 2" w:char="00A3"/>
      </w:r>
      <w:r>
        <w:rPr>
          <w:rFonts w:hint="eastAsia" w:ascii="宋体" w:hAnsi="宋体"/>
          <w:bCs/>
          <w:sz w:val="24"/>
        </w:rPr>
        <w:t xml:space="preserve">         调职</w:t>
      </w:r>
      <w:r>
        <w:rPr>
          <w:rFonts w:hint="eastAsia" w:ascii="宋体" w:hAnsi="宋体"/>
          <w:bCs/>
          <w:sz w:val="24"/>
        </w:rPr>
        <w:sym w:font="Wingdings 2" w:char="00A3"/>
      </w:r>
    </w:p>
    <w:p>
      <w:pPr>
        <w:numPr>
          <w:ilvl w:val="0"/>
          <w:numId w:val="2"/>
        </w:numPr>
        <w:adjustRightInd w:val="0"/>
        <w:snapToGrid w:val="0"/>
        <w:spacing w:line="360" w:lineRule="auto"/>
        <w:rPr>
          <w:rFonts w:ascii="宋体" w:hAnsi="宋体"/>
          <w:bCs/>
          <w:sz w:val="24"/>
        </w:rPr>
      </w:pPr>
      <w:r>
        <w:rPr>
          <w:rFonts w:hint="eastAsia" w:ascii="宋体" w:hAnsi="宋体"/>
          <w:bCs/>
          <w:sz w:val="24"/>
        </w:rPr>
        <w:t>您的薪资待遇：2000元以下</w:t>
      </w:r>
      <w:r>
        <w:rPr>
          <w:rFonts w:hint="eastAsia" w:ascii="宋体" w:hAnsi="宋体"/>
          <w:bCs/>
          <w:sz w:val="24"/>
        </w:rPr>
        <w:sym w:font="Wingdings 2" w:char="00A3"/>
      </w:r>
      <w:r>
        <w:rPr>
          <w:rFonts w:hint="eastAsia" w:ascii="宋体" w:hAnsi="宋体"/>
          <w:bCs/>
          <w:sz w:val="24"/>
        </w:rPr>
        <w:t xml:space="preserve">        2000-3000元</w:t>
      </w:r>
      <w:r>
        <w:rPr>
          <w:rFonts w:hint="eastAsia" w:ascii="宋体" w:hAnsi="宋体"/>
          <w:bCs/>
          <w:sz w:val="24"/>
        </w:rPr>
        <w:sym w:font="Wingdings 2" w:char="00A3"/>
      </w:r>
    </w:p>
    <w:p>
      <w:pPr>
        <w:adjustRightInd w:val="0"/>
        <w:snapToGrid w:val="0"/>
        <w:spacing w:line="360" w:lineRule="auto"/>
        <w:rPr>
          <w:rFonts w:ascii="宋体" w:hAnsi="宋体"/>
          <w:bCs/>
          <w:sz w:val="24"/>
        </w:rPr>
      </w:pPr>
      <w:r>
        <w:rPr>
          <w:rFonts w:hint="eastAsia" w:ascii="宋体" w:hAnsi="宋体"/>
          <w:bCs/>
          <w:sz w:val="24"/>
        </w:rPr>
        <w:t xml:space="preserve">          3000-4000元</w:t>
      </w:r>
      <w:r>
        <w:rPr>
          <w:rFonts w:hint="eastAsia" w:ascii="宋体" w:hAnsi="宋体"/>
          <w:bCs/>
          <w:sz w:val="24"/>
        </w:rPr>
        <w:sym w:font="Wingdings 2" w:char="00A3"/>
      </w:r>
      <w:r>
        <w:rPr>
          <w:rFonts w:hint="eastAsia" w:ascii="宋体" w:hAnsi="宋体"/>
          <w:bCs/>
          <w:sz w:val="24"/>
        </w:rPr>
        <w:t xml:space="preserve">        4000-5000元</w:t>
      </w:r>
      <w:r>
        <w:rPr>
          <w:rFonts w:hint="eastAsia" w:ascii="宋体" w:hAnsi="宋体"/>
          <w:bCs/>
          <w:sz w:val="24"/>
        </w:rPr>
        <w:sym w:font="Wingdings 2" w:char="00A3"/>
      </w:r>
      <w:r>
        <w:rPr>
          <w:rFonts w:hint="eastAsia" w:ascii="宋体" w:hAnsi="宋体"/>
          <w:bCs/>
          <w:sz w:val="24"/>
        </w:rPr>
        <w:t xml:space="preserve">    5000元以上</w:t>
      </w:r>
      <w:r>
        <w:rPr>
          <w:rFonts w:hint="eastAsia" w:ascii="宋体" w:hAnsi="宋体"/>
          <w:bCs/>
          <w:sz w:val="24"/>
        </w:rPr>
        <w:sym w:font="Wingdings 2" w:char="00A3"/>
      </w:r>
    </w:p>
    <w:p>
      <w:pPr>
        <w:numPr>
          <w:ilvl w:val="0"/>
          <w:numId w:val="2"/>
        </w:numPr>
        <w:adjustRightInd w:val="0"/>
        <w:snapToGrid w:val="0"/>
        <w:spacing w:line="360" w:lineRule="auto"/>
        <w:rPr>
          <w:rFonts w:ascii="宋体" w:hAnsi="宋体"/>
          <w:bCs/>
          <w:sz w:val="24"/>
        </w:rPr>
      </w:pPr>
      <w:r>
        <w:rPr>
          <w:rFonts w:hint="eastAsia" w:ascii="宋体" w:hAnsi="宋体"/>
          <w:bCs/>
          <w:sz w:val="24"/>
        </w:rPr>
        <w:t>您对您的薪资待遇是否满意？     是</w:t>
      </w:r>
      <w:r>
        <w:rPr>
          <w:rFonts w:hint="eastAsia" w:ascii="宋体" w:hAnsi="宋体"/>
          <w:bCs/>
          <w:sz w:val="24"/>
        </w:rPr>
        <w:sym w:font="Wingdings 2" w:char="00A3"/>
      </w:r>
      <w:r>
        <w:rPr>
          <w:rFonts w:hint="eastAsia" w:ascii="宋体" w:hAnsi="宋体"/>
          <w:bCs/>
          <w:sz w:val="24"/>
        </w:rPr>
        <w:t xml:space="preserve">          否</w:t>
      </w:r>
      <w:r>
        <w:rPr>
          <w:rFonts w:hint="eastAsia" w:ascii="宋体" w:hAnsi="宋体"/>
          <w:bCs/>
          <w:sz w:val="24"/>
        </w:rPr>
        <w:sym w:font="Wingdings 2" w:char="00A3"/>
      </w:r>
    </w:p>
    <w:p>
      <w:pPr>
        <w:numPr>
          <w:ilvl w:val="0"/>
          <w:numId w:val="2"/>
        </w:numPr>
        <w:adjustRightInd w:val="0"/>
        <w:snapToGrid w:val="0"/>
        <w:spacing w:line="360" w:lineRule="auto"/>
        <w:rPr>
          <w:rFonts w:ascii="宋体" w:hAnsi="宋体"/>
          <w:bCs/>
          <w:sz w:val="24"/>
        </w:rPr>
      </w:pPr>
      <w:r>
        <w:rPr>
          <w:rFonts w:hint="eastAsia" w:ascii="宋体" w:hAnsi="宋体"/>
          <w:bCs/>
          <w:sz w:val="24"/>
        </w:rPr>
        <w:t>您所在车间：</w:t>
      </w:r>
    </w:p>
    <w:p>
      <w:pPr>
        <w:numPr>
          <w:ilvl w:val="0"/>
          <w:numId w:val="2"/>
        </w:numPr>
        <w:adjustRightInd w:val="0"/>
        <w:snapToGrid w:val="0"/>
        <w:spacing w:line="360" w:lineRule="auto"/>
        <w:rPr>
          <w:rFonts w:ascii="宋体" w:hAnsi="宋体"/>
          <w:bCs/>
          <w:sz w:val="24"/>
        </w:rPr>
      </w:pPr>
      <w:r>
        <w:rPr>
          <w:rFonts w:hint="eastAsia" w:ascii="宋体" w:hAnsi="宋体"/>
          <w:bCs/>
          <w:sz w:val="24"/>
        </w:rPr>
        <w:t>您所在岗位：</w:t>
      </w:r>
    </w:p>
    <w:p>
      <w:pPr>
        <w:numPr>
          <w:ilvl w:val="0"/>
          <w:numId w:val="2"/>
        </w:numPr>
        <w:adjustRightInd w:val="0"/>
        <w:snapToGrid w:val="0"/>
        <w:spacing w:line="360" w:lineRule="auto"/>
        <w:rPr>
          <w:rFonts w:ascii="宋体" w:hAnsi="宋体"/>
          <w:bCs/>
          <w:sz w:val="24"/>
        </w:rPr>
      </w:pPr>
      <w:r>
        <w:rPr>
          <w:rFonts w:hint="eastAsia" w:ascii="宋体" w:hAnsi="宋体"/>
          <w:bCs/>
          <w:sz w:val="24"/>
        </w:rPr>
        <w:t>您的工作时间：八小时以下</w:t>
      </w:r>
      <w:r>
        <w:rPr>
          <w:rFonts w:hint="eastAsia" w:ascii="宋体" w:hAnsi="宋体"/>
          <w:bCs/>
          <w:sz w:val="24"/>
        </w:rPr>
        <w:sym w:font="Wingdings 2" w:char="00A3"/>
      </w:r>
      <w:r>
        <w:rPr>
          <w:rFonts w:hint="eastAsia" w:ascii="宋体" w:hAnsi="宋体"/>
          <w:bCs/>
          <w:sz w:val="24"/>
        </w:rPr>
        <w:t xml:space="preserve">      八小时</w:t>
      </w:r>
      <w:r>
        <w:rPr>
          <w:rFonts w:hint="eastAsia" w:ascii="宋体" w:hAnsi="宋体"/>
          <w:bCs/>
          <w:sz w:val="24"/>
        </w:rPr>
        <w:sym w:font="Wingdings 2" w:char="00A3"/>
      </w:r>
      <w:r>
        <w:rPr>
          <w:rFonts w:hint="eastAsia" w:ascii="宋体" w:hAnsi="宋体"/>
          <w:bCs/>
          <w:sz w:val="24"/>
        </w:rPr>
        <w:t xml:space="preserve">    八小时以上</w:t>
      </w:r>
      <w:r>
        <w:rPr>
          <w:rFonts w:hint="eastAsia" w:ascii="宋体" w:hAnsi="宋体"/>
          <w:bCs/>
          <w:sz w:val="24"/>
        </w:rPr>
        <w:sym w:font="Wingdings 2" w:char="00A3"/>
      </w:r>
    </w:p>
    <w:p>
      <w:pPr>
        <w:numPr>
          <w:ilvl w:val="0"/>
          <w:numId w:val="2"/>
        </w:numPr>
        <w:adjustRightInd w:val="0"/>
        <w:snapToGrid w:val="0"/>
        <w:spacing w:line="360" w:lineRule="auto"/>
        <w:rPr>
          <w:rFonts w:ascii="宋体" w:hAnsi="宋体"/>
          <w:bCs/>
          <w:sz w:val="24"/>
        </w:rPr>
      </w:pPr>
      <w:r>
        <w:rPr>
          <w:rFonts w:hint="eastAsia" w:ascii="宋体" w:hAnsi="宋体"/>
          <w:bCs/>
          <w:sz w:val="24"/>
        </w:rPr>
        <w:t>您是否经常加班：是</w:t>
      </w:r>
      <w:r>
        <w:rPr>
          <w:rFonts w:hint="eastAsia" w:ascii="宋体" w:hAnsi="宋体"/>
          <w:bCs/>
          <w:sz w:val="24"/>
        </w:rPr>
        <w:sym w:font="Wingdings 2" w:char="00A3"/>
      </w:r>
      <w:r>
        <w:rPr>
          <w:rFonts w:hint="eastAsia" w:ascii="宋体" w:hAnsi="宋体"/>
          <w:bCs/>
          <w:sz w:val="24"/>
        </w:rPr>
        <w:t xml:space="preserve">            否</w:t>
      </w:r>
      <w:r>
        <w:rPr>
          <w:rFonts w:hint="eastAsia" w:ascii="宋体" w:hAnsi="宋体"/>
          <w:bCs/>
          <w:sz w:val="24"/>
        </w:rPr>
        <w:sym w:font="Wingdings 2" w:char="00A3"/>
      </w:r>
    </w:p>
    <w:p>
      <w:pPr>
        <w:numPr>
          <w:ilvl w:val="0"/>
          <w:numId w:val="2"/>
        </w:numPr>
        <w:adjustRightInd w:val="0"/>
        <w:snapToGrid w:val="0"/>
        <w:spacing w:line="360" w:lineRule="auto"/>
        <w:rPr>
          <w:rFonts w:ascii="宋体" w:hAnsi="宋体"/>
          <w:bCs/>
          <w:sz w:val="24"/>
        </w:rPr>
      </w:pPr>
      <w:r>
        <w:rPr>
          <w:rFonts w:hint="eastAsia" w:ascii="宋体" w:hAnsi="宋体"/>
          <w:bCs/>
          <w:sz w:val="24"/>
        </w:rPr>
        <w:t>您是否参加过岗前培训：    是</w:t>
      </w:r>
      <w:r>
        <w:rPr>
          <w:rFonts w:hint="eastAsia" w:ascii="宋体" w:hAnsi="宋体"/>
          <w:bCs/>
          <w:sz w:val="24"/>
        </w:rPr>
        <w:sym w:font="Wingdings 2" w:char="00A3"/>
      </w:r>
      <w:r>
        <w:rPr>
          <w:rFonts w:hint="eastAsia" w:ascii="宋体" w:hAnsi="宋体"/>
          <w:bCs/>
          <w:sz w:val="24"/>
        </w:rPr>
        <w:t xml:space="preserve">            否</w:t>
      </w:r>
      <w:r>
        <w:rPr>
          <w:rFonts w:hint="eastAsia" w:ascii="宋体" w:hAnsi="宋体"/>
          <w:bCs/>
          <w:sz w:val="24"/>
        </w:rPr>
        <w:sym w:font="Wingdings 2" w:char="00A3"/>
      </w:r>
    </w:p>
    <w:p>
      <w:pPr>
        <w:numPr>
          <w:ilvl w:val="0"/>
          <w:numId w:val="2"/>
        </w:numPr>
        <w:adjustRightInd w:val="0"/>
        <w:snapToGrid w:val="0"/>
        <w:spacing w:line="360" w:lineRule="auto"/>
        <w:rPr>
          <w:rFonts w:ascii="宋体" w:hAnsi="宋体"/>
          <w:bCs/>
          <w:sz w:val="24"/>
        </w:rPr>
      </w:pPr>
      <w:r>
        <w:rPr>
          <w:rFonts w:hint="eastAsia" w:ascii="宋体" w:hAnsi="宋体"/>
          <w:bCs/>
          <w:sz w:val="24"/>
        </w:rPr>
        <w:t>您是否参加过在岗培训：    是</w:t>
      </w:r>
      <w:r>
        <w:rPr>
          <w:rFonts w:hint="eastAsia" w:ascii="宋体" w:hAnsi="宋体"/>
          <w:bCs/>
          <w:sz w:val="24"/>
        </w:rPr>
        <w:sym w:font="Wingdings 2" w:char="00A3"/>
      </w:r>
      <w:r>
        <w:rPr>
          <w:rFonts w:hint="eastAsia" w:ascii="宋体" w:hAnsi="宋体"/>
          <w:bCs/>
          <w:sz w:val="24"/>
        </w:rPr>
        <w:t xml:space="preserve">            否</w:t>
      </w:r>
      <w:r>
        <w:rPr>
          <w:rFonts w:hint="eastAsia" w:ascii="宋体" w:hAnsi="宋体"/>
          <w:bCs/>
          <w:sz w:val="24"/>
        </w:rPr>
        <w:sym w:font="Wingdings 2" w:char="00A3"/>
      </w:r>
    </w:p>
    <w:p>
      <w:pPr>
        <w:numPr>
          <w:ilvl w:val="0"/>
          <w:numId w:val="2"/>
        </w:numPr>
        <w:adjustRightInd w:val="0"/>
        <w:snapToGrid w:val="0"/>
        <w:spacing w:line="360" w:lineRule="auto"/>
        <w:rPr>
          <w:rFonts w:ascii="宋体" w:hAnsi="宋体"/>
          <w:bCs/>
          <w:sz w:val="24"/>
        </w:rPr>
      </w:pPr>
      <w:r>
        <w:rPr>
          <w:rFonts w:hint="eastAsia" w:ascii="宋体" w:hAnsi="宋体"/>
          <w:bCs/>
          <w:sz w:val="24"/>
        </w:rPr>
        <w:t>您参加过在岗培训的频率为：   一年一次</w:t>
      </w:r>
      <w:r>
        <w:rPr>
          <w:rFonts w:hint="eastAsia" w:ascii="宋体" w:hAnsi="宋体"/>
          <w:bCs/>
          <w:sz w:val="24"/>
        </w:rPr>
        <w:sym w:font="Wingdings 2" w:char="00A3"/>
      </w:r>
      <w:r>
        <w:rPr>
          <w:rFonts w:hint="eastAsia" w:ascii="宋体" w:hAnsi="宋体"/>
          <w:bCs/>
          <w:sz w:val="24"/>
        </w:rPr>
        <w:t xml:space="preserve">        两年一次</w:t>
      </w:r>
      <w:r>
        <w:rPr>
          <w:rFonts w:hint="eastAsia" w:ascii="宋体" w:hAnsi="宋体"/>
          <w:bCs/>
          <w:sz w:val="24"/>
        </w:rPr>
        <w:sym w:font="Wingdings 2" w:char="00A3"/>
      </w:r>
    </w:p>
    <w:p>
      <w:pPr>
        <w:adjustRightInd w:val="0"/>
        <w:snapToGrid w:val="0"/>
        <w:spacing w:line="360" w:lineRule="auto"/>
        <w:rPr>
          <w:rFonts w:ascii="宋体" w:hAnsi="宋体"/>
          <w:bCs/>
          <w:sz w:val="24"/>
        </w:rPr>
      </w:pPr>
      <w:r>
        <w:rPr>
          <w:rFonts w:hint="eastAsia" w:ascii="宋体" w:hAnsi="宋体"/>
          <w:bCs/>
          <w:sz w:val="24"/>
        </w:rPr>
        <w:t xml:space="preserve">                                三年一次</w:t>
      </w:r>
      <w:r>
        <w:rPr>
          <w:rFonts w:hint="eastAsia" w:ascii="宋体" w:hAnsi="宋体"/>
          <w:bCs/>
          <w:sz w:val="24"/>
        </w:rPr>
        <w:sym w:font="Wingdings 2" w:char="00A3"/>
      </w:r>
      <w:r>
        <w:rPr>
          <w:rFonts w:hint="eastAsia" w:ascii="宋体" w:hAnsi="宋体"/>
          <w:bCs/>
          <w:sz w:val="24"/>
        </w:rPr>
        <w:t xml:space="preserve">        五年一次</w:t>
      </w:r>
      <w:r>
        <w:rPr>
          <w:rFonts w:hint="eastAsia" w:ascii="宋体" w:hAnsi="宋体"/>
          <w:bCs/>
          <w:sz w:val="24"/>
        </w:rPr>
        <w:sym w:font="Wingdings 2" w:char="00A3"/>
      </w:r>
    </w:p>
    <w:p>
      <w:pPr>
        <w:adjustRightInd w:val="0"/>
        <w:snapToGrid w:val="0"/>
        <w:spacing w:line="360" w:lineRule="auto"/>
        <w:rPr>
          <w:rFonts w:ascii="宋体" w:hAnsi="宋体"/>
          <w:bCs/>
          <w:sz w:val="24"/>
        </w:rPr>
      </w:pPr>
      <w:r>
        <w:rPr>
          <w:rFonts w:hint="eastAsia" w:ascii="宋体" w:hAnsi="宋体"/>
          <w:bCs/>
          <w:sz w:val="24"/>
        </w:rPr>
        <w:t>13.您参加的岗前培训主要内容（可多选）：化工理论</w:t>
      </w:r>
      <w:r>
        <w:rPr>
          <w:rFonts w:hint="eastAsia" w:ascii="宋体" w:hAnsi="宋体"/>
          <w:bCs/>
          <w:sz w:val="24"/>
        </w:rPr>
        <w:sym w:font="Wingdings 2" w:char="00A3"/>
      </w:r>
      <w:r>
        <w:rPr>
          <w:rFonts w:hint="eastAsia" w:ascii="宋体" w:hAnsi="宋体"/>
          <w:bCs/>
          <w:sz w:val="24"/>
        </w:rPr>
        <w:t xml:space="preserve">    实践技能</w:t>
      </w:r>
      <w:r>
        <w:rPr>
          <w:rFonts w:hint="eastAsia" w:ascii="宋体" w:hAnsi="宋体"/>
          <w:bCs/>
          <w:sz w:val="24"/>
        </w:rPr>
        <w:sym w:font="Wingdings 2" w:char="00A3"/>
      </w:r>
    </w:p>
    <w:p>
      <w:pPr>
        <w:adjustRightInd w:val="0"/>
        <w:snapToGrid w:val="0"/>
        <w:spacing w:line="360" w:lineRule="auto"/>
        <w:rPr>
          <w:rFonts w:ascii="宋体" w:hAnsi="宋体"/>
          <w:bCs/>
          <w:sz w:val="24"/>
        </w:rPr>
      </w:pPr>
      <w:r>
        <w:rPr>
          <w:rFonts w:hint="eastAsia" w:ascii="宋体" w:hAnsi="宋体"/>
          <w:bCs/>
          <w:sz w:val="24"/>
        </w:rPr>
        <w:t xml:space="preserve">                           安全生产</w:t>
      </w:r>
      <w:r>
        <w:rPr>
          <w:rFonts w:hint="eastAsia" w:ascii="宋体" w:hAnsi="宋体"/>
          <w:bCs/>
          <w:sz w:val="24"/>
        </w:rPr>
        <w:sym w:font="Wingdings 2" w:char="00A3"/>
      </w:r>
      <w:r>
        <w:rPr>
          <w:rFonts w:hint="eastAsia" w:ascii="宋体" w:hAnsi="宋体"/>
          <w:bCs/>
          <w:sz w:val="24"/>
        </w:rPr>
        <w:t xml:space="preserve">    职业道德</w:t>
      </w:r>
      <w:r>
        <w:rPr>
          <w:rFonts w:hint="eastAsia" w:ascii="宋体" w:hAnsi="宋体"/>
          <w:bCs/>
          <w:sz w:val="24"/>
        </w:rPr>
        <w:sym w:font="Wingdings 2" w:char="00A3"/>
      </w:r>
      <w:r>
        <w:rPr>
          <w:rFonts w:hint="eastAsia" w:ascii="宋体" w:hAnsi="宋体"/>
          <w:bCs/>
          <w:sz w:val="24"/>
        </w:rPr>
        <w:t xml:space="preserve">   其他</w:t>
      </w:r>
      <w:r>
        <w:rPr>
          <w:rFonts w:hint="eastAsia" w:ascii="宋体" w:hAnsi="宋体"/>
          <w:bCs/>
          <w:sz w:val="24"/>
        </w:rPr>
        <w:sym w:font="Wingdings 2" w:char="00A3"/>
      </w:r>
    </w:p>
    <w:p>
      <w:pPr>
        <w:adjustRightInd w:val="0"/>
        <w:snapToGrid w:val="0"/>
        <w:spacing w:line="360" w:lineRule="auto"/>
        <w:rPr>
          <w:rFonts w:ascii="宋体" w:hAnsi="宋体"/>
          <w:bCs/>
          <w:sz w:val="24"/>
        </w:rPr>
      </w:pPr>
      <w:r>
        <w:rPr>
          <w:rFonts w:hint="eastAsia" w:ascii="宋体" w:hAnsi="宋体"/>
          <w:bCs/>
          <w:sz w:val="24"/>
        </w:rPr>
        <w:t>14.您觉得学校所学知识、技能和工作有关系么？有</w:t>
      </w:r>
      <w:r>
        <w:rPr>
          <w:rFonts w:hint="eastAsia" w:ascii="宋体" w:hAnsi="宋体"/>
          <w:bCs/>
          <w:sz w:val="24"/>
        </w:rPr>
        <w:sym w:font="Wingdings 2" w:char="00A3"/>
      </w:r>
      <w:r>
        <w:rPr>
          <w:rFonts w:hint="eastAsia" w:ascii="宋体" w:hAnsi="宋体"/>
          <w:bCs/>
          <w:sz w:val="24"/>
        </w:rPr>
        <w:t xml:space="preserve">   一般</w:t>
      </w:r>
      <w:r>
        <w:rPr>
          <w:rFonts w:hint="eastAsia" w:ascii="宋体" w:hAnsi="宋体"/>
          <w:bCs/>
          <w:sz w:val="24"/>
        </w:rPr>
        <w:sym w:font="Wingdings 2" w:char="00A3"/>
      </w:r>
      <w:r>
        <w:rPr>
          <w:rFonts w:hint="eastAsia" w:ascii="宋体" w:hAnsi="宋体"/>
          <w:bCs/>
          <w:sz w:val="24"/>
        </w:rPr>
        <w:t xml:space="preserve">   基本没有</w:t>
      </w:r>
      <w:r>
        <w:rPr>
          <w:rFonts w:hint="eastAsia" w:ascii="宋体" w:hAnsi="宋体"/>
          <w:bCs/>
          <w:sz w:val="24"/>
        </w:rPr>
        <w:sym w:font="Wingdings 2" w:char="00A3"/>
      </w:r>
    </w:p>
    <w:p>
      <w:pPr>
        <w:numPr>
          <w:ilvl w:val="0"/>
          <w:numId w:val="3"/>
        </w:numPr>
        <w:adjustRightInd w:val="0"/>
        <w:snapToGrid w:val="0"/>
        <w:spacing w:line="360" w:lineRule="auto"/>
        <w:rPr>
          <w:rFonts w:ascii="宋体" w:hAnsi="宋体"/>
          <w:bCs/>
          <w:sz w:val="24"/>
        </w:rPr>
      </w:pPr>
      <w:r>
        <w:rPr>
          <w:rFonts w:hint="eastAsia" w:ascii="宋体" w:hAnsi="宋体"/>
          <w:bCs/>
          <w:sz w:val="24"/>
        </w:rPr>
        <w:t>您觉得岗前培训有意义么？    有</w:t>
      </w:r>
      <w:r>
        <w:rPr>
          <w:rFonts w:hint="eastAsia" w:ascii="宋体" w:hAnsi="宋体"/>
          <w:bCs/>
          <w:sz w:val="24"/>
        </w:rPr>
        <w:sym w:font="Wingdings 2" w:char="00A3"/>
      </w:r>
      <w:r>
        <w:rPr>
          <w:rFonts w:hint="eastAsia" w:ascii="宋体" w:hAnsi="宋体"/>
          <w:bCs/>
          <w:sz w:val="24"/>
        </w:rPr>
        <w:t xml:space="preserve">          没有</w:t>
      </w:r>
      <w:r>
        <w:rPr>
          <w:rFonts w:hint="eastAsia" w:ascii="宋体" w:hAnsi="宋体"/>
          <w:bCs/>
          <w:sz w:val="24"/>
        </w:rPr>
        <w:sym w:font="Wingdings 2" w:char="00A3"/>
      </w:r>
    </w:p>
    <w:p>
      <w:pPr>
        <w:numPr>
          <w:ilvl w:val="0"/>
          <w:numId w:val="3"/>
        </w:numPr>
        <w:adjustRightInd w:val="0"/>
        <w:snapToGrid w:val="0"/>
        <w:spacing w:line="360" w:lineRule="auto"/>
        <w:rPr>
          <w:rFonts w:ascii="宋体" w:hAnsi="宋体"/>
          <w:bCs/>
          <w:sz w:val="24"/>
        </w:rPr>
      </w:pPr>
      <w:r>
        <w:rPr>
          <w:rFonts w:hint="eastAsia" w:ascii="宋体" w:hAnsi="宋体"/>
          <w:bCs/>
          <w:sz w:val="24"/>
        </w:rPr>
        <w:t>您觉得在岗培训有意义么？    有</w:t>
      </w:r>
      <w:r>
        <w:rPr>
          <w:rFonts w:hint="eastAsia" w:ascii="宋体" w:hAnsi="宋体"/>
          <w:bCs/>
          <w:sz w:val="24"/>
        </w:rPr>
        <w:sym w:font="Wingdings 2" w:char="00A3"/>
      </w:r>
      <w:r>
        <w:rPr>
          <w:rFonts w:hint="eastAsia" w:ascii="宋体" w:hAnsi="宋体"/>
          <w:bCs/>
          <w:sz w:val="24"/>
        </w:rPr>
        <w:t xml:space="preserve">          没有</w:t>
      </w:r>
      <w:r>
        <w:rPr>
          <w:rFonts w:hint="eastAsia" w:ascii="宋体" w:hAnsi="宋体"/>
          <w:bCs/>
          <w:sz w:val="24"/>
        </w:rPr>
        <w:sym w:font="Wingdings 2" w:char="00A3"/>
      </w:r>
    </w:p>
    <w:p>
      <w:pPr>
        <w:adjustRightInd w:val="0"/>
        <w:snapToGrid w:val="0"/>
        <w:spacing w:line="360" w:lineRule="auto"/>
        <w:rPr>
          <w:rFonts w:ascii="宋体" w:hAnsi="宋体"/>
          <w:bCs/>
          <w:sz w:val="24"/>
        </w:rPr>
      </w:pPr>
    </w:p>
    <w:p>
      <w:pPr>
        <w:adjustRightInd w:val="0"/>
        <w:snapToGrid w:val="0"/>
        <w:spacing w:line="360" w:lineRule="auto"/>
        <w:rPr>
          <w:rFonts w:ascii="宋体" w:hAnsi="宋体"/>
          <w:bCs/>
          <w:sz w:val="24"/>
        </w:rPr>
      </w:pPr>
    </w:p>
    <w:p>
      <w:pPr>
        <w:adjustRightInd w:val="0"/>
        <w:snapToGrid w:val="0"/>
        <w:spacing w:line="360" w:lineRule="auto"/>
        <w:rPr>
          <w:rFonts w:ascii="宋体" w:hAnsi="宋体"/>
          <w:bCs/>
          <w:sz w:val="24"/>
        </w:rPr>
      </w:pPr>
    </w:p>
    <w:p>
      <w:pPr>
        <w:adjustRightInd w:val="0"/>
        <w:snapToGrid w:val="0"/>
        <w:spacing w:line="360" w:lineRule="auto"/>
        <w:rPr>
          <w:rFonts w:ascii="宋体" w:hAnsi="宋体"/>
          <w:bCs/>
          <w:sz w:val="24"/>
        </w:rPr>
      </w:pPr>
      <w:r>
        <w:rPr>
          <w:rFonts w:hint="eastAsia" w:ascii="宋体" w:hAnsi="宋体"/>
          <w:bCs/>
          <w:sz w:val="24"/>
        </w:rPr>
        <w:t>附件二：                  与毕业生座谈内容</w:t>
      </w:r>
    </w:p>
    <w:p>
      <w:pPr>
        <w:numPr>
          <w:ilvl w:val="0"/>
          <w:numId w:val="4"/>
        </w:numPr>
        <w:adjustRightInd w:val="0"/>
        <w:snapToGrid w:val="0"/>
        <w:spacing w:line="360" w:lineRule="auto"/>
        <w:rPr>
          <w:rFonts w:ascii="宋体" w:hAnsi="宋体"/>
          <w:bCs/>
          <w:sz w:val="24"/>
        </w:rPr>
      </w:pPr>
      <w:r>
        <w:rPr>
          <w:rFonts w:hint="eastAsia" w:ascii="宋体" w:hAnsi="宋体"/>
          <w:bCs/>
          <w:sz w:val="24"/>
        </w:rPr>
        <w:t>所在企业名称、岗位名称；</w:t>
      </w:r>
    </w:p>
    <w:p>
      <w:pPr>
        <w:numPr>
          <w:ilvl w:val="0"/>
          <w:numId w:val="4"/>
        </w:numPr>
        <w:adjustRightInd w:val="0"/>
        <w:snapToGrid w:val="0"/>
        <w:spacing w:line="360" w:lineRule="auto"/>
        <w:rPr>
          <w:rFonts w:ascii="宋体" w:hAnsi="宋体"/>
          <w:bCs/>
          <w:sz w:val="24"/>
        </w:rPr>
      </w:pPr>
      <w:r>
        <w:rPr>
          <w:rFonts w:hint="eastAsia" w:ascii="宋体" w:hAnsi="宋体"/>
          <w:bCs/>
          <w:sz w:val="24"/>
        </w:rPr>
        <w:t>所在岗位需要的技能要求有哪些？</w:t>
      </w:r>
    </w:p>
    <w:p>
      <w:pPr>
        <w:numPr>
          <w:ilvl w:val="0"/>
          <w:numId w:val="4"/>
        </w:numPr>
        <w:adjustRightInd w:val="0"/>
        <w:snapToGrid w:val="0"/>
        <w:spacing w:line="360" w:lineRule="auto"/>
        <w:rPr>
          <w:rFonts w:ascii="宋体" w:hAnsi="宋体"/>
          <w:bCs/>
          <w:sz w:val="24"/>
        </w:rPr>
      </w:pPr>
      <w:r>
        <w:rPr>
          <w:rFonts w:hint="eastAsia" w:ascii="宋体" w:hAnsi="宋体"/>
          <w:bCs/>
          <w:sz w:val="24"/>
        </w:rPr>
        <w:t>技能要求和所学那些课程有关系？关系大不大？</w:t>
      </w:r>
    </w:p>
    <w:p>
      <w:pPr>
        <w:numPr>
          <w:ilvl w:val="0"/>
          <w:numId w:val="4"/>
        </w:numPr>
        <w:adjustRightInd w:val="0"/>
        <w:snapToGrid w:val="0"/>
        <w:spacing w:line="360" w:lineRule="auto"/>
        <w:rPr>
          <w:rFonts w:ascii="宋体" w:hAnsi="宋体"/>
          <w:bCs/>
          <w:sz w:val="24"/>
        </w:rPr>
      </w:pPr>
      <w:r>
        <w:rPr>
          <w:rFonts w:hint="eastAsia" w:ascii="宋体" w:hAnsi="宋体"/>
          <w:bCs/>
          <w:sz w:val="24"/>
        </w:rPr>
        <w:t>对于应用化工技术专业课程设置有哪些建议和意见？</w:t>
      </w:r>
    </w:p>
    <w:p>
      <w:pPr>
        <w:adjustRightInd w:val="0"/>
        <w:snapToGrid w:val="0"/>
        <w:spacing w:line="360" w:lineRule="auto"/>
        <w:rPr>
          <w:rFonts w:ascii="宋体" w:hAnsi="宋体"/>
          <w:bCs/>
          <w:sz w:val="24"/>
        </w:rPr>
      </w:pPr>
    </w:p>
    <w:p>
      <w:pPr>
        <w:adjustRightInd w:val="0"/>
        <w:snapToGrid w:val="0"/>
        <w:spacing w:line="360" w:lineRule="auto"/>
        <w:rPr>
          <w:rFonts w:ascii="宋体" w:hAnsi="宋体"/>
          <w:bCs/>
          <w:sz w:val="24"/>
        </w:rPr>
      </w:pPr>
    </w:p>
    <w:p>
      <w:pPr>
        <w:adjustRightInd w:val="0"/>
        <w:snapToGrid w:val="0"/>
        <w:spacing w:line="360" w:lineRule="auto"/>
        <w:rPr>
          <w:rFonts w:ascii="宋体" w:hAnsi="宋体"/>
          <w:bCs/>
          <w:sz w:val="24"/>
        </w:rPr>
      </w:pPr>
    </w:p>
    <w:p>
      <w:pPr>
        <w:adjustRightInd w:val="0"/>
        <w:snapToGrid w:val="0"/>
        <w:spacing w:line="360" w:lineRule="auto"/>
        <w:rPr>
          <w:rFonts w:ascii="宋体" w:hAnsi="宋体"/>
          <w:bCs/>
          <w:sz w:val="24"/>
        </w:rPr>
      </w:pPr>
      <w:r>
        <w:rPr>
          <w:rFonts w:hint="eastAsia" w:ascii="宋体" w:hAnsi="宋体"/>
          <w:bCs/>
          <w:sz w:val="24"/>
        </w:rPr>
        <w:t>附件三：             与企业负责人座谈内容</w:t>
      </w:r>
    </w:p>
    <w:p>
      <w:pPr>
        <w:numPr>
          <w:ilvl w:val="0"/>
          <w:numId w:val="5"/>
        </w:numPr>
        <w:adjustRightInd w:val="0"/>
        <w:snapToGrid w:val="0"/>
        <w:spacing w:line="360" w:lineRule="auto"/>
        <w:rPr>
          <w:rFonts w:ascii="宋体" w:hAnsi="宋体"/>
          <w:bCs/>
          <w:sz w:val="24"/>
        </w:rPr>
      </w:pPr>
      <w:r>
        <w:rPr>
          <w:rFonts w:hint="eastAsia" w:ascii="宋体" w:hAnsi="宋体"/>
          <w:bCs/>
          <w:sz w:val="24"/>
        </w:rPr>
        <w:t>企业对于当前化工行业发展有哪些看法？</w:t>
      </w:r>
    </w:p>
    <w:p>
      <w:pPr>
        <w:numPr>
          <w:ilvl w:val="0"/>
          <w:numId w:val="5"/>
        </w:numPr>
        <w:adjustRightInd w:val="0"/>
        <w:snapToGrid w:val="0"/>
        <w:spacing w:line="360" w:lineRule="auto"/>
        <w:rPr>
          <w:rFonts w:ascii="宋体" w:hAnsi="宋体"/>
          <w:bCs/>
          <w:sz w:val="24"/>
        </w:rPr>
      </w:pPr>
      <w:r>
        <w:rPr>
          <w:rFonts w:hint="eastAsia" w:ascii="宋体" w:hAnsi="宋体"/>
          <w:bCs/>
          <w:sz w:val="24"/>
        </w:rPr>
        <w:t>目前企业的现状怎样，将来的发展方向是什么？</w:t>
      </w:r>
    </w:p>
    <w:p>
      <w:pPr>
        <w:numPr>
          <w:ilvl w:val="0"/>
          <w:numId w:val="5"/>
        </w:numPr>
        <w:adjustRightInd w:val="0"/>
        <w:snapToGrid w:val="0"/>
        <w:spacing w:line="360" w:lineRule="auto"/>
        <w:rPr>
          <w:rFonts w:ascii="宋体" w:hAnsi="宋体"/>
          <w:bCs/>
          <w:sz w:val="24"/>
        </w:rPr>
      </w:pPr>
      <w:r>
        <w:rPr>
          <w:rFonts w:hint="eastAsia" w:ascii="宋体" w:hAnsi="宋体"/>
          <w:bCs/>
          <w:sz w:val="24"/>
        </w:rPr>
        <w:t>企业目前时候是否有招聘员工的意愿？如果有，是哪些类别的员工?</w:t>
      </w:r>
    </w:p>
    <w:p>
      <w:pPr>
        <w:numPr>
          <w:ilvl w:val="0"/>
          <w:numId w:val="5"/>
        </w:numPr>
        <w:adjustRightInd w:val="0"/>
        <w:snapToGrid w:val="0"/>
        <w:spacing w:line="360" w:lineRule="auto"/>
        <w:rPr>
          <w:rFonts w:ascii="宋体" w:hAnsi="宋体"/>
          <w:bCs/>
          <w:sz w:val="24"/>
        </w:rPr>
      </w:pPr>
      <w:r>
        <w:rPr>
          <w:rFonts w:hint="eastAsia" w:ascii="宋体" w:hAnsi="宋体"/>
          <w:bCs/>
          <w:sz w:val="24"/>
        </w:rPr>
        <w:t>企业对老员工有哪些技能、素质要求？</w:t>
      </w:r>
    </w:p>
    <w:p>
      <w:pPr>
        <w:numPr>
          <w:ilvl w:val="0"/>
          <w:numId w:val="5"/>
        </w:numPr>
        <w:adjustRightInd w:val="0"/>
        <w:snapToGrid w:val="0"/>
        <w:spacing w:line="360" w:lineRule="auto"/>
        <w:rPr>
          <w:rFonts w:ascii="宋体" w:hAnsi="宋体"/>
          <w:bCs/>
          <w:sz w:val="24"/>
        </w:rPr>
      </w:pPr>
      <w:r>
        <w:rPr>
          <w:rFonts w:hint="eastAsia" w:ascii="宋体" w:hAnsi="宋体"/>
          <w:bCs/>
          <w:sz w:val="24"/>
        </w:rPr>
        <w:t>企业对新员工有什么人才质量要求？</w:t>
      </w:r>
    </w:p>
    <w:p>
      <w:pPr>
        <w:numPr>
          <w:ilvl w:val="0"/>
          <w:numId w:val="5"/>
        </w:numPr>
        <w:adjustRightInd w:val="0"/>
        <w:snapToGrid w:val="0"/>
        <w:spacing w:line="360" w:lineRule="auto"/>
        <w:rPr>
          <w:rFonts w:ascii="宋体" w:hAnsi="宋体"/>
          <w:bCs/>
          <w:sz w:val="24"/>
        </w:rPr>
      </w:pPr>
      <w:r>
        <w:rPr>
          <w:rFonts w:hint="eastAsia" w:ascii="宋体" w:hAnsi="宋体"/>
          <w:bCs/>
          <w:sz w:val="24"/>
        </w:rPr>
        <w:t>企业对于校企合作有哪些建议。</w:t>
      </w:r>
    </w:p>
    <w:p>
      <w:pPr>
        <w:numPr>
          <w:ilvl w:val="0"/>
          <w:numId w:val="5"/>
        </w:numPr>
        <w:adjustRightInd w:val="0"/>
        <w:snapToGrid w:val="0"/>
        <w:spacing w:line="360" w:lineRule="auto"/>
        <w:rPr>
          <w:rFonts w:ascii="宋体" w:hAnsi="宋体"/>
          <w:bCs/>
          <w:sz w:val="24"/>
        </w:rPr>
      </w:pPr>
      <w:r>
        <w:rPr>
          <w:rFonts w:hint="eastAsia" w:ascii="宋体" w:hAnsi="宋体"/>
          <w:bCs/>
          <w:sz w:val="24"/>
        </w:rPr>
        <w:t>企业内部的岗位级别确定的依据是什么？</w:t>
      </w:r>
    </w:p>
    <w:p>
      <w:pPr>
        <w:numPr>
          <w:ilvl w:val="0"/>
          <w:numId w:val="5"/>
        </w:numPr>
        <w:adjustRightInd w:val="0"/>
        <w:snapToGrid w:val="0"/>
        <w:spacing w:line="360" w:lineRule="auto"/>
        <w:rPr>
          <w:rFonts w:ascii="宋体" w:hAnsi="宋体"/>
          <w:bCs/>
          <w:sz w:val="24"/>
        </w:rPr>
      </w:pPr>
      <w:r>
        <w:rPr>
          <w:rFonts w:hint="eastAsia" w:ascii="宋体" w:hAnsi="宋体"/>
          <w:bCs/>
          <w:sz w:val="24"/>
        </w:rPr>
        <w:t>企业内部工作岗位分类以及要求。</w:t>
      </w:r>
    </w:p>
    <w:p>
      <w:pPr>
        <w:numPr>
          <w:ilvl w:val="0"/>
          <w:numId w:val="5"/>
        </w:numPr>
        <w:adjustRightInd w:val="0"/>
        <w:snapToGrid w:val="0"/>
        <w:spacing w:line="360" w:lineRule="auto"/>
        <w:rPr>
          <w:rFonts w:ascii="宋体" w:hAnsi="宋体"/>
          <w:bCs/>
          <w:sz w:val="24"/>
        </w:rPr>
      </w:pPr>
      <w:r>
        <w:rPr>
          <w:rFonts w:hint="eastAsia" w:ascii="宋体" w:hAnsi="宋体"/>
          <w:bCs/>
          <w:sz w:val="24"/>
        </w:rPr>
        <w:t>企业对于目前本专业的课程设置有哪些建议与意见。</w:t>
      </w:r>
    </w:p>
    <w:p>
      <w:pPr>
        <w:tabs>
          <w:tab w:val="left" w:pos="312"/>
        </w:tabs>
        <w:adjustRightInd w:val="0"/>
        <w:snapToGrid w:val="0"/>
        <w:spacing w:line="360" w:lineRule="auto"/>
        <w:rPr>
          <w:rFonts w:ascii="宋体" w:hAnsi="宋体"/>
          <w:bCs/>
          <w:sz w:val="24"/>
        </w:rPr>
      </w:pPr>
    </w:p>
    <w:p>
      <w:pPr>
        <w:tabs>
          <w:tab w:val="left" w:pos="312"/>
        </w:tabs>
        <w:adjustRightInd w:val="0"/>
        <w:snapToGrid w:val="0"/>
        <w:spacing w:line="360" w:lineRule="auto"/>
        <w:rPr>
          <w:rFonts w:ascii="宋体" w:hAnsi="宋体"/>
          <w:bCs/>
          <w:sz w:val="24"/>
        </w:rPr>
      </w:pPr>
    </w:p>
    <w:p>
      <w:pPr>
        <w:tabs>
          <w:tab w:val="left" w:pos="312"/>
        </w:tabs>
        <w:adjustRightInd w:val="0"/>
        <w:snapToGrid w:val="0"/>
        <w:spacing w:line="360" w:lineRule="auto"/>
        <w:rPr>
          <w:rFonts w:ascii="宋体" w:hAnsi="宋体"/>
          <w:bCs/>
          <w:sz w:val="24"/>
        </w:rPr>
      </w:pPr>
    </w:p>
    <w:p>
      <w:pPr>
        <w:tabs>
          <w:tab w:val="left" w:pos="312"/>
        </w:tabs>
        <w:adjustRightInd w:val="0"/>
        <w:snapToGrid w:val="0"/>
        <w:spacing w:line="360" w:lineRule="auto"/>
        <w:rPr>
          <w:rFonts w:ascii="宋体" w:hAnsi="宋体"/>
          <w:bCs/>
          <w:sz w:val="24"/>
        </w:rPr>
      </w:pPr>
      <w:r>
        <w:rPr>
          <w:rFonts w:hint="eastAsia" w:ascii="宋体" w:hAnsi="宋体"/>
          <w:bCs/>
          <w:sz w:val="24"/>
        </w:rPr>
        <w:t>附件四：             院校应用化工技术专业调研内容</w:t>
      </w:r>
    </w:p>
    <w:p>
      <w:pPr>
        <w:numPr>
          <w:ilvl w:val="0"/>
          <w:numId w:val="6"/>
        </w:numPr>
        <w:spacing w:line="360" w:lineRule="auto"/>
        <w:rPr>
          <w:rFonts w:ascii="宋体" w:hAnsi="宋体"/>
          <w:sz w:val="24"/>
        </w:rPr>
      </w:pPr>
      <w:r>
        <w:rPr>
          <w:rFonts w:hint="eastAsia" w:ascii="宋体" w:hAnsi="宋体"/>
          <w:sz w:val="24"/>
        </w:rPr>
        <w:t>该专业近三年的招生人数和趋势。</w:t>
      </w:r>
    </w:p>
    <w:p>
      <w:pPr>
        <w:numPr>
          <w:ilvl w:val="0"/>
          <w:numId w:val="6"/>
        </w:numPr>
        <w:spacing w:line="360" w:lineRule="auto"/>
        <w:rPr>
          <w:rFonts w:ascii="宋体" w:hAnsi="宋体"/>
          <w:sz w:val="24"/>
        </w:rPr>
      </w:pPr>
      <w:r>
        <w:rPr>
          <w:rFonts w:hint="eastAsia" w:ascii="宋体" w:hAnsi="宋体"/>
          <w:sz w:val="24"/>
        </w:rPr>
        <w:t>该专业毕业生对口就业的就业率和就业单位情况。</w:t>
      </w:r>
    </w:p>
    <w:p>
      <w:pPr>
        <w:numPr>
          <w:ilvl w:val="0"/>
          <w:numId w:val="6"/>
        </w:numPr>
        <w:spacing w:line="360" w:lineRule="auto"/>
        <w:rPr>
          <w:rFonts w:ascii="宋体" w:hAnsi="宋体"/>
          <w:sz w:val="24"/>
        </w:rPr>
      </w:pPr>
      <w:r>
        <w:rPr>
          <w:rFonts w:hint="eastAsia" w:ascii="宋体" w:hAnsi="宋体"/>
          <w:sz w:val="24"/>
        </w:rPr>
        <w:t>该专业基础课和专业课开设比例。</w:t>
      </w:r>
    </w:p>
    <w:p>
      <w:pPr>
        <w:numPr>
          <w:ilvl w:val="0"/>
          <w:numId w:val="6"/>
        </w:numPr>
        <w:spacing w:line="360" w:lineRule="auto"/>
        <w:rPr>
          <w:rFonts w:ascii="宋体" w:hAnsi="宋体"/>
          <w:sz w:val="24"/>
        </w:rPr>
      </w:pPr>
      <w:r>
        <w:rPr>
          <w:rFonts w:hint="eastAsia" w:ascii="宋体" w:hAnsi="宋体"/>
          <w:sz w:val="24"/>
        </w:rPr>
        <w:t>该专业专业基础课有那些？核心课程有哪些？</w:t>
      </w:r>
    </w:p>
    <w:p>
      <w:pPr>
        <w:numPr>
          <w:ilvl w:val="0"/>
          <w:numId w:val="6"/>
        </w:numPr>
        <w:spacing w:line="360" w:lineRule="auto"/>
        <w:rPr>
          <w:rFonts w:ascii="宋体" w:hAnsi="宋体"/>
          <w:sz w:val="24"/>
        </w:rPr>
      </w:pPr>
      <w:r>
        <w:rPr>
          <w:rFonts w:hint="eastAsia" w:ascii="宋体" w:hAnsi="宋体"/>
          <w:sz w:val="24"/>
        </w:rPr>
        <w:t>该专业和相近专业是否有合班上课的现象？合班上课的课程涉及到哪些？</w:t>
      </w:r>
    </w:p>
    <w:p>
      <w:pPr>
        <w:numPr>
          <w:ilvl w:val="0"/>
          <w:numId w:val="6"/>
        </w:numPr>
        <w:spacing w:line="360" w:lineRule="auto"/>
      </w:pPr>
      <w:r>
        <w:rPr>
          <w:rFonts w:hint="eastAsia" w:ascii="宋体" w:hAnsi="宋体"/>
          <w:sz w:val="24"/>
        </w:rPr>
        <w:t>该专业配备哪些实训设施、实训室和校内外实训基地？</w:t>
      </w:r>
    </w:p>
    <w:p>
      <w:pPr>
        <w:numPr>
          <w:ilvl w:val="0"/>
          <w:numId w:val="6"/>
        </w:numPr>
        <w:spacing w:line="360" w:lineRule="auto"/>
      </w:pPr>
      <w:r>
        <w:rPr>
          <w:rFonts w:hint="eastAsia" w:ascii="宋体" w:hAnsi="宋体"/>
          <w:sz w:val="24"/>
        </w:rPr>
        <w:t>该专业与当地相关企业校企合作的深度和广度如何？合作方式有哪些？</w:t>
      </w:r>
    </w:p>
    <w:p>
      <w:pPr>
        <w:tabs>
          <w:tab w:val="left" w:pos="3960"/>
        </w:tabs>
      </w:pPr>
    </w:p>
    <w:sectPr>
      <w:headerReference r:id="rId7" w:type="default"/>
      <w:footerReference r:id="rId8" w:type="default"/>
      <w:pgSz w:w="11906" w:h="16838"/>
      <w:pgMar w:top="1440" w:right="1803" w:bottom="1440" w:left="1803"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楷体_GB2312">
    <w:altName w:val="Arial Unicode MS"/>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方正行楷简体">
    <w:altName w:val="微软雅黑"/>
    <w:panose1 w:val="00000000000000000000"/>
    <w:charset w:val="86"/>
    <w:family w:val="script"/>
    <w:pitch w:val="default"/>
    <w:sig w:usb0="00000000" w:usb1="00000000" w:usb2="00000010" w:usb3="00000000" w:csb0="00040000" w:csb1="00000000"/>
  </w:font>
  <w:font w:name="幼圆">
    <w:panose1 w:val="0201050906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楷体">
    <w:altName w:val="宋体"/>
    <w:panose1 w:val="02010609060101010101"/>
    <w:charset w:val="86"/>
    <w:family w:val="moder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SSJ0+ZETBZa-3">
    <w:altName w:val="宋体"/>
    <w:panose1 w:val="00000000000000000000"/>
    <w:charset w:val="86"/>
    <w:family w:val="auto"/>
    <w:pitch w:val="default"/>
    <w:sig w:usb0="00000000" w:usb1="00000000" w:usb2="00000010" w:usb3="00000000" w:csb0="00040000" w:csb1="00000000"/>
  </w:font>
  <w:font w:name="E-HZ+ZETBZb-4">
    <w:altName w:val="宋体"/>
    <w:panose1 w:val="00000000000000000000"/>
    <w:charset w:val="86"/>
    <w:family w:val="auto"/>
    <w:pitch w:val="default"/>
    <w:sig w:usb0="00000000" w:usb1="00000000" w:usb2="00000010" w:usb3="00000000" w:csb0="00040000" w:csb1="00000000"/>
  </w:font>
  <w:font w:name="AdobeHeitiStd-Regular">
    <w:altName w:val="宋体"/>
    <w:panose1 w:val="00000000000000000000"/>
    <w:charset w:val="86"/>
    <w:family w:val="auto"/>
    <w:pitch w:val="default"/>
    <w:sig w:usb0="00000000" w:usb1="00000000" w:usb2="00000000" w:usb3="00000000" w:csb0="00040000" w:csb1="00000000"/>
  </w:font>
  <w:font w:name="SSJ0+ZETBZc-6">
    <w:altName w:val="宋体"/>
    <w:panose1 w:val="00000000000000000000"/>
    <w:charset w:val="86"/>
    <w:family w:val="auto"/>
    <w:pitch w:val="default"/>
    <w:sig w:usb0="00000000" w:usb1="00000000" w:usb2="00000010" w:usb3="00000000" w:csb0="00040000" w:csb1="00000000"/>
  </w:font>
  <w:font w:name="&amp;quot">
    <w:altName w:val="Segoe Print"/>
    <w:panose1 w:val="00000000000000000000"/>
    <w:charset w:val="00"/>
    <w:family w:val="auto"/>
    <w:pitch w:val="default"/>
    <w:sig w:usb0="00000000" w:usb1="00000000" w:usb2="00000000" w:usb3="00000000" w:csb0="00040001"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A0000287" w:usb1="28C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360"/>
      <w:jc w:val="center"/>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1"/>
                          </w:pPr>
                          <w:r>
                            <w:fldChar w:fldCharType="begin"/>
                          </w:r>
                          <w:r>
                            <w:instrText xml:space="preserve"> PAGE  \* MERGEFORMAT </w:instrText>
                          </w:r>
                          <w:r>
                            <w:fldChar w:fldCharType="separate"/>
                          </w:r>
                          <w:r>
                            <w:t>7</w:t>
                          </w:r>
                          <w: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OqXm5zwAAAAUBAAAP&#10;AAAAAAAAAAEAIAAAACIAAABkcnMvZG93bnJldi54bWxQSwECFAAUAAAACACHTuJAOh/vfK8BAABL&#10;AwAADgAAAAAAAAABACAAAAAeAQAAZHJzL2Uyb0RvYy54bWxQSwUGAAAAAAYABgBZAQAAPwUAAAAA&#10;">
              <v:fill on="f" focussize="0,0"/>
              <v:stroke on="f"/>
              <v:imagedata o:title=""/>
              <o:lock v:ext="edit" aspectratio="f"/>
              <v:textbox inset="0mm,0mm,0mm,0mm" style="mso-fit-shape-to-text:t;">
                <w:txbxContent>
                  <w:p>
                    <w:pPr>
                      <w:pStyle w:val="11"/>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1"/>
                          </w:pPr>
                          <w:r>
                            <w:fldChar w:fldCharType="begin"/>
                          </w:r>
                          <w:r>
                            <w:instrText xml:space="preserve"> PAGE  \* MERGEFORMAT </w:instrText>
                          </w:r>
                          <w:r>
                            <w:fldChar w:fldCharType="separate"/>
                          </w:r>
                          <w:r>
                            <w:t>19</w:t>
                          </w:r>
                          <w:r>
                            <w:fldChar w:fldCharType="end"/>
                          </w:r>
                        </w:p>
                      </w:txbxContent>
                    </wps:txbx>
                    <wps:bodyPr wrap="none" lIns="0" tIns="0" rIns="0" bIns="0" upright="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AqtDYkrgEAAEsD&#10;AAAOAAAAAAAAAAEAIAAAAB4BAABkcnMvZTJvRG9jLnhtbFBLBQYAAAAABgAGAFkBAAA+BQAAAAA=&#10;">
              <v:fill on="f" focussize="0,0"/>
              <v:stroke on="f"/>
              <v:imagedata o:title=""/>
              <o:lock v:ext="edit" aspectratio="f"/>
              <v:textbox inset="0mm,0mm,0mm,0mm" style="mso-fit-shape-to-text:t;">
                <w:txbxContent>
                  <w:p>
                    <w:pPr>
                      <w:pStyle w:val="11"/>
                    </w:pPr>
                    <w:r>
                      <w:fldChar w:fldCharType="begin"/>
                    </w:r>
                    <w:r>
                      <w:instrText xml:space="preserve"> PAGE  \* MERGEFORMAT </w:instrText>
                    </w:r>
                    <w:r>
                      <w:fldChar w:fldCharType="separate"/>
                    </w:r>
                    <w:r>
                      <w:t>19</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1"/>
                            <w:rPr>
                              <w:rStyle w:val="22"/>
                            </w:rPr>
                          </w:pPr>
                          <w:r>
                            <w:fldChar w:fldCharType="begin"/>
                          </w:r>
                          <w:r>
                            <w:rPr>
                              <w:rStyle w:val="22"/>
                            </w:rPr>
                            <w:instrText xml:space="preserve">PAGE  </w:instrText>
                          </w:r>
                          <w:r>
                            <w:fldChar w:fldCharType="separate"/>
                          </w:r>
                          <w:r>
                            <w:rPr>
                              <w:rStyle w:val="22"/>
                            </w:rPr>
                            <w:t>100</w:t>
                          </w:r>
                          <w:r>
                            <w:fldChar w:fldCharType="end"/>
                          </w:r>
                        </w:p>
                      </w:txbxContent>
                    </wps:txbx>
                    <wps:bodyPr wrap="none" lIns="0" tIns="0" rIns="0" bIns="0" upright="1">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A1A4lFrgEAAEsD&#10;AAAOAAAAAAAAAAEAIAAAAB4BAABkcnMvZTJvRG9jLnhtbFBLBQYAAAAABgAGAFkBAAA+BQAAAAA=&#10;">
              <v:fill on="f" focussize="0,0"/>
              <v:stroke on="f"/>
              <v:imagedata o:title=""/>
              <o:lock v:ext="edit" aspectratio="f"/>
              <v:textbox inset="0mm,0mm,0mm,0mm" style="mso-fit-shape-to-text:t;">
                <w:txbxContent>
                  <w:p>
                    <w:pPr>
                      <w:pStyle w:val="11"/>
                      <w:rPr>
                        <w:rStyle w:val="22"/>
                      </w:rPr>
                    </w:pPr>
                    <w:r>
                      <w:fldChar w:fldCharType="begin"/>
                    </w:r>
                    <w:r>
                      <w:rPr>
                        <w:rStyle w:val="22"/>
                      </w:rPr>
                      <w:instrText xml:space="preserve">PAGE  </w:instrText>
                    </w:r>
                    <w:r>
                      <w:fldChar w:fldCharType="separate"/>
                    </w:r>
                    <w:r>
                      <w:rPr>
                        <w:rStyle w:val="22"/>
                      </w:rPr>
                      <w:t>100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4601FA9"/>
    <w:multiLevelType w:val="singleLevel"/>
    <w:tmpl w:val="D4601FA9"/>
    <w:lvl w:ilvl="0" w:tentative="0">
      <w:start w:val="1"/>
      <w:numFmt w:val="decimal"/>
      <w:lvlText w:val="%1."/>
      <w:lvlJc w:val="left"/>
      <w:pPr>
        <w:tabs>
          <w:tab w:val="left" w:pos="312"/>
        </w:tabs>
      </w:pPr>
    </w:lvl>
  </w:abstractNum>
  <w:abstractNum w:abstractNumId="1">
    <w:nsid w:val="158E71DF"/>
    <w:multiLevelType w:val="singleLevel"/>
    <w:tmpl w:val="158E71DF"/>
    <w:lvl w:ilvl="0" w:tentative="0">
      <w:start w:val="1"/>
      <w:numFmt w:val="decimal"/>
      <w:lvlText w:val="%1."/>
      <w:lvlJc w:val="left"/>
      <w:pPr>
        <w:tabs>
          <w:tab w:val="left" w:pos="312"/>
        </w:tabs>
      </w:pPr>
    </w:lvl>
  </w:abstractNum>
  <w:abstractNum w:abstractNumId="2">
    <w:nsid w:val="26187B36"/>
    <w:multiLevelType w:val="singleLevel"/>
    <w:tmpl w:val="26187B36"/>
    <w:lvl w:ilvl="0" w:tentative="0">
      <w:start w:val="14"/>
      <w:numFmt w:val="decimal"/>
      <w:lvlText w:val="%1."/>
      <w:lvlJc w:val="left"/>
      <w:pPr>
        <w:tabs>
          <w:tab w:val="left" w:pos="312"/>
        </w:tabs>
      </w:pPr>
    </w:lvl>
  </w:abstractNum>
  <w:abstractNum w:abstractNumId="3">
    <w:nsid w:val="5ADE2D87"/>
    <w:multiLevelType w:val="singleLevel"/>
    <w:tmpl w:val="5ADE2D87"/>
    <w:lvl w:ilvl="0" w:tentative="0">
      <w:start w:val="1"/>
      <w:numFmt w:val="decimal"/>
      <w:lvlText w:val="%1."/>
      <w:lvlJc w:val="left"/>
      <w:pPr>
        <w:tabs>
          <w:tab w:val="left" w:pos="312"/>
        </w:tabs>
      </w:pPr>
    </w:lvl>
  </w:abstractNum>
  <w:abstractNum w:abstractNumId="4">
    <w:nsid w:val="6BCFD7AA"/>
    <w:multiLevelType w:val="singleLevel"/>
    <w:tmpl w:val="6BCFD7AA"/>
    <w:lvl w:ilvl="0" w:tentative="0">
      <w:start w:val="1"/>
      <w:numFmt w:val="decimal"/>
      <w:lvlText w:val="%1."/>
      <w:lvlJc w:val="left"/>
      <w:pPr>
        <w:tabs>
          <w:tab w:val="left" w:pos="312"/>
        </w:tabs>
      </w:pPr>
    </w:lvl>
  </w:abstractNum>
  <w:abstractNum w:abstractNumId="5">
    <w:nsid w:val="6D3D1546"/>
    <w:multiLevelType w:val="multilevel"/>
    <w:tmpl w:val="6D3D1546"/>
    <w:lvl w:ilvl="0" w:tentative="0">
      <w:start w:val="3"/>
      <w:numFmt w:val="japaneseCounting"/>
      <w:lvlText w:val="%1、"/>
      <w:lvlJc w:val="left"/>
      <w:pPr>
        <w:ind w:left="1120" w:hanging="64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5"/>
  </w:num>
  <w:num w:numId="2">
    <w:abstractNumId w:val="4"/>
  </w:num>
  <w:num w:numId="3">
    <w:abstractNumId w:val="2"/>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6A8D"/>
    <w:rsid w:val="00003548"/>
    <w:rsid w:val="00016233"/>
    <w:rsid w:val="000169FC"/>
    <w:rsid w:val="00037FE2"/>
    <w:rsid w:val="00057FBB"/>
    <w:rsid w:val="00061861"/>
    <w:rsid w:val="00064EFF"/>
    <w:rsid w:val="000A322A"/>
    <w:rsid w:val="000A7D4C"/>
    <w:rsid w:val="000B0761"/>
    <w:rsid w:val="000B589F"/>
    <w:rsid w:val="000C1735"/>
    <w:rsid w:val="000C3490"/>
    <w:rsid w:val="000C647D"/>
    <w:rsid w:val="001153A6"/>
    <w:rsid w:val="00132B18"/>
    <w:rsid w:val="00163C9B"/>
    <w:rsid w:val="001760BB"/>
    <w:rsid w:val="00182F75"/>
    <w:rsid w:val="001838DD"/>
    <w:rsid w:val="00195455"/>
    <w:rsid w:val="001B25B6"/>
    <w:rsid w:val="001B6D3E"/>
    <w:rsid w:val="001C2D8E"/>
    <w:rsid w:val="001D17E2"/>
    <w:rsid w:val="001D2CDD"/>
    <w:rsid w:val="001F045F"/>
    <w:rsid w:val="001F24FB"/>
    <w:rsid w:val="0020385F"/>
    <w:rsid w:val="002161AF"/>
    <w:rsid w:val="00223D57"/>
    <w:rsid w:val="002374F2"/>
    <w:rsid w:val="0025662A"/>
    <w:rsid w:val="00270B79"/>
    <w:rsid w:val="0027743A"/>
    <w:rsid w:val="002A238B"/>
    <w:rsid w:val="002A6A48"/>
    <w:rsid w:val="002E196E"/>
    <w:rsid w:val="002E43A7"/>
    <w:rsid w:val="002E7D1D"/>
    <w:rsid w:val="00305F71"/>
    <w:rsid w:val="00315ADD"/>
    <w:rsid w:val="003225ED"/>
    <w:rsid w:val="0033516C"/>
    <w:rsid w:val="0038040E"/>
    <w:rsid w:val="00386EE3"/>
    <w:rsid w:val="003922B6"/>
    <w:rsid w:val="003934DD"/>
    <w:rsid w:val="003A72F9"/>
    <w:rsid w:val="003B1EC4"/>
    <w:rsid w:val="003B799F"/>
    <w:rsid w:val="003E2978"/>
    <w:rsid w:val="003F536B"/>
    <w:rsid w:val="003F54AB"/>
    <w:rsid w:val="004244FA"/>
    <w:rsid w:val="00431ED8"/>
    <w:rsid w:val="0044225B"/>
    <w:rsid w:val="00453749"/>
    <w:rsid w:val="004602C8"/>
    <w:rsid w:val="00473703"/>
    <w:rsid w:val="00480FF9"/>
    <w:rsid w:val="0049352C"/>
    <w:rsid w:val="00494A91"/>
    <w:rsid w:val="004A1C87"/>
    <w:rsid w:val="004B6A8D"/>
    <w:rsid w:val="004C4EC4"/>
    <w:rsid w:val="004C515E"/>
    <w:rsid w:val="004D4B00"/>
    <w:rsid w:val="004D6AD0"/>
    <w:rsid w:val="004F3E67"/>
    <w:rsid w:val="004F4579"/>
    <w:rsid w:val="00516F3E"/>
    <w:rsid w:val="00521C98"/>
    <w:rsid w:val="00536E02"/>
    <w:rsid w:val="00574E6E"/>
    <w:rsid w:val="00580D42"/>
    <w:rsid w:val="00594852"/>
    <w:rsid w:val="005B6CF5"/>
    <w:rsid w:val="005E0D24"/>
    <w:rsid w:val="005F06DE"/>
    <w:rsid w:val="005F7C17"/>
    <w:rsid w:val="00605536"/>
    <w:rsid w:val="00616029"/>
    <w:rsid w:val="00625BA7"/>
    <w:rsid w:val="006311DA"/>
    <w:rsid w:val="0064334A"/>
    <w:rsid w:val="00644C5F"/>
    <w:rsid w:val="00664E25"/>
    <w:rsid w:val="006866D5"/>
    <w:rsid w:val="0069264E"/>
    <w:rsid w:val="0069535A"/>
    <w:rsid w:val="006A352E"/>
    <w:rsid w:val="006B0E9F"/>
    <w:rsid w:val="006B2D81"/>
    <w:rsid w:val="006C5A02"/>
    <w:rsid w:val="006C686B"/>
    <w:rsid w:val="006C700D"/>
    <w:rsid w:val="006D3C79"/>
    <w:rsid w:val="006E39D3"/>
    <w:rsid w:val="00735D6F"/>
    <w:rsid w:val="00735FF8"/>
    <w:rsid w:val="00764B35"/>
    <w:rsid w:val="00765B59"/>
    <w:rsid w:val="00765D6E"/>
    <w:rsid w:val="0077168C"/>
    <w:rsid w:val="007737E8"/>
    <w:rsid w:val="00783773"/>
    <w:rsid w:val="00793305"/>
    <w:rsid w:val="007C1B90"/>
    <w:rsid w:val="007C611A"/>
    <w:rsid w:val="007E4D6D"/>
    <w:rsid w:val="00802855"/>
    <w:rsid w:val="00810952"/>
    <w:rsid w:val="00813768"/>
    <w:rsid w:val="00823CDD"/>
    <w:rsid w:val="0085141F"/>
    <w:rsid w:val="008809B8"/>
    <w:rsid w:val="008906CB"/>
    <w:rsid w:val="008965FA"/>
    <w:rsid w:val="008C13A9"/>
    <w:rsid w:val="008E5468"/>
    <w:rsid w:val="00900402"/>
    <w:rsid w:val="00902C7A"/>
    <w:rsid w:val="009052FD"/>
    <w:rsid w:val="0091283B"/>
    <w:rsid w:val="009409D6"/>
    <w:rsid w:val="009465B5"/>
    <w:rsid w:val="00957AA5"/>
    <w:rsid w:val="00962EC2"/>
    <w:rsid w:val="009874FB"/>
    <w:rsid w:val="009912A0"/>
    <w:rsid w:val="00996DE8"/>
    <w:rsid w:val="00997EF7"/>
    <w:rsid w:val="009B537F"/>
    <w:rsid w:val="009C58FA"/>
    <w:rsid w:val="009D2641"/>
    <w:rsid w:val="009D6345"/>
    <w:rsid w:val="009E5786"/>
    <w:rsid w:val="009F7706"/>
    <w:rsid w:val="00A11A55"/>
    <w:rsid w:val="00A12011"/>
    <w:rsid w:val="00A151C0"/>
    <w:rsid w:val="00A34580"/>
    <w:rsid w:val="00A4614B"/>
    <w:rsid w:val="00A572DE"/>
    <w:rsid w:val="00A616AA"/>
    <w:rsid w:val="00A71289"/>
    <w:rsid w:val="00A96AE1"/>
    <w:rsid w:val="00A97AB1"/>
    <w:rsid w:val="00AA6F7B"/>
    <w:rsid w:val="00AA7A6F"/>
    <w:rsid w:val="00AB4EC3"/>
    <w:rsid w:val="00AD3C21"/>
    <w:rsid w:val="00AE33FA"/>
    <w:rsid w:val="00AE525C"/>
    <w:rsid w:val="00AE59B1"/>
    <w:rsid w:val="00B355E6"/>
    <w:rsid w:val="00B372EA"/>
    <w:rsid w:val="00B461DD"/>
    <w:rsid w:val="00B5176A"/>
    <w:rsid w:val="00B70B4B"/>
    <w:rsid w:val="00B74EFE"/>
    <w:rsid w:val="00B87D32"/>
    <w:rsid w:val="00BA5BC1"/>
    <w:rsid w:val="00BB3E91"/>
    <w:rsid w:val="00BB56FE"/>
    <w:rsid w:val="00BE5836"/>
    <w:rsid w:val="00BF1A1B"/>
    <w:rsid w:val="00BF5E36"/>
    <w:rsid w:val="00C0011E"/>
    <w:rsid w:val="00C022B7"/>
    <w:rsid w:val="00C27ED3"/>
    <w:rsid w:val="00C41EAB"/>
    <w:rsid w:val="00C46A5F"/>
    <w:rsid w:val="00C57A05"/>
    <w:rsid w:val="00C67D76"/>
    <w:rsid w:val="00C85908"/>
    <w:rsid w:val="00CA2907"/>
    <w:rsid w:val="00CB35C8"/>
    <w:rsid w:val="00CC4565"/>
    <w:rsid w:val="00CD572E"/>
    <w:rsid w:val="00CE4D39"/>
    <w:rsid w:val="00CF1304"/>
    <w:rsid w:val="00D021A9"/>
    <w:rsid w:val="00D032CC"/>
    <w:rsid w:val="00D369D9"/>
    <w:rsid w:val="00D40A20"/>
    <w:rsid w:val="00D64E74"/>
    <w:rsid w:val="00D71320"/>
    <w:rsid w:val="00D74DF5"/>
    <w:rsid w:val="00DA19C9"/>
    <w:rsid w:val="00DC0CA8"/>
    <w:rsid w:val="00DD642D"/>
    <w:rsid w:val="00DE4960"/>
    <w:rsid w:val="00DF01B5"/>
    <w:rsid w:val="00E10DD3"/>
    <w:rsid w:val="00E17C12"/>
    <w:rsid w:val="00E23FC9"/>
    <w:rsid w:val="00E30E28"/>
    <w:rsid w:val="00E3199E"/>
    <w:rsid w:val="00E32729"/>
    <w:rsid w:val="00E4459D"/>
    <w:rsid w:val="00E451FF"/>
    <w:rsid w:val="00E666A2"/>
    <w:rsid w:val="00E75488"/>
    <w:rsid w:val="00EC1EE2"/>
    <w:rsid w:val="00EC66A2"/>
    <w:rsid w:val="00EF284E"/>
    <w:rsid w:val="00F00941"/>
    <w:rsid w:val="00F10301"/>
    <w:rsid w:val="00F169B7"/>
    <w:rsid w:val="00F20888"/>
    <w:rsid w:val="00F345E7"/>
    <w:rsid w:val="00F53E1E"/>
    <w:rsid w:val="00F6733F"/>
    <w:rsid w:val="00F95891"/>
    <w:rsid w:val="00FB1E7D"/>
    <w:rsid w:val="00FF49CA"/>
    <w:rsid w:val="00FF5225"/>
    <w:rsid w:val="00FF6D37"/>
    <w:rsid w:val="15321F3E"/>
    <w:rsid w:val="26794847"/>
    <w:rsid w:val="2BE3534B"/>
    <w:rsid w:val="2FE701BF"/>
    <w:rsid w:val="3C6D730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8"/>
    <w:qFormat/>
    <w:uiPriority w:val="0"/>
    <w:pPr>
      <w:keepNext/>
      <w:keepLines/>
      <w:adjustRightInd w:val="0"/>
      <w:spacing w:before="260" w:after="260" w:line="416" w:lineRule="atLeast"/>
      <w:jc w:val="left"/>
      <w:outlineLvl w:val="1"/>
    </w:pPr>
    <w:rPr>
      <w:rFonts w:ascii="Arial" w:hAnsi="Arial" w:eastAsia="黑体"/>
      <w:b/>
      <w:sz w:val="32"/>
    </w:rPr>
  </w:style>
  <w:style w:type="paragraph" w:styleId="4">
    <w:name w:val="heading 3"/>
    <w:basedOn w:val="1"/>
    <w:next w:val="1"/>
    <w:link w:val="33"/>
    <w:qFormat/>
    <w:uiPriority w:val="0"/>
    <w:pPr>
      <w:keepNext/>
      <w:keepLines/>
      <w:spacing w:before="260" w:after="260" w:line="415" w:lineRule="auto"/>
      <w:outlineLvl w:val="2"/>
    </w:pPr>
    <w:rPr>
      <w:rFonts w:ascii="Times New Roman" w:hAnsi="Times New Roman" w:eastAsia="宋体" w:cs="Times New Roman"/>
      <w:b/>
      <w:bCs/>
      <w:sz w:val="32"/>
      <w:szCs w:val="32"/>
    </w:rPr>
  </w:style>
  <w:style w:type="character" w:default="1" w:styleId="20">
    <w:name w:val="Default Paragraph Font"/>
    <w:semiHidden/>
    <w:unhideWhenUsed/>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54"/>
    <w:qFormat/>
    <w:uiPriority w:val="0"/>
    <w:pPr>
      <w:spacing w:after="120"/>
    </w:pPr>
  </w:style>
  <w:style w:type="paragraph" w:styleId="6">
    <w:name w:val="Body Text Indent"/>
    <w:basedOn w:val="1"/>
    <w:link w:val="53"/>
    <w:uiPriority w:val="0"/>
    <w:pPr>
      <w:widowControl/>
      <w:spacing w:before="100" w:beforeAutospacing="1" w:after="100" w:afterAutospacing="1"/>
      <w:jc w:val="left"/>
    </w:pPr>
    <w:rPr>
      <w:rFonts w:ascii="宋体" w:hAnsi="宋体" w:cs="宋体"/>
      <w:sz w:val="24"/>
    </w:rPr>
  </w:style>
  <w:style w:type="paragraph" w:styleId="7">
    <w:name w:val="Plain Text"/>
    <w:basedOn w:val="1"/>
    <w:link w:val="51"/>
    <w:qFormat/>
    <w:uiPriority w:val="0"/>
    <w:rPr>
      <w:rFonts w:ascii="宋体" w:hAnsi="Courier New" w:cs="Courier New"/>
      <w:szCs w:val="21"/>
    </w:rPr>
  </w:style>
  <w:style w:type="paragraph" w:styleId="8">
    <w:name w:val="Date"/>
    <w:basedOn w:val="1"/>
    <w:next w:val="1"/>
    <w:link w:val="50"/>
    <w:qFormat/>
    <w:uiPriority w:val="0"/>
    <w:pPr>
      <w:ind w:left="100" w:leftChars="2500"/>
    </w:pPr>
  </w:style>
  <w:style w:type="paragraph" w:styleId="9">
    <w:name w:val="Body Text Indent 2"/>
    <w:basedOn w:val="1"/>
    <w:link w:val="29"/>
    <w:uiPriority w:val="0"/>
    <w:pPr>
      <w:spacing w:after="120" w:line="480" w:lineRule="auto"/>
      <w:ind w:left="420" w:leftChars="200"/>
    </w:pPr>
  </w:style>
  <w:style w:type="paragraph" w:styleId="10">
    <w:name w:val="Balloon Text"/>
    <w:basedOn w:val="1"/>
    <w:link w:val="30"/>
    <w:unhideWhenUsed/>
    <w:qFormat/>
    <w:uiPriority w:val="0"/>
    <w:rPr>
      <w:sz w:val="18"/>
      <w:szCs w:val="18"/>
    </w:rPr>
  </w:style>
  <w:style w:type="paragraph" w:styleId="11">
    <w:name w:val="footer"/>
    <w:basedOn w:val="1"/>
    <w:link w:val="26"/>
    <w:unhideWhenUsed/>
    <w:qFormat/>
    <w:uiPriority w:val="99"/>
    <w:pPr>
      <w:tabs>
        <w:tab w:val="center" w:pos="4153"/>
        <w:tab w:val="right" w:pos="8306"/>
      </w:tabs>
      <w:snapToGrid w:val="0"/>
      <w:jc w:val="left"/>
    </w:pPr>
    <w:rPr>
      <w:sz w:val="18"/>
      <w:szCs w:val="18"/>
    </w:rPr>
  </w:style>
  <w:style w:type="paragraph" w:styleId="12">
    <w:name w:val="header"/>
    <w:basedOn w:val="1"/>
    <w:link w:val="25"/>
    <w:unhideWhenUsed/>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uiPriority w:val="39"/>
    <w:pPr>
      <w:tabs>
        <w:tab w:val="right" w:leader="dot" w:pos="9060"/>
      </w:tabs>
      <w:spacing w:line="360" w:lineRule="auto"/>
      <w:jc w:val="distribute"/>
    </w:pPr>
    <w:rPr>
      <w:rFonts w:ascii="宋体" w:hAnsi="宋体" w:eastAsia="宋体" w:cs="Times New Roman"/>
      <w:sz w:val="24"/>
    </w:rPr>
  </w:style>
  <w:style w:type="paragraph" w:styleId="14">
    <w:name w:val="Body Text Indent 3"/>
    <w:basedOn w:val="1"/>
    <w:link w:val="52"/>
    <w:qFormat/>
    <w:uiPriority w:val="0"/>
    <w:pPr>
      <w:ind w:firstLine="421" w:firstLineChars="200"/>
      <w:outlineLvl w:val="0"/>
    </w:pPr>
    <w:rPr>
      <w:rFonts w:ascii="仿宋_GB2312" w:eastAsia="仿宋_GB2312"/>
      <w:sz w:val="24"/>
    </w:rPr>
  </w:style>
  <w:style w:type="paragraph" w:styleId="15">
    <w:name w:val="toc 2"/>
    <w:basedOn w:val="1"/>
    <w:next w:val="1"/>
    <w:uiPriority w:val="39"/>
    <w:pPr>
      <w:tabs>
        <w:tab w:val="right" w:leader="dot" w:pos="9000"/>
      </w:tabs>
      <w:ind w:left="420" w:leftChars="200"/>
    </w:pPr>
    <w:rPr>
      <w:rFonts w:ascii="Times New Roman" w:hAnsi="Times New Roman" w:eastAsia="宋体" w:cs="Times New Roman"/>
    </w:rPr>
  </w:style>
  <w:style w:type="paragraph" w:styleId="16">
    <w:name w:val="HTML Preformatted"/>
    <w:basedOn w:val="1"/>
    <w:link w:val="4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rPr>
  </w:style>
  <w:style w:type="paragraph" w:styleId="17">
    <w:name w:val="Normal (Web)"/>
    <w:basedOn w:val="1"/>
    <w:link w:val="40"/>
    <w:unhideWhenUsed/>
    <w:qFormat/>
    <w:uiPriority w:val="0"/>
    <w:pPr>
      <w:widowControl/>
      <w:spacing w:before="100" w:beforeAutospacing="1" w:after="100" w:afterAutospacing="1"/>
      <w:jc w:val="left"/>
    </w:pPr>
    <w:rPr>
      <w:rFonts w:ascii="宋体" w:hAnsi="宋体" w:eastAsia="宋体" w:cs="宋体"/>
      <w:kern w:val="0"/>
      <w:sz w:val="24"/>
    </w:rPr>
  </w:style>
  <w:style w:type="table" w:styleId="19">
    <w:name w:val="Table Grid"/>
    <w:basedOn w:val="18"/>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21">
    <w:name w:val="Strong"/>
    <w:qFormat/>
    <w:uiPriority w:val="0"/>
    <w:rPr>
      <w:b/>
      <w:bCs/>
    </w:rPr>
  </w:style>
  <w:style w:type="character" w:styleId="22">
    <w:name w:val="page number"/>
    <w:basedOn w:val="20"/>
    <w:qFormat/>
    <w:uiPriority w:val="0"/>
  </w:style>
  <w:style w:type="character" w:styleId="23">
    <w:name w:val="FollowedHyperlink"/>
    <w:qFormat/>
    <w:uiPriority w:val="0"/>
    <w:rPr>
      <w:color w:val="800080"/>
      <w:u w:val="single"/>
    </w:rPr>
  </w:style>
  <w:style w:type="character" w:styleId="24">
    <w:name w:val="Hyperlink"/>
    <w:qFormat/>
    <w:uiPriority w:val="99"/>
    <w:rPr>
      <w:color w:val="333333"/>
      <w:u w:val="none"/>
    </w:rPr>
  </w:style>
  <w:style w:type="character" w:customStyle="1" w:styleId="25">
    <w:name w:val="页眉 Char"/>
    <w:basedOn w:val="20"/>
    <w:link w:val="12"/>
    <w:qFormat/>
    <w:uiPriority w:val="0"/>
    <w:rPr>
      <w:sz w:val="18"/>
      <w:szCs w:val="18"/>
    </w:rPr>
  </w:style>
  <w:style w:type="character" w:customStyle="1" w:styleId="26">
    <w:name w:val="页脚 Char"/>
    <w:basedOn w:val="20"/>
    <w:link w:val="11"/>
    <w:qFormat/>
    <w:uiPriority w:val="99"/>
    <w:rPr>
      <w:sz w:val="18"/>
      <w:szCs w:val="18"/>
    </w:rPr>
  </w:style>
  <w:style w:type="character" w:customStyle="1" w:styleId="27">
    <w:name w:val="标题 1 Char"/>
    <w:basedOn w:val="20"/>
    <w:link w:val="2"/>
    <w:qFormat/>
    <w:uiPriority w:val="0"/>
    <w:rPr>
      <w:b/>
      <w:bCs/>
      <w:kern w:val="44"/>
      <w:sz w:val="44"/>
      <w:szCs w:val="44"/>
    </w:rPr>
  </w:style>
  <w:style w:type="character" w:customStyle="1" w:styleId="28">
    <w:name w:val="标题 2 Char"/>
    <w:basedOn w:val="20"/>
    <w:link w:val="3"/>
    <w:qFormat/>
    <w:uiPriority w:val="0"/>
    <w:rPr>
      <w:rFonts w:ascii="Arial" w:hAnsi="Arial" w:eastAsia="黑体"/>
      <w:b/>
      <w:sz w:val="32"/>
      <w:szCs w:val="24"/>
    </w:rPr>
  </w:style>
  <w:style w:type="character" w:customStyle="1" w:styleId="29">
    <w:name w:val="正文文本缩进 2 Char"/>
    <w:basedOn w:val="20"/>
    <w:link w:val="9"/>
    <w:qFormat/>
    <w:uiPriority w:val="0"/>
    <w:rPr>
      <w:szCs w:val="24"/>
    </w:rPr>
  </w:style>
  <w:style w:type="character" w:customStyle="1" w:styleId="30">
    <w:name w:val="批注框文本 Char"/>
    <w:basedOn w:val="20"/>
    <w:link w:val="10"/>
    <w:qFormat/>
    <w:uiPriority w:val="0"/>
    <w:rPr>
      <w:sz w:val="18"/>
      <w:szCs w:val="18"/>
    </w:rPr>
  </w:style>
  <w:style w:type="paragraph" w:customStyle="1" w:styleId="31">
    <w:name w:val="style1"/>
    <w:basedOn w:val="1"/>
    <w:qFormat/>
    <w:uiPriority w:val="0"/>
    <w:pPr>
      <w:widowControl/>
      <w:spacing w:before="100" w:beforeAutospacing="1" w:after="100" w:afterAutospacing="1" w:line="300" w:lineRule="atLeast"/>
      <w:ind w:firstLine="340"/>
    </w:pPr>
    <w:rPr>
      <w:rFonts w:ascii="新宋体" w:hAnsi="新宋体" w:eastAsia="新宋体" w:cs="宋体"/>
      <w:color w:val="0082BF"/>
      <w:kern w:val="0"/>
      <w:sz w:val="16"/>
      <w:szCs w:val="16"/>
    </w:rPr>
  </w:style>
  <w:style w:type="paragraph" w:styleId="32">
    <w:name w:val="List Paragraph"/>
    <w:basedOn w:val="1"/>
    <w:qFormat/>
    <w:uiPriority w:val="0"/>
    <w:pPr>
      <w:ind w:firstLine="420" w:firstLineChars="200"/>
    </w:pPr>
  </w:style>
  <w:style w:type="character" w:customStyle="1" w:styleId="33">
    <w:name w:val="标题 3 Char"/>
    <w:basedOn w:val="20"/>
    <w:link w:val="4"/>
    <w:qFormat/>
    <w:uiPriority w:val="0"/>
    <w:rPr>
      <w:rFonts w:ascii="Times New Roman" w:hAnsi="Times New Roman" w:eastAsia="宋体" w:cs="Times New Roman"/>
      <w:b/>
      <w:bCs/>
      <w:sz w:val="32"/>
      <w:szCs w:val="32"/>
    </w:rPr>
  </w:style>
  <w:style w:type="character" w:customStyle="1" w:styleId="34">
    <w:name w:val="xxx"/>
    <w:qFormat/>
    <w:uiPriority w:val="0"/>
    <w:rPr>
      <w:rFonts w:ascii="Times New Roman" w:hAnsi="Times New Roman" w:eastAsia="楷体_GB2312"/>
      <w:i/>
      <w:sz w:val="24"/>
    </w:rPr>
  </w:style>
  <w:style w:type="character" w:customStyle="1" w:styleId="35">
    <w:name w:val="p1"/>
    <w:basedOn w:val="20"/>
    <w:qFormat/>
    <w:uiPriority w:val="0"/>
  </w:style>
  <w:style w:type="character" w:customStyle="1" w:styleId="36">
    <w:name w:val="正文文本缩进 Char"/>
    <w:basedOn w:val="20"/>
    <w:link w:val="6"/>
    <w:qFormat/>
    <w:uiPriority w:val="0"/>
    <w:rPr>
      <w:rFonts w:ascii="宋体" w:hAnsi="宋体" w:cs="宋体"/>
      <w:sz w:val="24"/>
      <w:szCs w:val="24"/>
    </w:rPr>
  </w:style>
  <w:style w:type="character" w:customStyle="1" w:styleId="37">
    <w:name w:val="纯文本 Char"/>
    <w:basedOn w:val="20"/>
    <w:link w:val="7"/>
    <w:qFormat/>
    <w:uiPriority w:val="0"/>
    <w:rPr>
      <w:rFonts w:ascii="宋体" w:hAnsi="Courier New" w:cs="Courier New"/>
      <w:szCs w:val="21"/>
    </w:rPr>
  </w:style>
  <w:style w:type="character" w:customStyle="1" w:styleId="38">
    <w:name w:val="Char Char17"/>
    <w:qFormat/>
    <w:uiPriority w:val="0"/>
    <w:rPr>
      <w:rFonts w:hint="default" w:ascii="Arial" w:hAnsi="Arial" w:eastAsia="黑体" w:cs="Arial"/>
      <w:kern w:val="2"/>
      <w:sz w:val="28"/>
      <w:szCs w:val="32"/>
      <w:lang w:val="en-US" w:eastAsia="zh-CN" w:bidi="ar-SA"/>
    </w:rPr>
  </w:style>
  <w:style w:type="character" w:customStyle="1" w:styleId="39">
    <w:name w:val="正文文本缩进 3 Char"/>
    <w:basedOn w:val="20"/>
    <w:link w:val="14"/>
    <w:qFormat/>
    <w:uiPriority w:val="0"/>
    <w:rPr>
      <w:rFonts w:ascii="仿宋_GB2312" w:eastAsia="仿宋_GB2312"/>
      <w:sz w:val="24"/>
      <w:szCs w:val="24"/>
    </w:rPr>
  </w:style>
  <w:style w:type="character" w:customStyle="1" w:styleId="40">
    <w:name w:val="普通(网站) Char"/>
    <w:basedOn w:val="20"/>
    <w:link w:val="17"/>
    <w:qFormat/>
    <w:locked/>
    <w:uiPriority w:val="0"/>
    <w:rPr>
      <w:rFonts w:ascii="宋体" w:hAnsi="宋体" w:eastAsia="宋体" w:cs="宋体"/>
      <w:kern w:val="0"/>
      <w:sz w:val="24"/>
      <w:szCs w:val="24"/>
    </w:rPr>
  </w:style>
  <w:style w:type="character" w:customStyle="1" w:styleId="41">
    <w:name w:val="测量正文格式"/>
    <w:qFormat/>
    <w:uiPriority w:val="0"/>
    <w:rPr>
      <w:rFonts w:ascii="Times New Roman" w:hAnsi="Times New Roman" w:eastAsia="宋体"/>
      <w:sz w:val="21"/>
      <w:szCs w:val="21"/>
    </w:rPr>
  </w:style>
  <w:style w:type="character" w:customStyle="1" w:styleId="42">
    <w:name w:val="style61"/>
    <w:qFormat/>
    <w:uiPriority w:val="0"/>
    <w:rPr>
      <w:color w:val="000000"/>
      <w:sz w:val="20"/>
      <w:szCs w:val="20"/>
    </w:rPr>
  </w:style>
  <w:style w:type="character" w:customStyle="1" w:styleId="43">
    <w:name w:val="style31"/>
    <w:qFormat/>
    <w:uiPriority w:val="0"/>
    <w:rPr>
      <w:color w:val="003366"/>
    </w:rPr>
  </w:style>
  <w:style w:type="character" w:customStyle="1" w:styleId="44">
    <w:name w:val="日期 Char"/>
    <w:basedOn w:val="20"/>
    <w:link w:val="8"/>
    <w:qFormat/>
    <w:uiPriority w:val="0"/>
    <w:rPr>
      <w:szCs w:val="24"/>
    </w:rPr>
  </w:style>
  <w:style w:type="character" w:customStyle="1" w:styleId="45">
    <w:name w:val="Char Char171"/>
    <w:qFormat/>
    <w:uiPriority w:val="0"/>
    <w:rPr>
      <w:rFonts w:ascii="Arial" w:hAnsi="Arial" w:eastAsia="黑体"/>
      <w:kern w:val="2"/>
      <w:sz w:val="28"/>
      <w:szCs w:val="32"/>
      <w:lang w:val="en-US" w:eastAsia="zh-CN" w:bidi="ar-SA"/>
    </w:rPr>
  </w:style>
  <w:style w:type="character" w:customStyle="1" w:styleId="46">
    <w:name w:val="HTML 预设格式 Char"/>
    <w:basedOn w:val="20"/>
    <w:link w:val="16"/>
    <w:qFormat/>
    <w:uiPriority w:val="0"/>
    <w:rPr>
      <w:rFonts w:ascii="宋体" w:hAnsi="宋体" w:cs="宋体"/>
      <w:sz w:val="24"/>
      <w:szCs w:val="24"/>
    </w:rPr>
  </w:style>
  <w:style w:type="character" w:customStyle="1" w:styleId="47">
    <w:name w:val="正文文本 Char"/>
    <w:basedOn w:val="20"/>
    <w:link w:val="5"/>
    <w:qFormat/>
    <w:uiPriority w:val="0"/>
    <w:rPr>
      <w:szCs w:val="24"/>
    </w:rPr>
  </w:style>
  <w:style w:type="character" w:customStyle="1" w:styleId="48">
    <w:name w:val="style11"/>
    <w:qFormat/>
    <w:uiPriority w:val="0"/>
    <w:rPr>
      <w:color w:val="FFFFFF"/>
      <w:sz w:val="18"/>
      <w:szCs w:val="18"/>
    </w:rPr>
  </w:style>
  <w:style w:type="character" w:customStyle="1" w:styleId="49">
    <w:name w:val="HTML 预设格式 Char1"/>
    <w:basedOn w:val="20"/>
    <w:link w:val="16"/>
    <w:semiHidden/>
    <w:qFormat/>
    <w:uiPriority w:val="99"/>
    <w:rPr>
      <w:rFonts w:ascii="Courier New" w:hAnsi="Courier New" w:cs="Courier New"/>
      <w:sz w:val="20"/>
      <w:szCs w:val="20"/>
    </w:rPr>
  </w:style>
  <w:style w:type="character" w:customStyle="1" w:styleId="50">
    <w:name w:val="日期 Char1"/>
    <w:basedOn w:val="20"/>
    <w:link w:val="8"/>
    <w:semiHidden/>
    <w:qFormat/>
    <w:uiPriority w:val="99"/>
    <w:rPr>
      <w:szCs w:val="24"/>
    </w:rPr>
  </w:style>
  <w:style w:type="character" w:customStyle="1" w:styleId="51">
    <w:name w:val="纯文本 Char1"/>
    <w:basedOn w:val="20"/>
    <w:link w:val="7"/>
    <w:semiHidden/>
    <w:qFormat/>
    <w:uiPriority w:val="99"/>
    <w:rPr>
      <w:rFonts w:ascii="宋体" w:hAnsi="Courier New" w:eastAsia="宋体" w:cs="Courier New"/>
      <w:szCs w:val="21"/>
    </w:rPr>
  </w:style>
  <w:style w:type="character" w:customStyle="1" w:styleId="52">
    <w:name w:val="正文文本缩进 3 Char1"/>
    <w:basedOn w:val="20"/>
    <w:link w:val="14"/>
    <w:semiHidden/>
    <w:qFormat/>
    <w:uiPriority w:val="99"/>
    <w:rPr>
      <w:sz w:val="16"/>
      <w:szCs w:val="16"/>
    </w:rPr>
  </w:style>
  <w:style w:type="character" w:customStyle="1" w:styleId="53">
    <w:name w:val="正文文本缩进 Char1"/>
    <w:basedOn w:val="20"/>
    <w:link w:val="6"/>
    <w:semiHidden/>
    <w:qFormat/>
    <w:uiPriority w:val="99"/>
    <w:rPr>
      <w:szCs w:val="24"/>
    </w:rPr>
  </w:style>
  <w:style w:type="character" w:customStyle="1" w:styleId="54">
    <w:name w:val="正文文本 Char1"/>
    <w:basedOn w:val="20"/>
    <w:link w:val="5"/>
    <w:semiHidden/>
    <w:qFormat/>
    <w:uiPriority w:val="99"/>
    <w:rPr>
      <w:szCs w:val="24"/>
    </w:rPr>
  </w:style>
  <w:style w:type="paragraph" w:customStyle="1" w:styleId="55">
    <w:name w:val="样式 仿宋_GB2312 六号 左"/>
    <w:basedOn w:val="1"/>
    <w:qFormat/>
    <w:uiPriority w:val="0"/>
    <w:pPr>
      <w:jc w:val="left"/>
    </w:pPr>
    <w:rPr>
      <w:rFonts w:ascii="仿宋_GB2312" w:hAnsi="宋体" w:eastAsia="仿宋_GB2312" w:cs="宋体"/>
      <w:sz w:val="15"/>
      <w:szCs w:val="20"/>
    </w:rPr>
  </w:style>
  <w:style w:type="paragraph" w:customStyle="1" w:styleId="56">
    <w:name w:val="p0"/>
    <w:basedOn w:val="1"/>
    <w:qFormat/>
    <w:uiPriority w:val="0"/>
    <w:pPr>
      <w:widowControl/>
    </w:pPr>
    <w:rPr>
      <w:rFonts w:ascii="Times New Roman" w:hAnsi="Times New Roman" w:eastAsia="宋体" w:cs="Times New Roman"/>
      <w:kern w:val="0"/>
      <w:szCs w:val="21"/>
    </w:rPr>
  </w:style>
  <w:style w:type="paragraph" w:customStyle="1" w:styleId="57">
    <w:name w:val="Char Char Char Char Char"/>
    <w:basedOn w:val="1"/>
    <w:qFormat/>
    <w:uiPriority w:val="0"/>
    <w:pPr>
      <w:widowControl/>
      <w:spacing w:after="160" w:line="240" w:lineRule="exact"/>
      <w:jc w:val="left"/>
    </w:pPr>
    <w:rPr>
      <w:rFonts w:ascii="Times New Roman" w:hAnsi="Times New Roman" w:eastAsia="宋体" w:cs="Times New Roman"/>
      <w:szCs w:val="20"/>
    </w:rPr>
  </w:style>
  <w:style w:type="paragraph" w:customStyle="1" w:styleId="58">
    <w:name w:val="Char1 Char Char Char"/>
    <w:basedOn w:val="1"/>
    <w:qFormat/>
    <w:uiPriority w:val="0"/>
    <w:pPr>
      <w:widowControl/>
      <w:spacing w:after="160" w:line="240" w:lineRule="exact"/>
      <w:jc w:val="left"/>
    </w:pPr>
    <w:rPr>
      <w:rFonts w:ascii="Tahoma" w:hAnsi="Tahoma" w:eastAsia="宋体" w:cs="Times New Roman"/>
      <w:sz w:val="24"/>
    </w:rPr>
  </w:style>
  <w:style w:type="paragraph" w:customStyle="1" w:styleId="59">
    <w:name w:val="Char1"/>
    <w:basedOn w:val="1"/>
    <w:qFormat/>
    <w:uiPriority w:val="0"/>
    <w:pPr>
      <w:widowControl/>
      <w:spacing w:after="160" w:line="240" w:lineRule="exact"/>
      <w:jc w:val="left"/>
    </w:pPr>
    <w:rPr>
      <w:rFonts w:ascii="Times New Roman" w:hAnsi="Times New Roman" w:eastAsia="宋体" w:cs="Times New Roman"/>
    </w:rPr>
  </w:style>
  <w:style w:type="paragraph" w:customStyle="1" w:styleId="60">
    <w:name w:val="表"/>
    <w:basedOn w:val="1"/>
    <w:qFormat/>
    <w:uiPriority w:val="0"/>
    <w:pPr>
      <w:spacing w:line="180" w:lineRule="atLeast"/>
      <w:jc w:val="left"/>
    </w:pPr>
    <w:rPr>
      <w:rFonts w:ascii="宋体" w:hAnsi="宋体" w:eastAsia="宋体" w:cs="Times New Roman"/>
      <w:szCs w:val="21"/>
    </w:rPr>
  </w:style>
  <w:style w:type="paragraph" w:customStyle="1" w:styleId="61">
    <w:name w:val="Char Char Char Char"/>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62">
    <w:name w:val="样式2"/>
    <w:basedOn w:val="3"/>
    <w:qFormat/>
    <w:uiPriority w:val="0"/>
    <w:pPr>
      <w:ind w:firstLine="480" w:firstLineChars="150"/>
    </w:pPr>
    <w:rPr>
      <w:rFonts w:ascii="Times New Roman" w:hAnsi="Times New Roman" w:cs="Times New Roman"/>
      <w:b w:val="0"/>
      <w:szCs w:val="32"/>
    </w:rPr>
  </w:style>
  <w:style w:type="paragraph" w:customStyle="1" w:styleId="63">
    <w:name w:val="样式1"/>
    <w:basedOn w:val="1"/>
    <w:qFormat/>
    <w:uiPriority w:val="0"/>
    <w:pPr>
      <w:spacing w:line="360" w:lineRule="auto"/>
      <w:ind w:firstLine="200" w:firstLineChars="200"/>
    </w:pPr>
    <w:rPr>
      <w:rFonts w:ascii="Times New Roman" w:hAnsi="Times New Roman" w:eastAsia="宋体" w:cs="Times New Roman"/>
      <w:sz w:val="24"/>
    </w:rPr>
  </w:style>
  <w:style w:type="paragraph" w:customStyle="1" w:styleId="64">
    <w:name w:val="文"/>
    <w:basedOn w:val="1"/>
    <w:qFormat/>
    <w:uiPriority w:val="0"/>
    <w:pPr>
      <w:spacing w:line="300" w:lineRule="auto"/>
      <w:ind w:firstLine="480" w:firstLineChars="200"/>
    </w:pPr>
    <w:rPr>
      <w:rFonts w:ascii="Times New Roman" w:hAnsi="宋体" w:eastAsia="宋体" w:cs="Times New Roman"/>
      <w:sz w:val="24"/>
    </w:rPr>
  </w:style>
  <w:style w:type="paragraph" w:customStyle="1" w:styleId="65">
    <w:name w:val="Default"/>
    <w:qFormat/>
    <w:uiPriority w:val="0"/>
    <w:pPr>
      <w:widowControl w:val="0"/>
      <w:autoSpaceDE w:val="0"/>
      <w:autoSpaceDN w:val="0"/>
      <w:adjustRightInd w:val="0"/>
    </w:pPr>
    <w:rPr>
      <w:rFonts w:ascii="楷体_GB2312" w:hAnsi="Times New Roman" w:eastAsia="楷体_GB2312" w:cs="楷体_GB2312"/>
      <w:color w:val="000000"/>
      <w:sz w:val="24"/>
      <w:szCs w:val="24"/>
      <w:lang w:val="en-US" w:eastAsia="zh-CN" w:bidi="ar-SA"/>
    </w:rPr>
  </w:style>
  <w:style w:type="paragraph" w:customStyle="1" w:styleId="66">
    <w:name w:val="Char"/>
    <w:basedOn w:val="1"/>
    <w:qFormat/>
    <w:uiPriority w:val="0"/>
    <w:pPr>
      <w:widowControl/>
      <w:spacing w:line="425" w:lineRule="atLeast"/>
      <w:textAlignment w:val="baseline"/>
    </w:pPr>
    <w:rPr>
      <w:rFonts w:ascii="Tahoma" w:hAnsi="Tahoma" w:eastAsia="宋体" w:cs="Times New Roman"/>
      <w:color w:val="000000"/>
      <w:kern w:val="0"/>
      <w:sz w:val="24"/>
      <w:szCs w:val="20"/>
      <w:u w:color="000000"/>
    </w:rPr>
  </w:style>
  <w:style w:type="paragraph" w:customStyle="1" w:styleId="67">
    <w:name w:val="1正文"/>
    <w:basedOn w:val="1"/>
    <w:qFormat/>
    <w:uiPriority w:val="0"/>
    <w:pPr>
      <w:spacing w:line="360" w:lineRule="auto"/>
      <w:ind w:firstLine="480" w:firstLineChars="200"/>
    </w:pPr>
    <w:rPr>
      <w:rFonts w:ascii="Times New Roman" w:hAnsi="Times New Roman" w:eastAsia="宋体" w:cs="宋体"/>
      <w:szCs w:val="20"/>
    </w:rPr>
  </w:style>
  <w:style w:type="paragraph" w:customStyle="1" w:styleId="68">
    <w:name w:val="Char Char Char Char Char Char Char Char Char1 Char"/>
    <w:basedOn w:val="1"/>
    <w:qFormat/>
    <w:uiPriority w:val="0"/>
    <w:rPr>
      <w:rFonts w:ascii="Times New Roman" w:hAnsi="Times New Roman" w:eastAsia="宋体" w:cs="Times New Roman"/>
      <w:szCs w:val="21"/>
    </w:rPr>
  </w:style>
  <w:style w:type="character" w:customStyle="1" w:styleId="69">
    <w:name w:val="Char Char172"/>
    <w:qFormat/>
    <w:uiPriority w:val="0"/>
    <w:rPr>
      <w:rFonts w:ascii="Arial" w:hAnsi="Arial" w:eastAsia="黑体"/>
      <w:kern w:val="2"/>
      <w:sz w:val="28"/>
      <w:szCs w:val="32"/>
      <w:lang w:val="en-US" w:eastAsia="zh-CN" w:bidi="ar-SA"/>
    </w:rPr>
  </w:style>
  <w:style w:type="paragraph" w:customStyle="1" w:styleId="70">
    <w:name w:val="Char Char Char Char Char1"/>
    <w:basedOn w:val="1"/>
    <w:qFormat/>
    <w:uiPriority w:val="0"/>
    <w:pPr>
      <w:widowControl/>
      <w:spacing w:after="160" w:line="240" w:lineRule="exact"/>
      <w:jc w:val="left"/>
    </w:pPr>
    <w:rPr>
      <w:rFonts w:ascii="Times New Roman" w:hAnsi="Times New Roman" w:eastAsia="宋体" w:cs="Times New Roman"/>
      <w:szCs w:val="20"/>
    </w:rPr>
  </w:style>
  <w:style w:type="paragraph" w:customStyle="1" w:styleId="71">
    <w:name w:val="Char1 Char Char Char1"/>
    <w:basedOn w:val="1"/>
    <w:qFormat/>
    <w:uiPriority w:val="0"/>
    <w:pPr>
      <w:widowControl/>
      <w:spacing w:after="160" w:line="240" w:lineRule="exact"/>
      <w:jc w:val="left"/>
    </w:pPr>
    <w:rPr>
      <w:rFonts w:ascii="Tahoma" w:hAnsi="Tahoma" w:eastAsia="宋体" w:cs="Times New Roman"/>
      <w:sz w:val="24"/>
    </w:rPr>
  </w:style>
  <w:style w:type="paragraph" w:customStyle="1" w:styleId="72">
    <w:name w:val="Char Char Char Char1"/>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73">
    <w:name w:val="Char2"/>
    <w:basedOn w:val="1"/>
    <w:qFormat/>
    <w:uiPriority w:val="0"/>
    <w:pPr>
      <w:widowControl/>
      <w:spacing w:line="425" w:lineRule="atLeast"/>
      <w:textAlignment w:val="baseline"/>
    </w:pPr>
    <w:rPr>
      <w:rFonts w:ascii="Tahoma" w:hAnsi="Tahoma" w:eastAsia="宋体" w:cs="Times New Roman"/>
      <w:color w:val="000000"/>
      <w:kern w:val="0"/>
      <w:sz w:val="24"/>
      <w:szCs w:val="20"/>
      <w:u w:color="000000"/>
    </w:rPr>
  </w:style>
  <w:style w:type="paragraph" w:customStyle="1" w:styleId="74">
    <w:name w:val="Char Char Char Char Char Char Char Char Char1 Char1"/>
    <w:basedOn w:val="1"/>
    <w:uiPriority w:val="0"/>
    <w:rPr>
      <w:rFonts w:ascii="Times New Roman" w:hAnsi="Times New Roman" w:eastAsia="宋体" w:cs="Times New Roman"/>
      <w:szCs w:val="21"/>
    </w:rPr>
  </w:style>
  <w:style w:type="table" w:customStyle="1" w:styleId="75">
    <w:name w:val="网格型1"/>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6">
    <w:name w:val="Char Char173"/>
    <w:qFormat/>
    <w:uiPriority w:val="0"/>
    <w:rPr>
      <w:rFonts w:ascii="Arial" w:hAnsi="Arial" w:eastAsia="黑体"/>
      <w:kern w:val="2"/>
      <w:sz w:val="28"/>
      <w:szCs w:val="32"/>
      <w:lang w:val="en-US" w:eastAsia="zh-CN" w:bidi="ar-SA"/>
    </w:rPr>
  </w:style>
  <w:style w:type="paragraph" w:customStyle="1" w:styleId="77">
    <w:name w:val="Char Char Char Char2"/>
    <w:basedOn w:val="1"/>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78">
    <w:name w:val="Char Char Char Char Char Char Char Char Char1 Char2"/>
    <w:basedOn w:val="1"/>
    <w:qFormat/>
    <w:uiPriority w:val="0"/>
    <w:rPr>
      <w:rFonts w:ascii="Times New Roman" w:hAnsi="Times New Roman" w:eastAsia="宋体" w:cs="Times New Roman"/>
      <w:szCs w:val="21"/>
    </w:rPr>
  </w:style>
  <w:style w:type="paragraph" w:customStyle="1" w:styleId="79">
    <w:name w:val="Char Char Char Char Char2"/>
    <w:basedOn w:val="1"/>
    <w:qFormat/>
    <w:uiPriority w:val="0"/>
    <w:pPr>
      <w:widowControl/>
      <w:spacing w:after="160" w:line="240" w:lineRule="exact"/>
      <w:jc w:val="left"/>
    </w:pPr>
    <w:rPr>
      <w:rFonts w:ascii="Times New Roman" w:hAnsi="Times New Roman" w:eastAsia="宋体" w:cs="Times New Roman"/>
      <w:szCs w:val="20"/>
    </w:rPr>
  </w:style>
  <w:style w:type="paragraph" w:customStyle="1" w:styleId="80">
    <w:name w:val="Char1 Char Char Char2"/>
    <w:basedOn w:val="1"/>
    <w:qFormat/>
    <w:uiPriority w:val="0"/>
    <w:pPr>
      <w:widowControl/>
      <w:spacing w:after="160" w:line="240" w:lineRule="exact"/>
      <w:jc w:val="left"/>
    </w:pPr>
    <w:rPr>
      <w:rFonts w:ascii="Tahoma" w:hAnsi="Tahoma" w:eastAsia="宋体" w:cs="Times New Roman"/>
      <w:sz w:val="24"/>
    </w:rPr>
  </w:style>
  <w:style w:type="paragraph" w:customStyle="1" w:styleId="81">
    <w:name w:val="Char3"/>
    <w:basedOn w:val="1"/>
    <w:qFormat/>
    <w:uiPriority w:val="0"/>
    <w:pPr>
      <w:widowControl/>
      <w:spacing w:line="425" w:lineRule="atLeast"/>
      <w:textAlignment w:val="baseline"/>
    </w:pPr>
    <w:rPr>
      <w:rFonts w:ascii="Tahoma" w:hAnsi="Tahoma" w:eastAsia="宋体" w:cs="Times New Roman"/>
      <w:color w:val="000000"/>
      <w:kern w:val="0"/>
      <w:sz w:val="24"/>
      <w:szCs w:val="20"/>
      <w:u w:color="00000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png"/><Relationship Id="rId14" Type="http://schemas.openxmlformats.org/officeDocument/2006/relationships/chart" Target="charts/chart4.xml"/><Relationship Id="rId13" Type="http://schemas.openxmlformats.org/officeDocument/2006/relationships/chart" Target="charts/chart3.xml"/><Relationship Id="rId12" Type="http://schemas.openxmlformats.org/officeDocument/2006/relationships/chart" Target="charts/chart2.xml"/><Relationship Id="rId11" Type="http://schemas.openxmlformats.org/officeDocument/2006/relationships/chart" Target="charts/chart1.xml"/><Relationship Id="rId10" Type="http://schemas.openxmlformats.org/officeDocument/2006/relationships/image" Target="media/image1.png"/><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dLbls>
            <c:delete val="1"/>
          </c:dLbls>
          <c:cat>
            <c:strRef>
              <c:f>Sheet1!$A$1:$A$4</c:f>
              <c:strCache>
                <c:ptCount val="4"/>
                <c:pt idx="0">
                  <c:v>本科及以上</c:v>
                </c:pt>
                <c:pt idx="1">
                  <c:v>高职或大专</c:v>
                </c:pt>
                <c:pt idx="2">
                  <c:v>高中及中职</c:v>
                </c:pt>
                <c:pt idx="3">
                  <c:v>高中以下</c:v>
                </c:pt>
              </c:strCache>
            </c:strRef>
          </c:cat>
          <c:val>
            <c:numRef>
              <c:f>Sheet1!$B$1:$B$4</c:f>
              <c:numCache>
                <c:formatCode>General</c:formatCode>
                <c:ptCount val="4"/>
                <c:pt idx="0">
                  <c:v>18</c:v>
                </c:pt>
                <c:pt idx="1">
                  <c:v>45</c:v>
                </c:pt>
                <c:pt idx="2">
                  <c:v>22</c:v>
                </c:pt>
                <c:pt idx="3">
                  <c:v>15</c:v>
                </c:pt>
              </c:numCache>
            </c:numRef>
          </c:val>
        </c:ser>
        <c:dLbls>
          <c:showLegendKey val="0"/>
          <c:showVal val="0"/>
          <c:showCatName val="0"/>
          <c:showSerName val="0"/>
          <c:showPercent val="0"/>
          <c:showBubbleSize val="0"/>
        </c:dLbls>
        <c:gapWidth val="150"/>
        <c:axId val="123789312"/>
        <c:axId val="123790848"/>
      </c:barChart>
      <c:catAx>
        <c:axId val="123789312"/>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23790848"/>
        <c:crosses val="autoZero"/>
        <c:auto val="1"/>
        <c:lblAlgn val="ctr"/>
        <c:lblOffset val="100"/>
        <c:noMultiLvlLbl val="0"/>
      </c:catAx>
      <c:valAx>
        <c:axId val="123790848"/>
        <c:scaling>
          <c:orientation val="minMax"/>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23789312"/>
        <c:crosses val="autoZero"/>
        <c:crossBetween val="between"/>
      </c:valAx>
      <c:spPr>
        <a:noFill/>
        <a:ln w="25400">
          <a:noFill/>
        </a:ln>
      </c:spPr>
    </c:plotArea>
    <c:plotVisOnly val="1"/>
    <c:dispBlanksAs val="gap"/>
    <c:showDLblsOverMax val="0"/>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844884076990376"/>
          <c:y val="0.0560301837270341"/>
          <c:w val="0.884956036745407"/>
          <c:h val="0.794544692330136"/>
        </c:manualLayout>
      </c:layout>
      <c:barChart>
        <c:barDir val="col"/>
        <c:grouping val="clustered"/>
        <c:varyColors val="0"/>
        <c:ser>
          <c:idx val="0"/>
          <c:order val="0"/>
          <c:invertIfNegative val="0"/>
          <c:dLbls>
            <c:delete val="1"/>
          </c:dLbls>
          <c:cat>
            <c:strRef>
              <c:f>Sheet2!$A$1:$A$5</c:f>
              <c:strCache>
                <c:ptCount val="5"/>
                <c:pt idx="0">
                  <c:v>管理人员</c:v>
                </c:pt>
                <c:pt idx="1">
                  <c:v>工程技术人员</c:v>
                </c:pt>
                <c:pt idx="2">
                  <c:v>销售人员</c:v>
                </c:pt>
                <c:pt idx="3">
                  <c:v>生产人员</c:v>
                </c:pt>
                <c:pt idx="4">
                  <c:v>其他人员</c:v>
                </c:pt>
              </c:strCache>
            </c:strRef>
          </c:cat>
          <c:val>
            <c:numRef>
              <c:f>Sheet2!$B$1:$B$5</c:f>
              <c:numCache>
                <c:formatCode>General</c:formatCode>
                <c:ptCount val="5"/>
                <c:pt idx="0">
                  <c:v>14</c:v>
                </c:pt>
                <c:pt idx="1">
                  <c:v>5</c:v>
                </c:pt>
                <c:pt idx="2">
                  <c:v>6</c:v>
                </c:pt>
                <c:pt idx="3">
                  <c:v>70</c:v>
                </c:pt>
                <c:pt idx="4">
                  <c:v>5</c:v>
                </c:pt>
              </c:numCache>
            </c:numRef>
          </c:val>
        </c:ser>
        <c:dLbls>
          <c:showLegendKey val="0"/>
          <c:showVal val="0"/>
          <c:showCatName val="0"/>
          <c:showSerName val="0"/>
          <c:showPercent val="0"/>
          <c:showBubbleSize val="0"/>
        </c:dLbls>
        <c:gapWidth val="150"/>
        <c:axId val="123900288"/>
        <c:axId val="123901824"/>
      </c:barChart>
      <c:catAx>
        <c:axId val="123900288"/>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23901824"/>
        <c:crosses val="autoZero"/>
        <c:auto val="1"/>
        <c:lblAlgn val="ctr"/>
        <c:lblOffset val="100"/>
        <c:noMultiLvlLbl val="0"/>
      </c:catAx>
      <c:valAx>
        <c:axId val="123901824"/>
        <c:scaling>
          <c:orientation val="minMax"/>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23900288"/>
        <c:crosses val="autoZero"/>
        <c:crossBetween val="between"/>
      </c:valAx>
    </c:plotArea>
    <c:plotVisOnly val="1"/>
    <c:dispBlanksAs val="gap"/>
    <c:showDLblsOverMax val="0"/>
  </c:chart>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dLbls>
            <c:delete val="1"/>
          </c:dLbls>
          <c:cat>
            <c:strRef>
              <c:f>Sheet1!$A$1:$A$4</c:f>
              <c:strCache>
                <c:ptCount val="4"/>
                <c:pt idx="0">
                  <c:v>化工工艺操作</c:v>
                </c:pt>
                <c:pt idx="1">
                  <c:v>化学分析检验</c:v>
                </c:pt>
                <c:pt idx="2">
                  <c:v>化工设备维修</c:v>
                </c:pt>
                <c:pt idx="3">
                  <c:v>生产及质量控制</c:v>
                </c:pt>
              </c:strCache>
            </c:strRef>
          </c:cat>
          <c:val>
            <c:numRef>
              <c:f>Sheet1!$B$1:$B$4</c:f>
              <c:numCache>
                <c:formatCode>General</c:formatCode>
                <c:ptCount val="4"/>
                <c:pt idx="0">
                  <c:v>52</c:v>
                </c:pt>
                <c:pt idx="1">
                  <c:v>10</c:v>
                </c:pt>
                <c:pt idx="2">
                  <c:v>25</c:v>
                </c:pt>
                <c:pt idx="3">
                  <c:v>13</c:v>
                </c:pt>
              </c:numCache>
            </c:numRef>
          </c:val>
        </c:ser>
        <c:dLbls>
          <c:showLegendKey val="0"/>
          <c:showVal val="0"/>
          <c:showCatName val="0"/>
          <c:showSerName val="0"/>
          <c:showPercent val="0"/>
          <c:showBubbleSize val="0"/>
        </c:dLbls>
        <c:gapWidth val="150"/>
        <c:axId val="124211968"/>
        <c:axId val="124213504"/>
      </c:barChart>
      <c:catAx>
        <c:axId val="124211968"/>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24213504"/>
        <c:crosses val="autoZero"/>
        <c:auto val="1"/>
        <c:lblAlgn val="ctr"/>
        <c:lblOffset val="100"/>
        <c:noMultiLvlLbl val="0"/>
      </c:catAx>
      <c:valAx>
        <c:axId val="124213504"/>
        <c:scaling>
          <c:orientation val="minMax"/>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24211968"/>
        <c:crosses val="autoZero"/>
        <c:crossBetween val="between"/>
      </c:valAx>
      <c:spPr>
        <a:noFill/>
        <a:ln w="25400">
          <a:noFill/>
        </a:ln>
      </c:spPr>
    </c:plotArea>
    <c:plotVisOnly val="1"/>
    <c:dispBlanksAs val="gap"/>
    <c:showDLblsOverMax val="0"/>
  </c:chart>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dLbls>
            <c:delete val="1"/>
          </c:dLbls>
          <c:cat>
            <c:strRef>
              <c:f>Sheet2!$A$1:$A$4</c:f>
              <c:strCache>
                <c:ptCount val="4"/>
                <c:pt idx="0">
                  <c:v>分析仪器的使用操作能力</c:v>
                </c:pt>
                <c:pt idx="1">
                  <c:v>设备的使用和维护能力</c:v>
                </c:pt>
                <c:pt idx="2">
                  <c:v>生产操作技能</c:v>
                </c:pt>
                <c:pt idx="3">
                  <c:v>仪表自动化</c:v>
                </c:pt>
              </c:strCache>
            </c:strRef>
          </c:cat>
          <c:val>
            <c:numRef>
              <c:f>Sheet2!$B$1:$B$4</c:f>
              <c:numCache>
                <c:formatCode>General</c:formatCode>
                <c:ptCount val="4"/>
              </c:numCache>
            </c:numRef>
          </c:val>
        </c:ser>
        <c:ser>
          <c:idx val="1"/>
          <c:order val="1"/>
          <c:spPr>
            <a:solidFill>
              <a:srgbClr val="0070C0"/>
            </a:solidFill>
          </c:spPr>
          <c:invertIfNegative val="0"/>
          <c:dLbls>
            <c:delete val="1"/>
          </c:dLbls>
          <c:cat>
            <c:strRef>
              <c:f>Sheet2!$A$1:$A$4</c:f>
              <c:strCache>
                <c:ptCount val="4"/>
                <c:pt idx="0">
                  <c:v>分析仪器的使用操作能力</c:v>
                </c:pt>
                <c:pt idx="1">
                  <c:v>设备的使用和维护能力</c:v>
                </c:pt>
                <c:pt idx="2">
                  <c:v>生产操作技能</c:v>
                </c:pt>
                <c:pt idx="3">
                  <c:v>仪表自动化</c:v>
                </c:pt>
              </c:strCache>
            </c:strRef>
          </c:cat>
          <c:val>
            <c:numRef>
              <c:f>Sheet2!$C$1:$C$4</c:f>
              <c:numCache>
                <c:formatCode>General</c:formatCode>
                <c:ptCount val="4"/>
                <c:pt idx="0">
                  <c:v>70</c:v>
                </c:pt>
                <c:pt idx="1">
                  <c:v>75</c:v>
                </c:pt>
                <c:pt idx="2">
                  <c:v>85</c:v>
                </c:pt>
                <c:pt idx="3">
                  <c:v>64</c:v>
                </c:pt>
              </c:numCache>
            </c:numRef>
          </c:val>
        </c:ser>
        <c:dLbls>
          <c:showLegendKey val="0"/>
          <c:showVal val="0"/>
          <c:showCatName val="0"/>
          <c:showSerName val="0"/>
          <c:showPercent val="0"/>
          <c:showBubbleSize val="0"/>
        </c:dLbls>
        <c:gapWidth val="150"/>
        <c:axId val="124241792"/>
        <c:axId val="124243328"/>
      </c:barChart>
      <c:catAx>
        <c:axId val="124241792"/>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24243328"/>
        <c:crosses val="autoZero"/>
        <c:auto val="1"/>
        <c:lblAlgn val="ctr"/>
        <c:lblOffset val="100"/>
        <c:noMultiLvlLbl val="0"/>
      </c:catAx>
      <c:valAx>
        <c:axId val="124243328"/>
        <c:scaling>
          <c:orientation val="minMax"/>
          <c:min val="40"/>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24241792"/>
        <c:crosses val="autoZero"/>
        <c:crossBetween val="between"/>
        <c:majorUnit val="10"/>
        <c:minorUnit val="5"/>
      </c:valAx>
    </c:plotArea>
    <c:plotVisOnly val="1"/>
    <c:dispBlanksAs val="gap"/>
    <c:showDLblsOverMax val="0"/>
  </c:chart>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16383A-CA79-4EF0-9FB6-5B283C4BCF64}">
  <ds:schemaRefs/>
</ds:datastoreItem>
</file>

<file path=docProps/app.xml><?xml version="1.0" encoding="utf-8"?>
<Properties xmlns="http://schemas.openxmlformats.org/officeDocument/2006/extended-properties" xmlns:vt="http://schemas.openxmlformats.org/officeDocument/2006/docPropsVTypes">
  <Template>Normal</Template>
  <Pages>102</Pages>
  <Words>10597</Words>
  <Characters>60404</Characters>
  <Lines>503</Lines>
  <Paragraphs>141</Paragraphs>
  <TotalTime>221</TotalTime>
  <ScaleCrop>false</ScaleCrop>
  <LinksUpToDate>false</LinksUpToDate>
  <CharactersWithSpaces>70860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2019-08-19T23:47:00Z</dcterms:created>
  <dc:creator>DELL</dc:creator>
  <cp:lastModifiedBy>丫宝妈</cp:lastModifiedBy>
  <dcterms:modified xsi:type="dcterms:W3CDTF">2019-12-04T01:27:36Z</dcterms:modified>
  <cp:revision>160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