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imes New Roman" w:hAnsi="Times New Roman" w:eastAsia="仿宋_GB2312"/>
          <w:bCs/>
          <w:color w:val="auto"/>
          <w:sz w:val="28"/>
          <w:szCs w:val="28"/>
          <w:highlight w:val="none"/>
        </w:rPr>
      </w:pPr>
    </w:p>
    <w:p>
      <w:pPr>
        <w:tabs>
          <w:tab w:val="center" w:pos="4156"/>
        </w:tabs>
        <w:spacing w:line="360" w:lineRule="auto"/>
        <w:jc w:val="center"/>
        <w:rPr>
          <w:rFonts w:ascii="Times New Roman" w:hAnsi="Times New Roman" w:eastAsia="方正行楷简体"/>
          <w:color w:val="auto"/>
          <w:sz w:val="44"/>
          <w:szCs w:val="44"/>
          <w:highlight w:val="none"/>
        </w:rPr>
      </w:pPr>
    </w:p>
    <w:p>
      <w:pPr>
        <w:tabs>
          <w:tab w:val="center" w:pos="4156"/>
        </w:tabs>
        <w:spacing w:line="360" w:lineRule="auto"/>
        <w:jc w:val="center"/>
        <w:rPr>
          <w:rFonts w:hint="eastAsia" w:ascii="Times New Roman" w:hAnsi="Times New Roman" w:eastAsia="方正行楷简体"/>
          <w:color w:val="auto"/>
          <w:sz w:val="44"/>
          <w:szCs w:val="44"/>
          <w:highlight w:val="none"/>
        </w:rPr>
      </w:pPr>
      <w:r>
        <w:rPr>
          <w:rFonts w:hint="eastAsia" w:ascii="Times New Roman" w:hAnsi="Times New Roman" w:eastAsia="幼圆"/>
          <w:b/>
          <w:color w:val="auto"/>
          <w:sz w:val="44"/>
          <w:szCs w:val="44"/>
          <w:highlight w:val="none"/>
        </w:rPr>
        <w:drawing>
          <wp:anchor distT="0" distB="0" distL="114300" distR="114300" simplePos="0" relativeHeight="251658240"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8"/>
                    <a:stretch>
                      <a:fillRect/>
                    </a:stretch>
                  </pic:blipFill>
                  <pic:spPr>
                    <a:xfrm>
                      <a:off x="0" y="0"/>
                      <a:ext cx="539750" cy="539750"/>
                    </a:xfrm>
                    <a:prstGeom prst="rect">
                      <a:avLst/>
                    </a:prstGeom>
                    <a:noFill/>
                    <a:ln>
                      <a:noFill/>
                    </a:ln>
                  </pic:spPr>
                </pic:pic>
              </a:graphicData>
            </a:graphic>
          </wp:anchor>
        </w:drawing>
      </w:r>
      <w:r>
        <w:rPr>
          <w:rFonts w:hint="eastAsia" w:ascii="Times New Roman" w:hAnsi="Times New Roman" w:eastAsia="方正行楷简体"/>
          <w:color w:val="auto"/>
          <w:sz w:val="44"/>
          <w:szCs w:val="44"/>
          <w:highlight w:val="none"/>
        </w:rPr>
        <w:t xml:space="preserve">   晋城职业技术学院</w:t>
      </w:r>
    </w:p>
    <w:p>
      <w:pPr>
        <w:tabs>
          <w:tab w:val="center" w:pos="4156"/>
        </w:tabs>
        <w:spacing w:line="360" w:lineRule="auto"/>
        <w:jc w:val="center"/>
        <w:rPr>
          <w:rFonts w:hint="eastAsia" w:ascii="Times New Roman" w:hAnsi="Times New Roman" w:eastAsia="方正行楷简体"/>
          <w:color w:val="auto"/>
          <w:sz w:val="44"/>
          <w:szCs w:val="44"/>
          <w:highlight w:val="none"/>
        </w:rPr>
      </w:pPr>
    </w:p>
    <w:p>
      <w:pPr>
        <w:tabs>
          <w:tab w:val="center" w:pos="4156"/>
        </w:tabs>
        <w:spacing w:line="360" w:lineRule="auto"/>
        <w:jc w:val="center"/>
        <w:rPr>
          <w:rFonts w:hint="eastAsia" w:ascii="Times New Roman" w:hAnsi="Times New Roman" w:eastAsia="方正行楷简体"/>
          <w:color w:val="auto"/>
          <w:sz w:val="44"/>
          <w:szCs w:val="44"/>
          <w:highlight w:val="none"/>
        </w:rPr>
      </w:pPr>
    </w:p>
    <w:p>
      <w:pPr>
        <w:tabs>
          <w:tab w:val="center" w:pos="4156"/>
        </w:tabs>
        <w:spacing w:line="360" w:lineRule="auto"/>
        <w:jc w:val="center"/>
        <w:rPr>
          <w:rFonts w:ascii="Times New Roman" w:hAnsi="Times New Roman" w:eastAsia="黑体"/>
          <w:color w:val="auto"/>
          <w:spacing w:val="79"/>
          <w:sz w:val="72"/>
          <w:szCs w:val="72"/>
          <w:highlight w:val="none"/>
        </w:rPr>
      </w:pPr>
      <w:r>
        <w:rPr>
          <w:rFonts w:hint="eastAsia" w:ascii="Times New Roman" w:hAnsi="Times New Roman" w:eastAsia="黑体"/>
          <w:color w:val="auto"/>
          <w:spacing w:val="79"/>
          <w:sz w:val="72"/>
          <w:szCs w:val="72"/>
          <w:highlight w:val="none"/>
        </w:rPr>
        <w:t xml:space="preserve"> 煤炭深加工与利用</w:t>
      </w:r>
    </w:p>
    <w:p>
      <w:pPr>
        <w:spacing w:before="312" w:beforeLines="100"/>
        <w:ind w:firstLine="878" w:firstLineChars="100"/>
        <w:rPr>
          <w:rFonts w:ascii="Times New Roman" w:hAnsi="Times New Roman" w:eastAsia="黑体"/>
          <w:color w:val="auto"/>
          <w:spacing w:val="79"/>
          <w:sz w:val="72"/>
          <w:szCs w:val="72"/>
          <w:highlight w:val="none"/>
        </w:rPr>
      </w:pPr>
      <w:r>
        <w:rPr>
          <w:rFonts w:hint="eastAsia" w:ascii="Times New Roman" w:hAnsi="Times New Roman" w:eastAsia="黑体"/>
          <w:color w:val="auto"/>
          <w:spacing w:val="79"/>
          <w:sz w:val="72"/>
          <w:szCs w:val="72"/>
          <w:highlight w:val="none"/>
        </w:rPr>
        <w:t>专业人才培养方案</w:t>
      </w:r>
    </w:p>
    <w:p>
      <w:pPr>
        <w:spacing w:before="312" w:beforeLines="100"/>
        <w:jc w:val="center"/>
        <w:rPr>
          <w:rFonts w:ascii="Times New Roman" w:hAnsi="Times New Roman" w:eastAsia="黑体"/>
          <w:color w:val="auto"/>
          <w:sz w:val="32"/>
          <w:szCs w:val="32"/>
          <w:highlight w:val="none"/>
        </w:rPr>
      </w:pPr>
    </w:p>
    <w:p>
      <w:pPr>
        <w:spacing w:line="360" w:lineRule="auto"/>
        <w:rPr>
          <w:rFonts w:ascii="Times New Roman" w:hAnsi="Times New Roman"/>
          <w:b/>
          <w:color w:val="auto"/>
          <w:sz w:val="32"/>
          <w:szCs w:val="32"/>
          <w:highlight w:val="none"/>
        </w:rPr>
      </w:pPr>
    </w:p>
    <w:p>
      <w:pPr>
        <w:spacing w:line="360" w:lineRule="auto"/>
        <w:rPr>
          <w:rFonts w:ascii="Times New Roman" w:hAnsi="Times New Roman"/>
          <w:b/>
          <w:color w:val="auto"/>
          <w:sz w:val="32"/>
          <w:szCs w:val="32"/>
          <w:highlight w:val="none"/>
        </w:rPr>
      </w:pPr>
    </w:p>
    <w:p>
      <w:pPr>
        <w:spacing w:line="360" w:lineRule="auto"/>
        <w:rPr>
          <w:rFonts w:ascii="Times New Roman" w:hAnsi="Times New Roman"/>
          <w:b/>
          <w:color w:val="auto"/>
          <w:sz w:val="32"/>
          <w:szCs w:val="32"/>
          <w:highlight w:val="none"/>
        </w:rPr>
      </w:pPr>
    </w:p>
    <w:p>
      <w:pPr>
        <w:spacing w:line="360" w:lineRule="auto"/>
        <w:rPr>
          <w:rFonts w:ascii="Times New Roman" w:hAnsi="Times New Roman"/>
          <w:b/>
          <w:color w:val="auto"/>
          <w:sz w:val="32"/>
          <w:szCs w:val="32"/>
          <w:highlight w:val="none"/>
        </w:rPr>
      </w:pPr>
    </w:p>
    <w:p>
      <w:pPr>
        <w:spacing w:line="360" w:lineRule="auto"/>
        <w:rPr>
          <w:rFonts w:ascii="Times New Roman" w:hAnsi="Times New Roman"/>
          <w:b/>
          <w:color w:val="auto"/>
          <w:sz w:val="36"/>
          <w:szCs w:val="36"/>
          <w:highlight w:val="none"/>
        </w:rPr>
      </w:pPr>
    </w:p>
    <w:p>
      <w:pPr>
        <w:spacing w:line="360" w:lineRule="auto"/>
        <w:rPr>
          <w:rFonts w:ascii="Times New Roman" w:hAnsi="Times New Roman"/>
          <w:b/>
          <w:color w:val="auto"/>
          <w:sz w:val="36"/>
          <w:szCs w:val="36"/>
          <w:highlight w:val="none"/>
        </w:rPr>
      </w:pPr>
    </w:p>
    <w:p>
      <w:pPr>
        <w:spacing w:line="360" w:lineRule="auto"/>
        <w:jc w:val="both"/>
        <w:rPr>
          <w:rFonts w:ascii="Times New Roman" w:hAnsi="Times New Roman" w:eastAsia="黑体"/>
          <w:color w:val="auto"/>
          <w:sz w:val="36"/>
          <w:szCs w:val="36"/>
          <w:highlight w:val="none"/>
        </w:rPr>
      </w:pPr>
    </w:p>
    <w:p>
      <w:pPr>
        <w:spacing w:line="360" w:lineRule="auto"/>
        <w:jc w:val="center"/>
        <w:rPr>
          <w:rFonts w:ascii="Times New Roman" w:hAnsi="Times New Roman" w:eastAsia="黑体"/>
          <w:color w:val="auto"/>
          <w:sz w:val="36"/>
          <w:szCs w:val="36"/>
          <w:highlight w:val="none"/>
        </w:rPr>
      </w:pPr>
    </w:p>
    <w:p>
      <w:pPr>
        <w:spacing w:line="360" w:lineRule="auto"/>
        <w:jc w:val="center"/>
        <w:rPr>
          <w:rFonts w:ascii="Times New Roman" w:hAnsi="Times New Roman" w:eastAsia="黑体"/>
          <w:color w:val="auto"/>
          <w:sz w:val="36"/>
          <w:szCs w:val="36"/>
          <w:highlight w:val="none"/>
        </w:rPr>
      </w:pPr>
      <w:r>
        <w:rPr>
          <w:rFonts w:hint="eastAsia" w:ascii="Times New Roman" w:hAnsi="Times New Roman" w:eastAsia="黑体"/>
          <w:color w:val="auto"/>
          <w:sz w:val="36"/>
          <w:szCs w:val="36"/>
          <w:highlight w:val="none"/>
        </w:rPr>
        <w:t>化工系</w:t>
      </w:r>
    </w:p>
    <w:p>
      <w:pPr>
        <w:tabs>
          <w:tab w:val="center" w:pos="4156"/>
        </w:tabs>
        <w:spacing w:line="360" w:lineRule="auto"/>
        <w:jc w:val="center"/>
        <w:rPr>
          <w:rFonts w:ascii="Times New Roman" w:hAnsi="Times New Roman" w:eastAsia="幼圆"/>
          <w:b/>
          <w:color w:val="auto"/>
          <w:sz w:val="52"/>
          <w:szCs w:val="52"/>
          <w:highlight w:val="none"/>
        </w:rPr>
      </w:pPr>
      <w:r>
        <w:rPr>
          <w:rFonts w:hint="eastAsia" w:ascii="Times New Roman" w:hAnsi="Times New Roman" w:eastAsia="黑体"/>
          <w:color w:val="auto"/>
          <w:sz w:val="36"/>
          <w:szCs w:val="36"/>
          <w:highlight w:val="none"/>
        </w:rPr>
        <w:t>2019年</w:t>
      </w:r>
      <w:r>
        <w:rPr>
          <w:rFonts w:hint="eastAsia" w:ascii="Times New Roman" w:hAnsi="Times New Roman" w:eastAsia="黑体"/>
          <w:color w:val="auto"/>
          <w:sz w:val="36"/>
          <w:szCs w:val="36"/>
          <w:highlight w:val="none"/>
          <w:lang w:val="en-US" w:eastAsia="zh-CN"/>
        </w:rPr>
        <w:t>12</w:t>
      </w:r>
      <w:r>
        <w:rPr>
          <w:rFonts w:hint="eastAsia" w:ascii="Times New Roman" w:hAnsi="Times New Roman" w:eastAsia="黑体"/>
          <w:color w:val="auto"/>
          <w:sz w:val="36"/>
          <w:szCs w:val="36"/>
          <w:highlight w:val="none"/>
        </w:rPr>
        <w:t>月</w:t>
      </w:r>
    </w:p>
    <w:p>
      <w:pPr>
        <w:spacing w:before="156" w:beforeLines="50" w:after="156" w:afterLines="50"/>
        <w:jc w:val="center"/>
        <w:rPr>
          <w:rFonts w:ascii="Times New Roman" w:hAnsi="Times New Roman"/>
          <w:b/>
          <w:bCs/>
          <w:color w:val="auto"/>
          <w:sz w:val="44"/>
          <w:szCs w:val="44"/>
          <w:highlight w:val="none"/>
        </w:rPr>
        <w:sectPr>
          <w:footerReference r:id="rId3" w:type="default"/>
          <w:pgSz w:w="11906" w:h="16838"/>
          <w:pgMar w:top="1440" w:right="1800" w:bottom="1440" w:left="1800" w:header="851" w:footer="992" w:gutter="0"/>
          <w:pgNumType w:start="1"/>
          <w:cols w:space="425" w:num="1"/>
          <w:docGrid w:type="lines" w:linePitch="312" w:charSpace="0"/>
        </w:sectPr>
      </w:pPr>
    </w:p>
    <w:p>
      <w:pPr>
        <w:spacing w:before="156" w:beforeLines="50" w:after="156" w:afterLines="50"/>
        <w:jc w:val="center"/>
        <w:rPr>
          <w:rFonts w:ascii="Times New Roman" w:hAnsi="Times New Roman"/>
          <w:b/>
          <w:bCs/>
          <w:color w:val="auto"/>
          <w:sz w:val="44"/>
          <w:szCs w:val="44"/>
          <w:highlight w:val="none"/>
        </w:rPr>
      </w:pPr>
      <w:r>
        <w:rPr>
          <w:rFonts w:ascii="Times New Roman" w:hAnsi="Times New Roman"/>
          <w:b/>
          <w:bCs/>
          <w:color w:val="auto"/>
          <w:sz w:val="44"/>
          <w:szCs w:val="44"/>
          <w:highlight w:val="none"/>
        </w:rPr>
        <w:br w:type="page"/>
      </w:r>
      <w:r>
        <w:rPr>
          <w:rFonts w:hint="eastAsia" w:ascii="Times New Roman" w:hAnsi="Times New Roman"/>
          <w:b/>
          <w:bCs/>
          <w:color w:val="auto"/>
          <w:sz w:val="44"/>
          <w:szCs w:val="44"/>
          <w:highlight w:val="none"/>
        </w:rPr>
        <w:t>目    录</w:t>
      </w:r>
    </w:p>
    <w:p>
      <w:pPr>
        <w:pStyle w:val="12"/>
        <w:tabs>
          <w:tab w:val="right" w:leader="dot" w:pos="8306"/>
        </w:tabs>
        <w:snapToGrid w:val="0"/>
        <w:rPr>
          <w:rFonts w:ascii="华文楷体" w:hAnsi="华文楷体" w:eastAsia="华文楷体" w:cs="华文楷体"/>
          <w:color w:val="auto"/>
          <w:sz w:val="24"/>
          <w:highlight w:val="none"/>
        </w:rPr>
      </w:pP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TOC \o "1-3" \h \u </w:instrText>
      </w:r>
      <w:r>
        <w:rPr>
          <w:rFonts w:hint="eastAsia" w:ascii="华文楷体" w:hAnsi="华文楷体" w:eastAsia="华文楷体" w:cs="华文楷体"/>
          <w:color w:val="auto"/>
          <w:sz w:val="24"/>
          <w:highlight w:val="none"/>
        </w:rPr>
        <w:fldChar w:fldCharType="separate"/>
      </w:r>
      <w:r>
        <w:rPr>
          <w:color w:val="auto"/>
          <w:highlight w:val="none"/>
        </w:rPr>
        <w:fldChar w:fldCharType="begin"/>
      </w:r>
      <w:r>
        <w:rPr>
          <w:color w:val="auto"/>
          <w:highlight w:val="none"/>
        </w:rPr>
        <w:instrText xml:space="preserve"> HYPERLINK \l "_Toc28028" </w:instrText>
      </w:r>
      <w:r>
        <w:rPr>
          <w:color w:val="auto"/>
          <w:highlight w:val="none"/>
        </w:rPr>
        <w:fldChar w:fldCharType="separate"/>
      </w:r>
      <w:r>
        <w:rPr>
          <w:rFonts w:hint="eastAsia" w:ascii="华文楷体" w:hAnsi="华文楷体" w:eastAsia="华文楷体" w:cs="华文楷体"/>
          <w:color w:val="auto"/>
          <w:sz w:val="24"/>
          <w:highlight w:val="none"/>
        </w:rPr>
        <w:t>第一部分 煤炭深加工与利用专业人才培养方案</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_Toc28028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"_Toc17898" </w:instrText>
      </w:r>
      <w:r>
        <w:rPr>
          <w:color w:val="auto"/>
          <w:highlight w:val="none"/>
        </w:rPr>
        <w:fldChar w:fldCharType="separate"/>
      </w:r>
      <w:r>
        <w:rPr>
          <w:rFonts w:hint="eastAsia" w:ascii="华文楷体" w:hAnsi="华文楷体" w:eastAsia="华文楷体" w:cs="华文楷体"/>
          <w:bCs/>
          <w:color w:val="auto"/>
          <w:sz w:val="24"/>
          <w:highlight w:val="none"/>
        </w:rPr>
        <w:t>一、专业名称与代码</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_Toc17898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"_Toc32687" </w:instrText>
      </w:r>
      <w:r>
        <w:rPr>
          <w:color w:val="auto"/>
          <w:highlight w:val="none"/>
        </w:rPr>
        <w:fldChar w:fldCharType="separate"/>
      </w:r>
      <w:r>
        <w:rPr>
          <w:rFonts w:hint="eastAsia" w:ascii="华文楷体" w:hAnsi="华文楷体" w:eastAsia="华文楷体" w:cs="华文楷体"/>
          <w:bCs/>
          <w:color w:val="auto"/>
          <w:sz w:val="24"/>
          <w:highlight w:val="none"/>
        </w:rPr>
        <w:t>二、招生对象</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_Toc32687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"_Toc32098" </w:instrText>
      </w:r>
      <w:r>
        <w:rPr>
          <w:color w:val="auto"/>
          <w:highlight w:val="none"/>
        </w:rPr>
        <w:fldChar w:fldCharType="separate"/>
      </w:r>
      <w:r>
        <w:rPr>
          <w:rFonts w:hint="eastAsia" w:ascii="华文楷体" w:hAnsi="华文楷体" w:eastAsia="华文楷体" w:cs="华文楷体"/>
          <w:bCs/>
          <w:color w:val="auto"/>
          <w:sz w:val="24"/>
          <w:highlight w:val="none"/>
        </w:rPr>
        <w:t>三、学制与学历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_Toc32098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"_Toc26292" </w:instrText>
      </w:r>
      <w:r>
        <w:rPr>
          <w:color w:val="auto"/>
          <w:highlight w:val="none"/>
        </w:rPr>
        <w:fldChar w:fldCharType="separate"/>
      </w:r>
      <w:r>
        <w:rPr>
          <w:rFonts w:hint="eastAsia" w:ascii="华文楷体" w:hAnsi="华文楷体" w:eastAsia="华文楷体" w:cs="华文楷体"/>
          <w:bCs/>
          <w:color w:val="auto"/>
          <w:sz w:val="24"/>
          <w:highlight w:val="none"/>
        </w:rPr>
        <w:t>四、就业面向</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_Toc26292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"_Toc6447" </w:instrText>
      </w:r>
      <w:r>
        <w:rPr>
          <w:color w:val="auto"/>
          <w:highlight w:val="none"/>
        </w:rPr>
        <w:fldChar w:fldCharType="separate"/>
      </w:r>
      <w:r>
        <w:rPr>
          <w:rFonts w:hint="eastAsia" w:ascii="华文楷体" w:hAnsi="华文楷体" w:eastAsia="华文楷体" w:cs="华文楷体"/>
          <w:bCs/>
          <w:color w:val="auto"/>
          <w:sz w:val="24"/>
          <w:highlight w:val="none"/>
        </w:rPr>
        <w:t>五、培养目标与规格要求</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_Toc6447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"_Toc13653" </w:instrText>
      </w:r>
      <w:r>
        <w:rPr>
          <w:color w:val="auto"/>
          <w:highlight w:val="none"/>
        </w:rPr>
        <w:fldChar w:fldCharType="separate"/>
      </w:r>
      <w:r>
        <w:rPr>
          <w:rFonts w:hint="eastAsia" w:ascii="华文楷体" w:hAnsi="华文楷体" w:eastAsia="华文楷体" w:cs="华文楷体"/>
          <w:bCs/>
          <w:color w:val="auto"/>
          <w:sz w:val="24"/>
          <w:highlight w:val="none"/>
        </w:rPr>
        <w:t>六、职业资格证书</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_Toc13653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"_Toc2382" </w:instrText>
      </w:r>
      <w:r>
        <w:rPr>
          <w:color w:val="auto"/>
          <w:highlight w:val="none"/>
        </w:rPr>
        <w:fldChar w:fldCharType="separate"/>
      </w:r>
      <w:r>
        <w:rPr>
          <w:rFonts w:hint="eastAsia" w:ascii="华文楷体" w:hAnsi="华文楷体" w:eastAsia="华文楷体" w:cs="华文楷体"/>
          <w:bCs/>
          <w:color w:val="auto"/>
          <w:sz w:val="24"/>
          <w:highlight w:val="none"/>
        </w:rPr>
        <w:t>七、课程体系与核心课程（教学内容）</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_Toc2382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"_Toc2707" </w:instrText>
      </w:r>
      <w:r>
        <w:rPr>
          <w:color w:val="auto"/>
          <w:highlight w:val="none"/>
        </w:rPr>
        <w:fldChar w:fldCharType="separate"/>
      </w:r>
      <w:r>
        <w:rPr>
          <w:rFonts w:hint="eastAsia" w:ascii="华文楷体" w:hAnsi="华文楷体" w:eastAsia="华文楷体" w:cs="华文楷体"/>
          <w:color w:val="auto"/>
          <w:sz w:val="24"/>
          <w:highlight w:val="none"/>
        </w:rPr>
        <w:t>八、教学方法、手段和教学评价</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_Toc2707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20</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"_Toc27622" </w:instrText>
      </w:r>
      <w:r>
        <w:rPr>
          <w:color w:val="auto"/>
          <w:highlight w:val="none"/>
        </w:rPr>
        <w:fldChar w:fldCharType="separate"/>
      </w:r>
      <w:r>
        <w:rPr>
          <w:rFonts w:hint="eastAsia" w:ascii="华文楷体" w:hAnsi="华文楷体" w:eastAsia="华文楷体" w:cs="华文楷体"/>
          <w:color w:val="auto"/>
          <w:sz w:val="24"/>
          <w:highlight w:val="none"/>
        </w:rPr>
        <w:t>九、毕业要求</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_Toc27622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23</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"_Toc17017" </w:instrText>
      </w:r>
      <w:r>
        <w:rPr>
          <w:color w:val="auto"/>
          <w:highlight w:val="none"/>
        </w:rPr>
        <w:fldChar w:fldCharType="separate"/>
      </w:r>
      <w:r>
        <w:rPr>
          <w:rFonts w:hint="eastAsia" w:ascii="华文楷体" w:hAnsi="华文楷体" w:eastAsia="华文楷体" w:cs="华文楷体"/>
          <w:color w:val="auto"/>
          <w:sz w:val="24"/>
          <w:highlight w:val="none"/>
        </w:rPr>
        <w:t>十、学习深造建议</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_Toc17017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24</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"_Toc4432" </w:instrText>
      </w:r>
      <w:r>
        <w:rPr>
          <w:color w:val="auto"/>
          <w:highlight w:val="none"/>
        </w:rPr>
        <w:fldChar w:fldCharType="separate"/>
      </w:r>
      <w:r>
        <w:rPr>
          <w:rFonts w:hint="eastAsia" w:ascii="华文楷体" w:hAnsi="华文楷体" w:eastAsia="华文楷体" w:cs="华文楷体"/>
          <w:color w:val="auto"/>
          <w:sz w:val="24"/>
          <w:highlight w:val="none"/>
        </w:rPr>
        <w:t>第二部分 煤</w:t>
      </w:r>
      <w:r>
        <w:rPr>
          <w:rFonts w:hint="eastAsia" w:ascii="华文楷体" w:hAnsi="华文楷体" w:eastAsia="华文楷体" w:cs="华文楷体"/>
          <w:color w:val="auto"/>
          <w:sz w:val="24"/>
          <w:highlight w:val="none"/>
          <w:lang w:val="en-US" w:eastAsia="zh-CN"/>
        </w:rPr>
        <w:t>炭深加工与利用</w:t>
      </w:r>
      <w:r>
        <w:rPr>
          <w:rFonts w:hint="eastAsia" w:ascii="华文楷体" w:hAnsi="华文楷体" w:eastAsia="华文楷体" w:cs="华文楷体"/>
          <w:color w:val="auto"/>
          <w:sz w:val="24"/>
          <w:highlight w:val="none"/>
        </w:rPr>
        <w:t>专业人才需求调研报告</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_Toc4432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25</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"_Toc13638" </w:instrText>
      </w:r>
      <w:r>
        <w:rPr>
          <w:color w:val="auto"/>
          <w:highlight w:val="none"/>
        </w:rPr>
        <w:fldChar w:fldCharType="separate"/>
      </w:r>
      <w:r>
        <w:rPr>
          <w:rFonts w:hint="eastAsia" w:ascii="华文楷体" w:hAnsi="华文楷体" w:eastAsia="华文楷体" w:cs="华文楷体"/>
          <w:bCs/>
          <w:color w:val="auto"/>
          <w:sz w:val="24"/>
          <w:highlight w:val="none"/>
        </w:rPr>
        <w:t>一、专业人才需求与专业建设调研基本思路与方法</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_Toc13638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25</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"_Toc25281" </w:instrText>
      </w:r>
      <w:r>
        <w:rPr>
          <w:color w:val="auto"/>
          <w:highlight w:val="none"/>
        </w:rPr>
        <w:fldChar w:fldCharType="separate"/>
      </w:r>
      <w:r>
        <w:rPr>
          <w:rFonts w:hint="eastAsia" w:ascii="华文楷体" w:hAnsi="华文楷体" w:eastAsia="华文楷体" w:cs="华文楷体"/>
          <w:bCs/>
          <w:color w:val="auto"/>
          <w:sz w:val="24"/>
          <w:highlight w:val="none"/>
        </w:rPr>
        <w:t>二、专业人才需求调研</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_Toc25281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26</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"_Toc16000" </w:instrText>
      </w:r>
      <w:r>
        <w:rPr>
          <w:color w:val="auto"/>
          <w:highlight w:val="none"/>
        </w:rPr>
        <w:fldChar w:fldCharType="separate"/>
      </w:r>
      <w:r>
        <w:rPr>
          <w:rFonts w:hint="eastAsia" w:ascii="华文楷体" w:hAnsi="华文楷体" w:eastAsia="华文楷体" w:cs="华文楷体"/>
          <w:bCs/>
          <w:color w:val="auto"/>
          <w:sz w:val="24"/>
          <w:highlight w:val="none"/>
        </w:rPr>
        <w:t>三、专业现状调研</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_Toc16000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29</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"_Toc27426" </w:instrText>
      </w:r>
      <w:r>
        <w:rPr>
          <w:color w:val="auto"/>
          <w:highlight w:val="none"/>
        </w:rPr>
        <w:fldChar w:fldCharType="separate"/>
      </w:r>
      <w:r>
        <w:rPr>
          <w:rFonts w:hint="eastAsia" w:ascii="华文楷体" w:hAnsi="华文楷体" w:eastAsia="华文楷体" w:cs="华文楷体"/>
          <w:bCs/>
          <w:color w:val="auto"/>
          <w:sz w:val="24"/>
          <w:highlight w:val="none"/>
        </w:rPr>
        <w:t>四、专业就业面向</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_Toc27426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32</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"_Toc8269" </w:instrText>
      </w:r>
      <w:r>
        <w:rPr>
          <w:color w:val="auto"/>
          <w:highlight w:val="none"/>
        </w:rPr>
        <w:fldChar w:fldCharType="separate"/>
      </w:r>
      <w:r>
        <w:rPr>
          <w:rFonts w:hint="eastAsia" w:ascii="华文楷体" w:hAnsi="华文楷体" w:eastAsia="华文楷体" w:cs="华文楷体"/>
          <w:bCs/>
          <w:color w:val="auto"/>
          <w:sz w:val="24"/>
          <w:highlight w:val="none"/>
        </w:rPr>
        <w:t>五、专业教学改革建议</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_Toc8269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33</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"_Toc8067" </w:instrText>
      </w:r>
      <w:r>
        <w:rPr>
          <w:color w:val="auto"/>
          <w:highlight w:val="none"/>
        </w:rPr>
        <w:fldChar w:fldCharType="separate"/>
      </w:r>
      <w:r>
        <w:rPr>
          <w:rFonts w:hint="eastAsia" w:ascii="华文楷体" w:hAnsi="华文楷体" w:eastAsia="华文楷体" w:cs="华文楷体"/>
          <w:color w:val="auto"/>
          <w:sz w:val="24"/>
          <w:highlight w:val="none"/>
        </w:rPr>
        <w:t>第三部分 煤炭深加工与利用专业职业岗位与工作任务分析报告</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_Toc8067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37</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"_Toc9718" </w:instrText>
      </w:r>
      <w:r>
        <w:rPr>
          <w:color w:val="auto"/>
          <w:highlight w:val="none"/>
        </w:rPr>
        <w:fldChar w:fldCharType="separate"/>
      </w:r>
      <w:r>
        <w:rPr>
          <w:rFonts w:hint="eastAsia" w:ascii="华文楷体" w:hAnsi="华文楷体" w:eastAsia="华文楷体" w:cs="华文楷体"/>
          <w:bCs/>
          <w:color w:val="auto"/>
          <w:sz w:val="24"/>
          <w:highlight w:val="none"/>
        </w:rPr>
        <w:t>一、就业岗位</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_Toc9718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37</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"_Toc28085" </w:instrText>
      </w:r>
      <w:r>
        <w:rPr>
          <w:color w:val="auto"/>
          <w:highlight w:val="none"/>
        </w:rPr>
        <w:fldChar w:fldCharType="separate"/>
      </w:r>
      <w:r>
        <w:rPr>
          <w:rFonts w:hint="eastAsia" w:ascii="华文楷体" w:hAnsi="华文楷体" w:eastAsia="华文楷体" w:cs="华文楷体"/>
          <w:bCs/>
          <w:color w:val="auto"/>
          <w:sz w:val="24"/>
          <w:highlight w:val="none"/>
        </w:rPr>
        <w:t>二、职业岗位分析</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_Toc28085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37</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"_Toc31206" </w:instrText>
      </w:r>
      <w:r>
        <w:rPr>
          <w:color w:val="auto"/>
          <w:highlight w:val="none"/>
        </w:rPr>
        <w:fldChar w:fldCharType="separate"/>
      </w:r>
      <w:r>
        <w:rPr>
          <w:rFonts w:hint="eastAsia" w:ascii="华文楷体" w:hAnsi="华文楷体" w:eastAsia="华文楷体" w:cs="华文楷体"/>
          <w:bCs/>
          <w:color w:val="auto"/>
          <w:sz w:val="24"/>
          <w:highlight w:val="none"/>
        </w:rPr>
        <w:t>三、课程安排</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_Toc31206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39</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"_Toc2617" </w:instrText>
      </w:r>
      <w:r>
        <w:rPr>
          <w:color w:val="auto"/>
          <w:highlight w:val="none"/>
        </w:rPr>
        <w:fldChar w:fldCharType="separate"/>
      </w:r>
      <w:r>
        <w:rPr>
          <w:rFonts w:hint="eastAsia" w:ascii="华文楷体" w:hAnsi="华文楷体" w:eastAsia="华文楷体" w:cs="华文楷体"/>
          <w:color w:val="auto"/>
          <w:sz w:val="24"/>
          <w:highlight w:val="none"/>
        </w:rPr>
        <w:t>第四部分 煤炭深加工与利用专业核心课程标准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_Toc2617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41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"_Toc23806" </w:instrText>
      </w:r>
      <w:r>
        <w:rPr>
          <w:color w:val="auto"/>
          <w:highlight w:val="none"/>
        </w:rPr>
        <w:fldChar w:fldCharType="separate"/>
      </w:r>
      <w:r>
        <w:rPr>
          <w:rFonts w:hint="eastAsia" w:ascii="华文楷体" w:hAnsi="华文楷体" w:eastAsia="华文楷体" w:cs="华文楷体"/>
          <w:bCs/>
          <w:color w:val="auto"/>
          <w:sz w:val="24"/>
          <w:highlight w:val="none"/>
        </w:rPr>
        <w:t>一、《化工单元操作》核心课程标准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_Toc23806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41</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"_Toc12836" </w:instrText>
      </w:r>
      <w:r>
        <w:rPr>
          <w:color w:val="auto"/>
          <w:highlight w:val="none"/>
        </w:rPr>
        <w:fldChar w:fldCharType="separate"/>
      </w:r>
      <w:r>
        <w:rPr>
          <w:rFonts w:hint="eastAsia" w:ascii="华文楷体" w:hAnsi="华文楷体" w:eastAsia="华文楷体" w:cs="华文楷体"/>
          <w:bCs/>
          <w:color w:val="auto"/>
          <w:sz w:val="24"/>
          <w:highlight w:val="none"/>
        </w:rPr>
        <w:t>二、《洁净煤技术》核心课程标准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_Toc12836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48</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"_Toc68" </w:instrText>
      </w:r>
      <w:r>
        <w:rPr>
          <w:color w:val="auto"/>
          <w:highlight w:val="none"/>
        </w:rPr>
        <w:fldChar w:fldCharType="separate"/>
      </w:r>
      <w:r>
        <w:rPr>
          <w:rFonts w:hint="eastAsia" w:ascii="华文楷体" w:hAnsi="华文楷体" w:eastAsia="华文楷体" w:cs="华文楷体"/>
          <w:bCs/>
          <w:color w:val="auto"/>
          <w:sz w:val="24"/>
          <w:highlight w:val="none"/>
        </w:rPr>
        <w:t>三、《化工安全技术》核心课程标准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_Toc68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52</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"_Toc19293" </w:instrText>
      </w:r>
      <w:r>
        <w:rPr>
          <w:color w:val="auto"/>
          <w:highlight w:val="none"/>
        </w:rPr>
        <w:fldChar w:fldCharType="separate"/>
      </w:r>
      <w:r>
        <w:rPr>
          <w:rFonts w:hint="eastAsia" w:ascii="华文楷体" w:hAnsi="华文楷体" w:eastAsia="华文楷体" w:cs="华文楷体"/>
          <w:bCs/>
          <w:color w:val="auto"/>
          <w:sz w:val="24"/>
          <w:highlight w:val="none"/>
        </w:rPr>
        <w:t>四、《煤化学》核心课程标准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_Toc19293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58</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"_Toc12050" </w:instrText>
      </w:r>
      <w:r>
        <w:rPr>
          <w:color w:val="auto"/>
          <w:highlight w:val="none"/>
        </w:rPr>
        <w:fldChar w:fldCharType="separate"/>
      </w:r>
      <w:r>
        <w:rPr>
          <w:rFonts w:hint="eastAsia" w:ascii="华文楷体" w:hAnsi="华文楷体" w:eastAsia="华文楷体" w:cs="华文楷体"/>
          <w:bCs/>
          <w:color w:val="auto"/>
          <w:sz w:val="24"/>
          <w:highlight w:val="none"/>
        </w:rPr>
        <w:t>五、《现代煤化工技术》核心课程标准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_Toc12050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63</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"_Toc17571" </w:instrText>
      </w:r>
      <w:r>
        <w:rPr>
          <w:color w:val="auto"/>
          <w:highlight w:val="none"/>
        </w:rPr>
        <w:fldChar w:fldCharType="separate"/>
      </w:r>
      <w:r>
        <w:rPr>
          <w:rFonts w:hint="eastAsia" w:ascii="华文楷体" w:hAnsi="华文楷体" w:eastAsia="华文楷体" w:cs="华文楷体"/>
          <w:bCs/>
          <w:color w:val="auto"/>
          <w:sz w:val="24"/>
          <w:highlight w:val="none"/>
        </w:rPr>
        <w:t>六、《煤气化工艺》核心课程标准</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_Toc17571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67</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2"/>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"_Toc21203" </w:instrText>
      </w:r>
      <w:r>
        <w:rPr>
          <w:color w:val="auto"/>
          <w:highlight w:val="none"/>
        </w:rPr>
        <w:fldChar w:fldCharType="separate"/>
      </w:r>
      <w:r>
        <w:rPr>
          <w:rFonts w:hint="eastAsia" w:ascii="华文楷体" w:hAnsi="华文楷体" w:eastAsia="华文楷体" w:cs="华文楷体"/>
          <w:color w:val="auto"/>
          <w:sz w:val="24"/>
          <w:highlight w:val="none"/>
        </w:rPr>
        <w:t>第五部分 煤炭深加工与利用专业教学实施保障方案</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_Toc21203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72</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"_Toc18637" </w:instrText>
      </w:r>
      <w:r>
        <w:rPr>
          <w:color w:val="auto"/>
          <w:highlight w:val="none"/>
        </w:rPr>
        <w:fldChar w:fldCharType="separate"/>
      </w:r>
      <w:r>
        <w:rPr>
          <w:rFonts w:hint="eastAsia" w:ascii="华文楷体" w:hAnsi="华文楷体" w:eastAsia="华文楷体" w:cs="华文楷体"/>
          <w:bCs/>
          <w:color w:val="auto"/>
          <w:sz w:val="24"/>
          <w:highlight w:val="none"/>
        </w:rPr>
        <w:t>一、人才培养方案的实施与保障</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_Toc18637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72</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"_Toc23429" </w:instrText>
      </w:r>
      <w:r>
        <w:rPr>
          <w:color w:val="auto"/>
          <w:highlight w:val="none"/>
        </w:rPr>
        <w:fldChar w:fldCharType="separate"/>
      </w:r>
      <w:r>
        <w:rPr>
          <w:rFonts w:hint="eastAsia" w:ascii="华文楷体" w:hAnsi="华文楷体" w:eastAsia="华文楷体" w:cs="华文楷体"/>
          <w:bCs/>
          <w:color w:val="auto"/>
          <w:sz w:val="24"/>
          <w:highlight w:val="none"/>
        </w:rPr>
        <w:t>二、双师教学团队建设的保障</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_Toc23429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74</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"_Toc15660" </w:instrText>
      </w:r>
      <w:r>
        <w:rPr>
          <w:color w:val="auto"/>
          <w:highlight w:val="none"/>
        </w:rPr>
        <w:fldChar w:fldCharType="separate"/>
      </w:r>
      <w:r>
        <w:rPr>
          <w:rFonts w:hint="eastAsia" w:ascii="华文楷体" w:hAnsi="华文楷体" w:eastAsia="华文楷体" w:cs="华文楷体"/>
          <w:bCs/>
          <w:color w:val="auto"/>
          <w:sz w:val="24"/>
          <w:highlight w:val="none"/>
        </w:rPr>
        <w:t>三、校企合作，共建校内外实习实训基地措施</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_Toc15660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79</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"_Toc16110" </w:instrText>
      </w:r>
      <w:r>
        <w:rPr>
          <w:color w:val="auto"/>
          <w:highlight w:val="none"/>
        </w:rPr>
        <w:fldChar w:fldCharType="separate"/>
      </w:r>
      <w:r>
        <w:rPr>
          <w:rFonts w:hint="eastAsia" w:ascii="华文楷体" w:hAnsi="华文楷体" w:eastAsia="华文楷体" w:cs="华文楷体"/>
          <w:bCs/>
          <w:color w:val="auto"/>
          <w:sz w:val="24"/>
          <w:highlight w:val="none"/>
        </w:rPr>
        <w:t>四、教学监督与评价机制保障</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_Toc16110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82</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pStyle w:val="13"/>
        <w:tabs>
          <w:tab w:val="right" w:leader="dot" w:pos="8306"/>
        </w:tabs>
        <w:snapToGrid w:val="0"/>
        <w:rPr>
          <w:rFonts w:ascii="华文楷体" w:hAnsi="华文楷体" w:eastAsia="华文楷体" w:cs="华文楷体"/>
          <w:color w:val="auto"/>
          <w:sz w:val="24"/>
          <w:highlight w:val="none"/>
        </w:rPr>
      </w:pPr>
      <w:r>
        <w:rPr>
          <w:color w:val="auto"/>
          <w:highlight w:val="none"/>
        </w:rPr>
        <w:fldChar w:fldCharType="begin"/>
      </w:r>
      <w:r>
        <w:rPr>
          <w:color w:val="auto"/>
          <w:highlight w:val="none"/>
        </w:rPr>
        <w:instrText xml:space="preserve"> HYPERLINK \l "_Toc12456" </w:instrText>
      </w:r>
      <w:r>
        <w:rPr>
          <w:color w:val="auto"/>
          <w:highlight w:val="none"/>
        </w:rPr>
        <w:fldChar w:fldCharType="separate"/>
      </w:r>
      <w:r>
        <w:rPr>
          <w:rFonts w:hint="eastAsia" w:ascii="华文楷体" w:hAnsi="华文楷体" w:eastAsia="华文楷体" w:cs="华文楷体"/>
          <w:bCs/>
          <w:color w:val="auto"/>
          <w:sz w:val="24"/>
          <w:highlight w:val="none"/>
        </w:rPr>
        <w:t>五、机制保障</w:t>
      </w:r>
      <w:r>
        <w:rPr>
          <w:rFonts w:hint="eastAsia" w:ascii="华文楷体" w:hAnsi="华文楷体" w:eastAsia="华文楷体" w:cs="华文楷体"/>
          <w:color w:val="auto"/>
          <w:sz w:val="24"/>
          <w:highlight w:val="none"/>
        </w:rPr>
        <w:tab/>
      </w:r>
      <w:r>
        <w:rPr>
          <w:rFonts w:hint="eastAsia" w:ascii="华文楷体" w:hAnsi="华文楷体" w:eastAsia="华文楷体" w:cs="华文楷体"/>
          <w:color w:val="auto"/>
          <w:sz w:val="24"/>
          <w:highlight w:val="none"/>
        </w:rPr>
        <w:fldChar w:fldCharType="begin"/>
      </w:r>
      <w:r>
        <w:rPr>
          <w:rFonts w:hint="eastAsia" w:ascii="华文楷体" w:hAnsi="华文楷体" w:eastAsia="华文楷体" w:cs="华文楷体"/>
          <w:color w:val="auto"/>
          <w:sz w:val="24"/>
          <w:highlight w:val="none"/>
        </w:rPr>
        <w:instrText xml:space="preserve"> PAGEREF _Toc12456 </w:instrText>
      </w:r>
      <w:r>
        <w:rPr>
          <w:rFonts w:hint="eastAsia" w:ascii="华文楷体" w:hAnsi="华文楷体" w:eastAsia="华文楷体" w:cs="华文楷体"/>
          <w:color w:val="auto"/>
          <w:sz w:val="24"/>
          <w:highlight w:val="none"/>
        </w:rPr>
        <w:fldChar w:fldCharType="separate"/>
      </w:r>
      <w:r>
        <w:rPr>
          <w:rFonts w:hint="eastAsia" w:ascii="华文楷体" w:hAnsi="华文楷体" w:eastAsia="华文楷体" w:cs="华文楷体"/>
          <w:color w:val="auto"/>
          <w:sz w:val="24"/>
          <w:highlight w:val="none"/>
        </w:rPr>
        <w:t>83</w:t>
      </w:r>
      <w:r>
        <w:rPr>
          <w:rFonts w:hint="eastAsia" w:ascii="华文楷体" w:hAnsi="华文楷体" w:eastAsia="华文楷体" w:cs="华文楷体"/>
          <w:color w:val="auto"/>
          <w:sz w:val="24"/>
          <w:highlight w:val="none"/>
        </w:rPr>
        <w:fldChar w:fldCharType="end"/>
      </w:r>
      <w:r>
        <w:rPr>
          <w:rFonts w:hint="eastAsia" w:ascii="华文楷体" w:hAnsi="华文楷体" w:eastAsia="华文楷体" w:cs="华文楷体"/>
          <w:color w:val="auto"/>
          <w:sz w:val="24"/>
          <w:highlight w:val="none"/>
        </w:rPr>
        <w:fldChar w:fldCharType="end"/>
      </w:r>
    </w:p>
    <w:p>
      <w:pPr>
        <w:snapToGrid w:val="0"/>
        <w:rPr>
          <w:rFonts w:hint="eastAsia" w:ascii="华文楷体" w:hAnsi="华文楷体" w:eastAsia="华文楷体" w:cs="华文楷体"/>
          <w:color w:val="auto"/>
          <w:sz w:val="24"/>
          <w:highlight w:val="none"/>
        </w:rPr>
        <w:sectPr>
          <w:pgSz w:w="11906" w:h="16838"/>
          <w:pgMar w:top="1440" w:right="1800" w:bottom="1440" w:left="1800" w:header="851" w:footer="992" w:gutter="0"/>
          <w:pgNumType w:start="1"/>
          <w:cols w:space="425" w:num="1"/>
          <w:docGrid w:type="lines" w:linePitch="312" w:charSpace="0"/>
        </w:sectPr>
      </w:pPr>
      <w:r>
        <w:rPr>
          <w:rFonts w:hint="eastAsia" w:ascii="华文楷体" w:hAnsi="华文楷体" w:eastAsia="华文楷体" w:cs="华文楷体"/>
          <w:color w:val="auto"/>
          <w:sz w:val="24"/>
          <w:highlight w:val="none"/>
        </w:rPr>
        <w:fldChar w:fldCharType="end"/>
      </w:r>
      <w:bookmarkStart w:id="0" w:name="_Toc28028"/>
    </w:p>
    <w:p>
      <w:pPr>
        <w:snapToGrid w:val="0"/>
        <w:rPr>
          <w:rFonts w:hint="eastAsia" w:ascii="华文楷体" w:hAnsi="华文楷体" w:eastAsia="华文楷体" w:cs="华文楷体"/>
          <w:color w:val="auto"/>
          <w:sz w:val="24"/>
          <w:highlight w:val="none"/>
        </w:rPr>
      </w:pPr>
    </w:p>
    <w:p>
      <w:pPr>
        <w:rPr>
          <w:color w:val="auto"/>
          <w:highlight w:val="none"/>
        </w:rPr>
      </w:pPr>
    </w:p>
    <w:p>
      <w:pPr>
        <w:rPr>
          <w:color w:val="auto"/>
          <w:highlight w:val="none"/>
        </w:rPr>
      </w:pPr>
    </w:p>
    <w:p>
      <w:pPr>
        <w:pStyle w:val="2"/>
        <w:spacing w:before="0" w:after="0" w:line="360" w:lineRule="auto"/>
        <w:ind w:firstLine="360" w:firstLineChars="100"/>
        <w:rPr>
          <w:rFonts w:ascii="Times New Roman" w:hAnsi="Times New Roman" w:eastAsia="黑体" w:cs="黑体"/>
          <w:b w:val="0"/>
          <w:bCs w:val="0"/>
          <w:color w:val="auto"/>
          <w:sz w:val="36"/>
          <w:szCs w:val="36"/>
          <w:highlight w:val="none"/>
        </w:rPr>
        <w:sectPr>
          <w:pgSz w:w="11906" w:h="16838"/>
          <w:pgMar w:top="1440" w:right="1800" w:bottom="1440" w:left="1800" w:header="851" w:footer="992" w:gutter="0"/>
          <w:pgNumType w:start="1"/>
          <w:cols w:space="425" w:num="1"/>
          <w:docGrid w:type="lines" w:linePitch="312" w:charSpace="0"/>
        </w:sectPr>
      </w:pPr>
    </w:p>
    <w:p>
      <w:pPr>
        <w:pStyle w:val="2"/>
        <w:spacing w:before="0" w:after="0" w:line="360" w:lineRule="auto"/>
        <w:ind w:firstLine="360" w:firstLineChars="100"/>
        <w:rPr>
          <w:rFonts w:ascii="Times New Roman" w:hAnsi="Times New Roman" w:eastAsia="黑体" w:cs="黑体"/>
          <w:b w:val="0"/>
          <w:bCs w:val="0"/>
          <w:color w:val="auto"/>
          <w:sz w:val="36"/>
          <w:szCs w:val="36"/>
          <w:highlight w:val="none"/>
        </w:rPr>
      </w:pPr>
      <w:r>
        <w:rPr>
          <w:rFonts w:hint="eastAsia" w:ascii="Times New Roman" w:hAnsi="Times New Roman" w:eastAsia="黑体" w:cs="黑体"/>
          <w:b w:val="0"/>
          <w:bCs w:val="0"/>
          <w:color w:val="auto"/>
          <w:sz w:val="36"/>
          <w:szCs w:val="36"/>
          <w:highlight w:val="none"/>
        </w:rPr>
        <w:t>第一部分 煤炭深加工与利用专业人才培养方案</w:t>
      </w:r>
      <w:bookmarkEnd w:id="0"/>
    </w:p>
    <w:p>
      <w:pPr>
        <w:pStyle w:val="3"/>
        <w:ind w:firstLine="480" w:firstLineChars="150"/>
        <w:rPr>
          <w:b w:val="0"/>
          <w:color w:val="auto"/>
          <w:highlight w:val="none"/>
        </w:rPr>
      </w:pPr>
      <w:bookmarkStart w:id="1" w:name="_Toc17898"/>
      <w:r>
        <w:rPr>
          <w:rFonts w:hint="eastAsia"/>
          <w:b w:val="0"/>
          <w:color w:val="auto"/>
          <w:highlight w:val="none"/>
        </w:rPr>
        <w:t>一、专业名称与代码</w:t>
      </w:r>
      <w:bookmarkEnd w:id="1"/>
    </w:p>
    <w:p>
      <w:pPr>
        <w:spacing w:line="360" w:lineRule="auto"/>
        <w:ind w:firstLine="480" w:firstLineChars="200"/>
        <w:rPr>
          <w:rFonts w:asciiTheme="minorEastAsia" w:hAnsiTheme="minorEastAsia" w:cstheme="minorEastAsia"/>
          <w:bCs/>
          <w:color w:val="auto"/>
          <w:sz w:val="24"/>
          <w:highlight w:val="none"/>
        </w:rPr>
      </w:pPr>
      <w:r>
        <w:rPr>
          <w:rFonts w:hint="eastAsia" w:asciiTheme="minorEastAsia" w:hAnsiTheme="minorEastAsia" w:cstheme="minorEastAsia"/>
          <w:bCs/>
          <w:color w:val="auto"/>
          <w:sz w:val="24"/>
          <w:highlight w:val="none"/>
        </w:rPr>
        <w:t>专业名称：煤炭深加工与利用</w:t>
      </w:r>
    </w:p>
    <w:p>
      <w:pPr>
        <w:spacing w:line="360" w:lineRule="auto"/>
        <w:ind w:firstLine="480" w:firstLineChars="200"/>
        <w:rPr>
          <w:rFonts w:ascii="仿宋_GB2312" w:hAnsi="宋体" w:eastAsia="仿宋_GB2312"/>
          <w:bCs/>
          <w:color w:val="auto"/>
          <w:sz w:val="30"/>
          <w:szCs w:val="30"/>
          <w:highlight w:val="none"/>
        </w:rPr>
      </w:pPr>
      <w:r>
        <w:rPr>
          <w:rFonts w:hint="eastAsia" w:asciiTheme="minorEastAsia" w:hAnsiTheme="minorEastAsia" w:cstheme="minorEastAsia"/>
          <w:bCs/>
          <w:color w:val="auto"/>
          <w:sz w:val="24"/>
          <w:highlight w:val="none"/>
        </w:rPr>
        <w:t>专业代码：5</w:t>
      </w:r>
      <w:r>
        <w:rPr>
          <w:rFonts w:hint="eastAsia" w:asciiTheme="minorEastAsia" w:hAnsiTheme="minorEastAsia" w:cstheme="minorEastAsia"/>
          <w:bCs/>
          <w:color w:val="auto"/>
          <w:sz w:val="24"/>
          <w:highlight w:val="none"/>
          <w:lang w:val="en-US" w:eastAsia="zh-CN"/>
        </w:rPr>
        <w:t>20507</w:t>
      </w:r>
    </w:p>
    <w:p>
      <w:pPr>
        <w:pStyle w:val="3"/>
        <w:ind w:firstLine="480" w:firstLineChars="150"/>
        <w:rPr>
          <w:b w:val="0"/>
          <w:color w:val="auto"/>
          <w:highlight w:val="none"/>
        </w:rPr>
      </w:pPr>
      <w:bookmarkStart w:id="2" w:name="_Toc32687"/>
      <w:r>
        <w:rPr>
          <w:rFonts w:hint="eastAsia"/>
          <w:b w:val="0"/>
          <w:color w:val="auto"/>
          <w:highlight w:val="none"/>
        </w:rPr>
        <w:t>二、招生对象</w:t>
      </w:r>
      <w:bookmarkEnd w:id="2"/>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普通高中毕业生/三校生（职高、中专、技校毕业生）</w:t>
      </w:r>
    </w:p>
    <w:p>
      <w:pPr>
        <w:pStyle w:val="3"/>
        <w:ind w:firstLine="480" w:firstLineChars="150"/>
        <w:rPr>
          <w:b w:val="0"/>
          <w:color w:val="auto"/>
          <w:highlight w:val="none"/>
        </w:rPr>
      </w:pPr>
      <w:bookmarkStart w:id="3" w:name="_Toc32098"/>
      <w:r>
        <w:rPr>
          <w:rFonts w:hint="eastAsia"/>
          <w:b w:val="0"/>
          <w:color w:val="auto"/>
          <w:highlight w:val="none"/>
        </w:rPr>
        <w:t>三、学制与学历</w:t>
      </w:r>
      <w:bookmarkEnd w:id="3"/>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要求：三年，专科</w:t>
      </w:r>
    </w:p>
    <w:p>
      <w:pPr>
        <w:pStyle w:val="3"/>
        <w:ind w:firstLine="480" w:firstLineChars="150"/>
        <w:rPr>
          <w:b w:val="0"/>
          <w:color w:val="auto"/>
          <w:highlight w:val="none"/>
        </w:rPr>
      </w:pPr>
      <w:bookmarkStart w:id="4" w:name="_Toc26292"/>
      <w:r>
        <w:rPr>
          <w:rFonts w:hint="eastAsia"/>
          <w:b w:val="0"/>
          <w:color w:val="auto"/>
          <w:highlight w:val="none"/>
        </w:rPr>
        <w:t>四、就业面向</w:t>
      </w:r>
      <w:bookmarkEnd w:id="4"/>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煤炭深加工与利用专业主要面向煤质检验、煤炭洗选、炼焦生产、煤炭化工生产以及下游产品的深加工领域。</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初始岗位群：煤质化验、煤炭洗选、炼焦生产、煤气化生产等相关操作岗位。</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发展岗位群：在获得一定工作经验后，可升迁的职业岗位为产品的质量检测岗位、技术管理岗位、具有一定级别的车间技术人员。</w:t>
      </w:r>
    </w:p>
    <w:p>
      <w:pPr>
        <w:pStyle w:val="3"/>
        <w:ind w:firstLine="480" w:firstLineChars="150"/>
        <w:rPr>
          <w:b w:val="0"/>
          <w:color w:val="auto"/>
          <w:highlight w:val="none"/>
        </w:rPr>
      </w:pPr>
      <w:bookmarkStart w:id="5" w:name="_Toc6447"/>
      <w:r>
        <w:rPr>
          <w:rFonts w:hint="eastAsia"/>
          <w:b w:val="0"/>
          <w:color w:val="auto"/>
          <w:highlight w:val="none"/>
        </w:rPr>
        <w:t>五、培养目标与规格要求</w:t>
      </w:r>
      <w:bookmarkEnd w:id="5"/>
    </w:p>
    <w:p>
      <w:pPr>
        <w:spacing w:line="360" w:lineRule="auto"/>
        <w:ind w:firstLine="600" w:firstLineChars="2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（一）专业培养目标</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本专业培养适应社会主义现代化建设需要，德、智、体、美全面发展的具有一定的科学文化水平，良好的人文素养、职业道德和创新意识，精益求精的工匠精神，较强的就业能力和可持续发展能力；掌握本专业知识和技能，面向化学原料和化学品制造、炼焦行业，能够从事煤化工生产操作、煤化工工艺管理、煤化工安全管理、煤化工原料及产品检验等操作的，具有创新精神和实践能力的高素质技术技能人才。</w:t>
      </w:r>
    </w:p>
    <w:p>
      <w:pPr>
        <w:spacing w:line="360" w:lineRule="auto"/>
        <w:ind w:firstLine="600" w:firstLineChars="2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（二）人才培养规格要求和知识、能力、素质结构</w:t>
      </w:r>
    </w:p>
    <w:p>
      <w:pPr>
        <w:spacing w:line="360" w:lineRule="auto"/>
        <w:ind w:firstLine="602" w:firstLineChars="200"/>
        <w:rPr>
          <w:rFonts w:ascii="仿宋_GB2312" w:hAnsi="宋体" w:eastAsia="仿宋_GB2312"/>
          <w:b/>
          <w:color w:val="auto"/>
          <w:sz w:val="30"/>
          <w:szCs w:val="30"/>
          <w:highlight w:val="none"/>
        </w:rPr>
      </w:pPr>
      <w:r>
        <w:rPr>
          <w:rFonts w:hint="eastAsia" w:ascii="仿宋_GB2312" w:hAnsi="宋体" w:eastAsia="仿宋_GB2312"/>
          <w:b/>
          <w:color w:val="auto"/>
          <w:sz w:val="30"/>
          <w:szCs w:val="30"/>
          <w:highlight w:val="none"/>
        </w:rPr>
        <w:t>1.培养规格</w:t>
      </w:r>
    </w:p>
    <w:p>
      <w:pPr>
        <w:spacing w:line="360" w:lineRule="auto"/>
        <w:ind w:firstLine="403" w:firstLineChars="168"/>
        <w:rPr>
          <w:rFonts w:asciiTheme="minorEastAsia" w:hAnsiTheme="minorEastAsia"/>
          <w:bCs/>
          <w:color w:val="auto"/>
          <w:sz w:val="24"/>
          <w:highlight w:val="none"/>
        </w:rPr>
      </w:pPr>
      <w:r>
        <w:rPr>
          <w:rFonts w:hint="eastAsia" w:asciiTheme="minorEastAsia" w:hAnsiTheme="minorEastAsia"/>
          <w:bCs/>
          <w:color w:val="auto"/>
          <w:sz w:val="24"/>
          <w:highlight w:val="none"/>
        </w:rPr>
        <w:t>本专业培养适应社会主义现代化建设需要，德、智、体、美全面发展的，具有良好的职业道德和素养，具有现代企业意识、能适应地方经济建设需要，掌握</w:t>
      </w:r>
      <w:r>
        <w:rPr>
          <w:rFonts w:hint="eastAsia" w:asciiTheme="majorEastAsia" w:hAnsiTheme="majorEastAsia" w:eastAsiaTheme="majorEastAsia" w:cstheme="majorEastAsia"/>
          <w:bCs/>
          <w:color w:val="auto"/>
          <w:sz w:val="24"/>
          <w:highlight w:val="none"/>
        </w:rPr>
        <w:t>大学专科层次的文化基础知识、本专业理论知识和实践技能，</w:t>
      </w:r>
      <w:r>
        <w:rPr>
          <w:rFonts w:hint="eastAsia" w:asciiTheme="minorEastAsia" w:hAnsiTheme="minorEastAsia"/>
          <w:bCs/>
          <w:color w:val="auto"/>
          <w:sz w:val="24"/>
          <w:highlight w:val="none"/>
        </w:rPr>
        <w:t>获得</w:t>
      </w:r>
      <w:r>
        <w:rPr>
          <w:rFonts w:hint="eastAsia" w:asciiTheme="majorEastAsia" w:hAnsiTheme="majorEastAsia" w:eastAsiaTheme="majorEastAsia" w:cstheme="majorEastAsia"/>
          <w:bCs/>
          <w:color w:val="auto"/>
          <w:sz w:val="24"/>
          <w:highlight w:val="none"/>
        </w:rPr>
        <w:t>煤质化验、煤炭洗选、炼焦生产、煤气化生产等相关操作岗位</w:t>
      </w:r>
      <w:r>
        <w:rPr>
          <w:rFonts w:hint="eastAsia" w:asciiTheme="minorEastAsia" w:hAnsiTheme="minorEastAsia"/>
          <w:bCs/>
          <w:color w:val="auto"/>
          <w:sz w:val="24"/>
          <w:highlight w:val="none"/>
        </w:rPr>
        <w:t>的基本训练，具有创新精神和实践能力的高素质技术技能人才。</w:t>
      </w:r>
    </w:p>
    <w:p>
      <w:pPr>
        <w:spacing w:line="360" w:lineRule="auto"/>
        <w:ind w:firstLine="602" w:firstLineChars="200"/>
        <w:rPr>
          <w:rFonts w:ascii="仿宋_GB2312" w:hAnsi="宋体" w:eastAsia="仿宋_GB2312"/>
          <w:b/>
          <w:color w:val="auto"/>
          <w:sz w:val="30"/>
          <w:szCs w:val="30"/>
          <w:highlight w:val="none"/>
        </w:rPr>
      </w:pPr>
      <w:r>
        <w:rPr>
          <w:rFonts w:hint="eastAsia" w:ascii="仿宋_GB2312" w:hAnsi="宋体" w:eastAsia="仿宋_GB2312"/>
          <w:b/>
          <w:color w:val="auto"/>
          <w:sz w:val="30"/>
          <w:szCs w:val="30"/>
          <w:highlight w:val="none"/>
        </w:rPr>
        <w:t>2.知识、能力、素质结构</w:t>
      </w:r>
    </w:p>
    <w:p>
      <w:pPr>
        <w:spacing w:line="360" w:lineRule="auto"/>
        <w:ind w:firstLine="602" w:firstLineChars="200"/>
        <w:rPr>
          <w:rFonts w:ascii="仿宋_GB2312" w:hAnsi="宋体" w:eastAsia="仿宋_GB2312"/>
          <w:b/>
          <w:color w:val="auto"/>
          <w:sz w:val="30"/>
          <w:szCs w:val="30"/>
          <w:highlight w:val="none"/>
        </w:rPr>
      </w:pPr>
      <w:r>
        <w:rPr>
          <w:rFonts w:hint="eastAsia" w:ascii="仿宋_GB2312" w:hAnsi="宋体" w:eastAsia="仿宋_GB2312"/>
          <w:b/>
          <w:color w:val="auto"/>
          <w:sz w:val="30"/>
          <w:szCs w:val="30"/>
          <w:highlight w:val="none"/>
        </w:rPr>
        <w:t>（1）知识结构</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a. 掌握必备的思想政治理论、科学文化基础知识和中华优秀传统文化知识；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b. 熟悉与本专业相关的法律法规以及环境保护、安全消防、文明生产等相关知识；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c. 掌握与专业相关的化学基础、识图与制图、设备、仪表、单元 操作、分析检验、现代化工 HSE 等基础知识；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d. 掌握与专业相关的煤炭气化、液化、焦化及典型煤化工产品生产工艺运行的知识；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e. 掌握煤化工安全生产相关的专业知识；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f. 掌握煤化工生产装置运行及基本维护的操作和方法；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g. 掌握煤化工生产仪表使用及基本维护的方法；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h. 了解煤化工原料及产品分析检验的原理和方法；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i. 了解煤化工生产技术的前沿理论、最新成果及发展动态；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j. 了解最新发布的相关国家标准和国际标准。 </w:t>
      </w:r>
    </w:p>
    <w:p>
      <w:pPr>
        <w:spacing w:line="360" w:lineRule="auto"/>
        <w:ind w:firstLine="602" w:firstLineChars="200"/>
        <w:rPr>
          <w:rFonts w:ascii="仿宋_GB2312" w:hAnsi="宋体" w:eastAsia="仿宋_GB2312"/>
          <w:b/>
          <w:color w:val="auto"/>
          <w:sz w:val="30"/>
          <w:szCs w:val="30"/>
          <w:highlight w:val="none"/>
        </w:rPr>
      </w:pPr>
      <w:r>
        <w:rPr>
          <w:rFonts w:hint="eastAsia" w:ascii="仿宋_GB2312" w:hAnsi="宋体" w:eastAsia="仿宋_GB2312"/>
          <w:b/>
          <w:color w:val="auto"/>
          <w:sz w:val="30"/>
          <w:szCs w:val="30"/>
          <w:highlight w:val="none"/>
        </w:rPr>
        <w:t>（2）能力结构</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a. 具有探究学习、终身学习、分析问题和解决问题的能力；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b. 具有良好的语言、文字表达能力和沟通能力；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c. 能够识别和绘制工艺流程图、</w:t>
      </w:r>
      <w:r>
        <w:rPr>
          <w:rFonts w:asciiTheme="majorEastAsia" w:hAnsiTheme="majorEastAsia" w:eastAsiaTheme="majorEastAsia" w:cstheme="majorEastAsia"/>
          <w:bCs/>
          <w:color w:val="auto"/>
          <w:sz w:val="24"/>
          <w:highlight w:val="none"/>
        </w:rPr>
        <w:t xml:space="preserve">PID </w:t>
      </w:r>
      <w:r>
        <w:rPr>
          <w:rFonts w:hint="eastAsia" w:asciiTheme="majorEastAsia" w:hAnsiTheme="majorEastAsia" w:eastAsiaTheme="majorEastAsia" w:cstheme="majorEastAsia"/>
          <w:bCs/>
          <w:color w:val="auto"/>
          <w:sz w:val="24"/>
          <w:highlight w:val="none"/>
        </w:rPr>
        <w:t xml:space="preserve">控制图、管道配置图；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d. 能够依据操作规范，对常用煤化工生产装置、仪表进行操作、 使用和基本的维护与保养；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e. 能够进行煤化工生产工艺的生产操作与过程控制，进行试车、 开车、停车和置换等操作；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f. 能够操作仪表或自控系统，实施对生产岗位全部工艺参数的 跟踪监控和调节，并能根据中控分析结果和质量要求调节岗位操作；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g. 具有分析、判断和处理不正常生产工况的能力；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h. 具有煤炭及煤化工产品进行基本性质评价和分析检验的能力； </w:t>
      </w:r>
    </w:p>
    <w:p>
      <w:pPr>
        <w:spacing w:line="360" w:lineRule="auto"/>
        <w:ind w:firstLine="480" w:firstLineChars="200"/>
        <w:rPr>
          <w:rFonts w:ascii="仿宋_GB2312" w:hAnsi="宋体" w:eastAsia="仿宋_GB2312"/>
          <w:bCs/>
          <w:color w:val="auto"/>
          <w:sz w:val="30"/>
          <w:szCs w:val="30"/>
          <w:highlight w:val="none"/>
        </w:rPr>
      </w:pPr>
      <w:r>
        <w:rPr>
          <w:rFonts w:hint="eastAsia" w:asciiTheme="majorEastAsia" w:hAnsiTheme="majorEastAsia" w:eastAsiaTheme="majorEastAsia" w:cstheme="majorEastAsia"/>
          <w:bCs/>
          <w:color w:val="auto"/>
          <w:sz w:val="24"/>
          <w:highlight w:val="none"/>
        </w:rPr>
        <w:t>i. 能够进行一定的安全防护和生产</w:t>
      </w:r>
      <w:r>
        <w:rPr>
          <w:rFonts w:asciiTheme="majorEastAsia" w:hAnsiTheme="majorEastAsia" w:eastAsiaTheme="majorEastAsia" w:cstheme="majorEastAsia"/>
          <w:bCs/>
          <w:color w:val="auto"/>
          <w:sz w:val="24"/>
          <w:highlight w:val="none"/>
        </w:rPr>
        <w:t>“</w:t>
      </w:r>
      <w:r>
        <w:rPr>
          <w:rFonts w:hint="eastAsia" w:asciiTheme="majorEastAsia" w:hAnsiTheme="majorEastAsia" w:eastAsiaTheme="majorEastAsia" w:cstheme="majorEastAsia"/>
          <w:bCs/>
          <w:color w:val="auto"/>
          <w:sz w:val="24"/>
          <w:highlight w:val="none"/>
        </w:rPr>
        <w:t>三废</w:t>
      </w:r>
      <w:r>
        <w:rPr>
          <w:rFonts w:asciiTheme="majorEastAsia" w:hAnsiTheme="majorEastAsia" w:eastAsiaTheme="majorEastAsia" w:cstheme="majorEastAsia"/>
          <w:bCs/>
          <w:color w:val="auto"/>
          <w:sz w:val="24"/>
          <w:highlight w:val="none"/>
        </w:rPr>
        <w:t>”</w:t>
      </w:r>
      <w:r>
        <w:rPr>
          <w:rFonts w:hint="eastAsia" w:asciiTheme="majorEastAsia" w:hAnsiTheme="majorEastAsia" w:eastAsiaTheme="majorEastAsia" w:cstheme="majorEastAsia"/>
          <w:bCs/>
          <w:color w:val="auto"/>
          <w:sz w:val="24"/>
          <w:highlight w:val="none"/>
        </w:rPr>
        <w:t>处理。</w:t>
      </w:r>
    </w:p>
    <w:p>
      <w:pPr>
        <w:spacing w:line="360" w:lineRule="auto"/>
        <w:ind w:firstLine="602" w:firstLineChars="200"/>
        <w:rPr>
          <w:rFonts w:ascii="仿宋_GB2312" w:hAnsi="宋体" w:eastAsia="仿宋_GB2312"/>
          <w:b/>
          <w:color w:val="auto"/>
          <w:sz w:val="30"/>
          <w:szCs w:val="30"/>
          <w:highlight w:val="none"/>
        </w:rPr>
      </w:pPr>
      <w:r>
        <w:rPr>
          <w:rFonts w:hint="eastAsia" w:ascii="仿宋_GB2312" w:hAnsi="宋体" w:eastAsia="仿宋_GB2312"/>
          <w:b/>
          <w:color w:val="auto"/>
          <w:sz w:val="30"/>
          <w:szCs w:val="30"/>
          <w:highlight w:val="none"/>
        </w:rPr>
        <w:t>（3）素质结构</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a. 坚定拥护中国共产党领导和我国社会主义制度，在习近平新时代中国特色社会主义思想指引下，践行社会主义核心价值观，具有深厚的爱国情感和中华民族自豪感；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b. 崇尚宪法、遵法守纪、崇德向善、诚实守信、尊重生命、热爱劳动，履行道德准则和行为规范，具有社会责任感和社会参与意识；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c. 具有质量意识、环保意识、安全意识、信息素养、工匠精神、创新思维；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d. 勇于奋斗、乐观向上，具有自我管理能力、职业生涯规划的意识，有较强的集体意识和团队合作精神；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e. 具有健康的体魄、心理和健全的人格，掌握基本运动知识和一两项运动技能，养成良好的健身与卫生习惯，良好的行为习惯；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f. 具有一定的审美和人文素养，能够形成一两项艺术特长或爱好。</w:t>
      </w:r>
    </w:p>
    <w:p>
      <w:pPr>
        <w:pStyle w:val="3"/>
        <w:ind w:firstLine="480" w:firstLineChars="150"/>
        <w:rPr>
          <w:b w:val="0"/>
          <w:color w:val="auto"/>
          <w:highlight w:val="none"/>
        </w:rPr>
      </w:pPr>
      <w:bookmarkStart w:id="6" w:name="_Toc13653"/>
      <w:r>
        <w:rPr>
          <w:rFonts w:hint="eastAsia"/>
          <w:b w:val="0"/>
          <w:color w:val="auto"/>
          <w:highlight w:val="none"/>
        </w:rPr>
        <w:t>六、职业资格证书</w:t>
      </w:r>
      <w:bookmarkEnd w:id="6"/>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煤质化验工，化工总控工，有机合成工，无机反应工、环境监测证、污水处理工、化学检验工等</w:t>
      </w:r>
    </w:p>
    <w:p>
      <w:pPr>
        <w:pStyle w:val="3"/>
        <w:ind w:firstLine="480" w:firstLineChars="150"/>
        <w:rPr>
          <w:b w:val="0"/>
          <w:color w:val="auto"/>
          <w:highlight w:val="none"/>
        </w:rPr>
      </w:pPr>
      <w:bookmarkStart w:id="7" w:name="_Toc2382"/>
      <w:r>
        <w:rPr>
          <w:rFonts w:hint="eastAsia"/>
          <w:b w:val="0"/>
          <w:color w:val="auto"/>
          <w:highlight w:val="none"/>
        </w:rPr>
        <w:t>七、课程体系与核心课程（教学内容）</w:t>
      </w:r>
      <w:bookmarkEnd w:id="7"/>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（一）课程体系设计思路</w:t>
      </w:r>
    </w:p>
    <w:p>
      <w:pPr>
        <w:spacing w:line="360" w:lineRule="auto"/>
        <w:ind w:firstLine="480" w:firstLineChars="200"/>
        <w:rPr>
          <w:rFonts w:ascii="仿宋_GB2312" w:hAnsi="宋体" w:eastAsia="仿宋_GB2312"/>
          <w:bCs/>
          <w:color w:val="auto"/>
          <w:sz w:val="30"/>
          <w:szCs w:val="30"/>
          <w:highlight w:val="none"/>
        </w:rPr>
      </w:pPr>
      <w:r>
        <w:rPr>
          <w:rFonts w:hint="eastAsia" w:asciiTheme="majorEastAsia" w:hAnsiTheme="majorEastAsia" w:eastAsiaTheme="majorEastAsia" w:cstheme="majorEastAsia"/>
          <w:bCs/>
          <w:color w:val="auto"/>
          <w:sz w:val="24"/>
          <w:highlight w:val="none"/>
        </w:rPr>
        <w:t>按照“学训融通，学岗交替，能力递进”的人才培养方案，针对煤炭深加工与利用职业岗位标准，专业建设小组组织现场工程技术专家和专业技术人员进行职业岗位能力分析，并对专业的知识能力层次进行了全面的分析和探讨，经过了多次修订，形成了应知知识和应会技能，把煤炭深加工专业技术知识和实践技能有机联系起来，使课程之间相互连接，互为整体，形成以岗位为基础，工作任务驱动的课程体系。</w:t>
      </w:r>
    </w:p>
    <w:p>
      <w:pPr>
        <w:spacing w:line="360" w:lineRule="auto"/>
        <w:ind w:firstLine="300" w:firstLineChars="1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（二）典型工作任务及能力分析</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根据对高职学生培养要求及标准，结合学生实践教学经验总结，煤炭深加工与利用专业学生典型工作任务分析与职业行动领域如表1所示。</w:t>
      </w:r>
    </w:p>
    <w:p>
      <w:pPr>
        <w:spacing w:line="360" w:lineRule="auto"/>
        <w:jc w:val="center"/>
        <w:rPr>
          <w:rFonts w:ascii="宋体" w:hAnsi="宋体"/>
          <w:bCs/>
          <w:color w:val="auto"/>
          <w:sz w:val="24"/>
          <w:highlight w:val="none"/>
        </w:rPr>
      </w:pPr>
      <w:r>
        <w:rPr>
          <w:rFonts w:hint="eastAsia" w:ascii="宋体" w:hAnsi="宋体"/>
          <w:bCs/>
          <w:color w:val="auto"/>
          <w:sz w:val="24"/>
          <w:highlight w:val="none"/>
        </w:rPr>
        <w:t>表1 典型工作任务分析</w:t>
      </w:r>
    </w:p>
    <w:tbl>
      <w:tblPr>
        <w:tblStyle w:val="15"/>
        <w:tblW w:w="8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2745"/>
        <w:gridCol w:w="3818"/>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083" w:type="dxa"/>
            <w:noWrap/>
            <w:vAlign w:val="center"/>
          </w:tcPr>
          <w:p>
            <w:pPr>
              <w:autoSpaceDN w:val="0"/>
              <w:jc w:val="center"/>
              <w:textAlignment w:val="center"/>
              <w:rPr>
                <w:rFonts w:ascii="宋体" w:hAnsi="宋体"/>
                <w:b/>
                <w:bCs/>
                <w:color w:val="auto"/>
                <w:szCs w:val="21"/>
                <w:highlight w:val="none"/>
              </w:rPr>
            </w:pPr>
            <w:r>
              <w:rPr>
                <w:rFonts w:hint="eastAsia" w:ascii="宋体" w:hAnsi="宋体"/>
                <w:b/>
                <w:bCs/>
                <w:color w:val="auto"/>
                <w:szCs w:val="21"/>
                <w:highlight w:val="none"/>
              </w:rPr>
              <w:t>技术领域</w:t>
            </w:r>
          </w:p>
        </w:tc>
        <w:tc>
          <w:tcPr>
            <w:tcW w:w="2745" w:type="dxa"/>
            <w:noWrap/>
            <w:vAlign w:val="center"/>
          </w:tcPr>
          <w:p>
            <w:pPr>
              <w:autoSpaceDN w:val="0"/>
              <w:jc w:val="center"/>
              <w:textAlignment w:val="center"/>
              <w:rPr>
                <w:rFonts w:ascii="宋体" w:hAnsi="宋体"/>
                <w:b/>
                <w:bCs/>
                <w:color w:val="auto"/>
                <w:szCs w:val="21"/>
                <w:highlight w:val="none"/>
              </w:rPr>
            </w:pPr>
            <w:r>
              <w:rPr>
                <w:rFonts w:hint="eastAsia" w:ascii="宋体" w:hAnsi="宋体"/>
                <w:b/>
                <w:bCs/>
                <w:color w:val="auto"/>
                <w:szCs w:val="21"/>
                <w:highlight w:val="none"/>
              </w:rPr>
              <w:t>工作过程</w:t>
            </w:r>
          </w:p>
        </w:tc>
        <w:tc>
          <w:tcPr>
            <w:tcW w:w="3818" w:type="dxa"/>
            <w:noWrap/>
            <w:vAlign w:val="center"/>
          </w:tcPr>
          <w:p>
            <w:pPr>
              <w:autoSpaceDN w:val="0"/>
              <w:jc w:val="center"/>
              <w:textAlignment w:val="center"/>
              <w:rPr>
                <w:rFonts w:ascii="宋体" w:hAnsi="宋体"/>
                <w:b/>
                <w:bCs/>
                <w:color w:val="auto"/>
                <w:szCs w:val="21"/>
                <w:highlight w:val="none"/>
              </w:rPr>
            </w:pPr>
            <w:r>
              <w:rPr>
                <w:rFonts w:hint="eastAsia" w:ascii="宋体" w:hAnsi="宋体"/>
                <w:b/>
                <w:bCs/>
                <w:color w:val="auto"/>
                <w:szCs w:val="21"/>
                <w:highlight w:val="none"/>
              </w:rPr>
              <w:t>专业能力</w:t>
            </w:r>
          </w:p>
        </w:tc>
        <w:tc>
          <w:tcPr>
            <w:tcW w:w="1191" w:type="dxa"/>
            <w:noWrap/>
            <w:vAlign w:val="center"/>
          </w:tcPr>
          <w:p>
            <w:pPr>
              <w:autoSpaceDN w:val="0"/>
              <w:jc w:val="center"/>
              <w:textAlignment w:val="center"/>
              <w:rPr>
                <w:rFonts w:ascii="宋体" w:hAnsi="宋体"/>
                <w:b/>
                <w:bCs/>
                <w:color w:val="auto"/>
                <w:szCs w:val="21"/>
                <w:highlight w:val="none"/>
              </w:rPr>
            </w:pPr>
            <w:r>
              <w:rPr>
                <w:rFonts w:hint="eastAsia" w:ascii="宋体" w:hAnsi="宋体"/>
                <w:b/>
                <w:bCs/>
                <w:color w:val="auto"/>
                <w:szCs w:val="21"/>
                <w:highlight w:val="none"/>
              </w:rPr>
              <w:t>关键能力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4" w:hRule="atLeast"/>
          <w:jc w:val="center"/>
        </w:trPr>
        <w:tc>
          <w:tcPr>
            <w:tcW w:w="1083" w:type="dxa"/>
            <w:vMerge w:val="restart"/>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煤的洗选</w:t>
            </w:r>
          </w:p>
        </w:tc>
        <w:tc>
          <w:tcPr>
            <w:tcW w:w="2745" w:type="dxa"/>
            <w:vMerge w:val="restart"/>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highlight w:val="none"/>
              </w:rPr>
              <w:t>煤炭在洗煤中用大量清水进行洗选分级，又经脱水后成为产品煤运出，余下的便是洗选废水。对其处理方法是三级完全闭路循环。</w:t>
            </w:r>
          </w:p>
        </w:tc>
        <w:tc>
          <w:tcPr>
            <w:tcW w:w="3818" w:type="dxa"/>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不同选煤方法的选择标准</w:t>
            </w:r>
          </w:p>
        </w:tc>
        <w:tc>
          <w:tcPr>
            <w:tcW w:w="1191" w:type="dxa"/>
            <w:vMerge w:val="restart"/>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环保意识</w:t>
            </w:r>
          </w:p>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安全意识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jc w:val="center"/>
        </w:trPr>
        <w:tc>
          <w:tcPr>
            <w:tcW w:w="1083" w:type="dxa"/>
            <w:vMerge w:val="continue"/>
            <w:noWrap/>
            <w:vAlign w:val="center"/>
          </w:tcPr>
          <w:p>
            <w:pPr>
              <w:spacing w:line="360" w:lineRule="auto"/>
              <w:jc w:val="center"/>
              <w:rPr>
                <w:rFonts w:ascii="宋体" w:hAnsi="宋体"/>
                <w:color w:val="auto"/>
                <w:szCs w:val="21"/>
                <w:highlight w:val="none"/>
              </w:rPr>
            </w:pPr>
          </w:p>
        </w:tc>
        <w:tc>
          <w:tcPr>
            <w:tcW w:w="2745" w:type="dxa"/>
            <w:vMerge w:val="continue"/>
            <w:noWrap/>
            <w:vAlign w:val="center"/>
          </w:tcPr>
          <w:p>
            <w:pPr>
              <w:autoSpaceDN w:val="0"/>
              <w:spacing w:line="360" w:lineRule="auto"/>
              <w:jc w:val="center"/>
              <w:textAlignment w:val="center"/>
              <w:rPr>
                <w:rFonts w:ascii="宋体" w:hAnsi="宋体"/>
                <w:color w:val="auto"/>
                <w:szCs w:val="21"/>
                <w:highlight w:val="none"/>
              </w:rPr>
            </w:pPr>
          </w:p>
        </w:tc>
        <w:tc>
          <w:tcPr>
            <w:tcW w:w="3818" w:type="dxa"/>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选煤机的结构</w:t>
            </w:r>
          </w:p>
        </w:tc>
        <w:tc>
          <w:tcPr>
            <w:tcW w:w="1191" w:type="dxa"/>
            <w:vMerge w:val="continue"/>
            <w:noWrap/>
            <w:vAlign w:val="center"/>
          </w:tcPr>
          <w:p>
            <w:pPr>
              <w:autoSpaceDN w:val="0"/>
              <w:spacing w:line="360" w:lineRule="auto"/>
              <w:jc w:val="center"/>
              <w:textAlignment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1083" w:type="dxa"/>
            <w:vMerge w:val="restart"/>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煤的干馏</w:t>
            </w:r>
          </w:p>
        </w:tc>
        <w:tc>
          <w:tcPr>
            <w:tcW w:w="2745" w:type="dxa"/>
            <w:vMerge w:val="restart"/>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隔绝空气条件下，煤料加入干馏炉，受热分解生成煤气、焦油、粗苯和焦炭的过程</w:t>
            </w:r>
          </w:p>
        </w:tc>
        <w:tc>
          <w:tcPr>
            <w:tcW w:w="3818" w:type="dxa"/>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干馏炉结构识图能力</w:t>
            </w:r>
          </w:p>
        </w:tc>
        <w:tc>
          <w:tcPr>
            <w:tcW w:w="1191" w:type="dxa"/>
            <w:vMerge w:val="restart"/>
            <w:noWrap/>
            <w:vAlign w:val="center"/>
          </w:tcPr>
          <w:p>
            <w:pPr>
              <w:autoSpaceDN w:val="0"/>
              <w:spacing w:line="360" w:lineRule="auto"/>
              <w:ind w:firstLine="210" w:firstLineChars="100"/>
              <w:textAlignment w:val="center"/>
              <w:rPr>
                <w:rFonts w:ascii="宋体" w:hAnsi="宋体"/>
                <w:color w:val="auto"/>
                <w:szCs w:val="21"/>
                <w:highlight w:val="none"/>
              </w:rPr>
            </w:pPr>
            <w:r>
              <w:rPr>
                <w:rFonts w:hint="eastAsia" w:ascii="宋体" w:hAnsi="宋体"/>
                <w:color w:val="auto"/>
                <w:szCs w:val="21"/>
                <w:highlight w:val="none"/>
              </w:rPr>
              <w:t>责任心</w:t>
            </w:r>
          </w:p>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耐心</w:t>
            </w:r>
          </w:p>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耐心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1083" w:type="dxa"/>
            <w:vMerge w:val="continue"/>
            <w:noWrap/>
            <w:vAlign w:val="center"/>
          </w:tcPr>
          <w:p>
            <w:pPr>
              <w:spacing w:line="360" w:lineRule="auto"/>
              <w:jc w:val="center"/>
              <w:rPr>
                <w:rFonts w:ascii="宋体" w:hAnsi="宋体"/>
                <w:color w:val="auto"/>
                <w:szCs w:val="21"/>
                <w:highlight w:val="none"/>
              </w:rPr>
            </w:pPr>
          </w:p>
        </w:tc>
        <w:tc>
          <w:tcPr>
            <w:tcW w:w="2745" w:type="dxa"/>
            <w:vMerge w:val="continue"/>
            <w:noWrap/>
            <w:vAlign w:val="center"/>
          </w:tcPr>
          <w:p>
            <w:pPr>
              <w:autoSpaceDN w:val="0"/>
              <w:spacing w:line="360" w:lineRule="auto"/>
              <w:jc w:val="center"/>
              <w:textAlignment w:val="center"/>
              <w:rPr>
                <w:rFonts w:ascii="宋体" w:hAnsi="宋体"/>
                <w:color w:val="auto"/>
                <w:szCs w:val="21"/>
                <w:highlight w:val="none"/>
              </w:rPr>
            </w:pPr>
          </w:p>
        </w:tc>
        <w:tc>
          <w:tcPr>
            <w:tcW w:w="3818" w:type="dxa"/>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干馏炉的加热、压力、流量调节能力</w:t>
            </w:r>
          </w:p>
        </w:tc>
        <w:tc>
          <w:tcPr>
            <w:tcW w:w="1191" w:type="dxa"/>
            <w:vMerge w:val="continue"/>
            <w:noWrap/>
            <w:vAlign w:val="center"/>
          </w:tcPr>
          <w:p>
            <w:pPr>
              <w:autoSpaceDN w:val="0"/>
              <w:spacing w:line="360" w:lineRule="auto"/>
              <w:jc w:val="center"/>
              <w:textAlignment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083" w:type="dxa"/>
            <w:vMerge w:val="continue"/>
            <w:noWrap/>
            <w:vAlign w:val="center"/>
          </w:tcPr>
          <w:p>
            <w:pPr>
              <w:spacing w:line="360" w:lineRule="auto"/>
              <w:jc w:val="center"/>
              <w:rPr>
                <w:rFonts w:ascii="宋体" w:hAnsi="宋体"/>
                <w:color w:val="auto"/>
                <w:szCs w:val="21"/>
                <w:highlight w:val="none"/>
              </w:rPr>
            </w:pPr>
          </w:p>
        </w:tc>
        <w:tc>
          <w:tcPr>
            <w:tcW w:w="2745" w:type="dxa"/>
            <w:vMerge w:val="continue"/>
            <w:noWrap/>
            <w:vAlign w:val="center"/>
          </w:tcPr>
          <w:p>
            <w:pPr>
              <w:autoSpaceDN w:val="0"/>
              <w:spacing w:line="360" w:lineRule="auto"/>
              <w:jc w:val="center"/>
              <w:textAlignment w:val="center"/>
              <w:rPr>
                <w:rFonts w:ascii="宋体" w:hAnsi="宋体"/>
                <w:color w:val="auto"/>
                <w:szCs w:val="21"/>
                <w:highlight w:val="none"/>
              </w:rPr>
            </w:pPr>
          </w:p>
        </w:tc>
        <w:tc>
          <w:tcPr>
            <w:tcW w:w="3818" w:type="dxa"/>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干馏工艺流程的分析能力</w:t>
            </w:r>
          </w:p>
        </w:tc>
        <w:tc>
          <w:tcPr>
            <w:tcW w:w="1191" w:type="dxa"/>
            <w:vMerge w:val="continue"/>
            <w:noWrap/>
            <w:vAlign w:val="center"/>
          </w:tcPr>
          <w:p>
            <w:pPr>
              <w:autoSpaceDN w:val="0"/>
              <w:spacing w:line="360" w:lineRule="auto"/>
              <w:jc w:val="center"/>
              <w:textAlignment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083" w:type="dxa"/>
            <w:vMerge w:val="restart"/>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煤的气化</w:t>
            </w:r>
          </w:p>
        </w:tc>
        <w:tc>
          <w:tcPr>
            <w:tcW w:w="2745" w:type="dxa"/>
            <w:vMerge w:val="restart"/>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以煤为原料，氧气、水蒸气等为气化剂，高温条件下通过化学反应将煤中的可燃部分转化为气体燃料的过程。</w:t>
            </w:r>
          </w:p>
        </w:tc>
        <w:tc>
          <w:tcPr>
            <w:tcW w:w="3818" w:type="dxa"/>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气化炉加热、压力、流量调节能力</w:t>
            </w:r>
          </w:p>
        </w:tc>
        <w:tc>
          <w:tcPr>
            <w:tcW w:w="1191" w:type="dxa"/>
            <w:vMerge w:val="restart"/>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发现问题</w:t>
            </w:r>
          </w:p>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分析问题</w:t>
            </w:r>
          </w:p>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1083" w:type="dxa"/>
            <w:vMerge w:val="continue"/>
            <w:noWrap/>
            <w:vAlign w:val="center"/>
          </w:tcPr>
          <w:p>
            <w:pPr>
              <w:autoSpaceDN w:val="0"/>
              <w:spacing w:line="360" w:lineRule="auto"/>
              <w:jc w:val="center"/>
              <w:textAlignment w:val="center"/>
              <w:rPr>
                <w:rFonts w:ascii="宋体" w:hAnsi="宋体"/>
                <w:color w:val="auto"/>
                <w:szCs w:val="21"/>
                <w:highlight w:val="none"/>
              </w:rPr>
            </w:pPr>
          </w:p>
        </w:tc>
        <w:tc>
          <w:tcPr>
            <w:tcW w:w="2745" w:type="dxa"/>
            <w:vMerge w:val="continue"/>
            <w:noWrap/>
            <w:vAlign w:val="center"/>
          </w:tcPr>
          <w:p>
            <w:pPr>
              <w:autoSpaceDN w:val="0"/>
              <w:spacing w:line="360" w:lineRule="auto"/>
              <w:jc w:val="center"/>
              <w:textAlignment w:val="center"/>
              <w:rPr>
                <w:rFonts w:ascii="宋体" w:hAnsi="宋体"/>
                <w:color w:val="auto"/>
                <w:szCs w:val="21"/>
                <w:highlight w:val="none"/>
              </w:rPr>
            </w:pPr>
          </w:p>
        </w:tc>
        <w:tc>
          <w:tcPr>
            <w:tcW w:w="3818" w:type="dxa"/>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气化炉结构识图能力</w:t>
            </w:r>
          </w:p>
        </w:tc>
        <w:tc>
          <w:tcPr>
            <w:tcW w:w="1191" w:type="dxa"/>
            <w:vMerge w:val="continue"/>
            <w:noWrap/>
            <w:vAlign w:val="center"/>
          </w:tcPr>
          <w:p>
            <w:pPr>
              <w:autoSpaceDN w:val="0"/>
              <w:spacing w:line="360" w:lineRule="auto"/>
              <w:jc w:val="center"/>
              <w:textAlignment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083" w:type="dxa"/>
            <w:vMerge w:val="continue"/>
            <w:noWrap/>
            <w:vAlign w:val="center"/>
          </w:tcPr>
          <w:p>
            <w:pPr>
              <w:autoSpaceDN w:val="0"/>
              <w:spacing w:line="360" w:lineRule="auto"/>
              <w:jc w:val="center"/>
              <w:textAlignment w:val="center"/>
              <w:rPr>
                <w:rFonts w:ascii="宋体" w:hAnsi="宋体"/>
                <w:color w:val="auto"/>
                <w:szCs w:val="21"/>
                <w:highlight w:val="none"/>
              </w:rPr>
            </w:pPr>
          </w:p>
        </w:tc>
        <w:tc>
          <w:tcPr>
            <w:tcW w:w="2745" w:type="dxa"/>
            <w:vMerge w:val="continue"/>
            <w:noWrap/>
            <w:vAlign w:val="center"/>
          </w:tcPr>
          <w:p>
            <w:pPr>
              <w:autoSpaceDN w:val="0"/>
              <w:spacing w:line="360" w:lineRule="auto"/>
              <w:jc w:val="center"/>
              <w:textAlignment w:val="center"/>
              <w:rPr>
                <w:rFonts w:ascii="宋体" w:hAnsi="宋体"/>
                <w:color w:val="auto"/>
                <w:szCs w:val="21"/>
                <w:highlight w:val="none"/>
              </w:rPr>
            </w:pPr>
          </w:p>
        </w:tc>
        <w:tc>
          <w:tcPr>
            <w:tcW w:w="3818" w:type="dxa"/>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气化工艺流程的分析能力</w:t>
            </w:r>
          </w:p>
        </w:tc>
        <w:tc>
          <w:tcPr>
            <w:tcW w:w="1191" w:type="dxa"/>
            <w:vMerge w:val="continue"/>
            <w:noWrap/>
            <w:vAlign w:val="center"/>
          </w:tcPr>
          <w:p>
            <w:pPr>
              <w:autoSpaceDN w:val="0"/>
              <w:spacing w:line="360" w:lineRule="auto"/>
              <w:jc w:val="center"/>
              <w:textAlignment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83" w:type="dxa"/>
            <w:vMerge w:val="continue"/>
            <w:noWrap/>
            <w:vAlign w:val="center"/>
          </w:tcPr>
          <w:p>
            <w:pPr>
              <w:autoSpaceDN w:val="0"/>
              <w:spacing w:line="360" w:lineRule="auto"/>
              <w:jc w:val="center"/>
              <w:textAlignment w:val="center"/>
              <w:rPr>
                <w:rFonts w:ascii="宋体" w:hAnsi="宋体"/>
                <w:color w:val="auto"/>
                <w:szCs w:val="21"/>
                <w:highlight w:val="none"/>
              </w:rPr>
            </w:pPr>
          </w:p>
        </w:tc>
        <w:tc>
          <w:tcPr>
            <w:tcW w:w="2745" w:type="dxa"/>
            <w:vMerge w:val="continue"/>
            <w:noWrap/>
            <w:vAlign w:val="center"/>
          </w:tcPr>
          <w:p>
            <w:pPr>
              <w:autoSpaceDN w:val="0"/>
              <w:spacing w:line="360" w:lineRule="auto"/>
              <w:jc w:val="center"/>
              <w:textAlignment w:val="center"/>
              <w:rPr>
                <w:rFonts w:ascii="宋体" w:hAnsi="宋体"/>
                <w:color w:val="auto"/>
                <w:szCs w:val="21"/>
                <w:highlight w:val="none"/>
              </w:rPr>
            </w:pPr>
          </w:p>
        </w:tc>
        <w:tc>
          <w:tcPr>
            <w:tcW w:w="3818" w:type="dxa"/>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煤气脱硫、脱苯的控制能力</w:t>
            </w:r>
          </w:p>
        </w:tc>
        <w:tc>
          <w:tcPr>
            <w:tcW w:w="1191" w:type="dxa"/>
            <w:vMerge w:val="continue"/>
            <w:noWrap/>
            <w:vAlign w:val="center"/>
          </w:tcPr>
          <w:p>
            <w:pPr>
              <w:autoSpaceDN w:val="0"/>
              <w:spacing w:line="360" w:lineRule="auto"/>
              <w:jc w:val="center"/>
              <w:textAlignment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83" w:type="dxa"/>
            <w:vMerge w:val="restart"/>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煤的间接液化</w:t>
            </w:r>
          </w:p>
        </w:tc>
        <w:tc>
          <w:tcPr>
            <w:tcW w:w="2745" w:type="dxa"/>
            <w:vMerge w:val="restart"/>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煤气化产生合成气，再以合成气为原料合成液体燃料或化学产品。</w:t>
            </w:r>
          </w:p>
        </w:tc>
        <w:tc>
          <w:tcPr>
            <w:tcW w:w="3818" w:type="dxa"/>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F-T反应器的结构识图能力</w:t>
            </w:r>
          </w:p>
        </w:tc>
        <w:tc>
          <w:tcPr>
            <w:tcW w:w="1191" w:type="dxa"/>
            <w:vMerge w:val="restart"/>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合作能力</w:t>
            </w:r>
          </w:p>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交流能力</w:t>
            </w:r>
          </w:p>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协调能力</w:t>
            </w:r>
          </w:p>
          <w:p>
            <w:pPr>
              <w:autoSpaceDN w:val="0"/>
              <w:spacing w:line="360" w:lineRule="auto"/>
              <w:jc w:val="center"/>
              <w:textAlignment w:val="center"/>
              <w:rPr>
                <w:rFonts w:ascii="宋体" w:hAnsi="宋体"/>
                <w:color w:val="auto"/>
                <w:szCs w:val="21"/>
                <w:highlight w:val="none"/>
              </w:rPr>
            </w:pPr>
          </w:p>
          <w:p>
            <w:pPr>
              <w:autoSpaceDN w:val="0"/>
              <w:spacing w:line="360" w:lineRule="auto"/>
              <w:textAlignment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083" w:type="dxa"/>
            <w:vMerge w:val="continue"/>
            <w:noWrap/>
            <w:vAlign w:val="center"/>
          </w:tcPr>
          <w:p>
            <w:pPr>
              <w:autoSpaceDN w:val="0"/>
              <w:spacing w:line="360" w:lineRule="auto"/>
              <w:jc w:val="center"/>
              <w:textAlignment w:val="center"/>
              <w:rPr>
                <w:rFonts w:ascii="宋体" w:hAnsi="宋体"/>
                <w:color w:val="auto"/>
                <w:szCs w:val="21"/>
                <w:highlight w:val="none"/>
              </w:rPr>
            </w:pPr>
          </w:p>
        </w:tc>
        <w:tc>
          <w:tcPr>
            <w:tcW w:w="2745" w:type="dxa"/>
            <w:vMerge w:val="continue"/>
            <w:noWrap/>
            <w:vAlign w:val="center"/>
          </w:tcPr>
          <w:p>
            <w:pPr>
              <w:autoSpaceDN w:val="0"/>
              <w:spacing w:line="360" w:lineRule="auto"/>
              <w:jc w:val="center"/>
              <w:textAlignment w:val="center"/>
              <w:rPr>
                <w:rFonts w:ascii="宋体" w:hAnsi="宋体"/>
                <w:color w:val="auto"/>
                <w:szCs w:val="21"/>
                <w:highlight w:val="none"/>
              </w:rPr>
            </w:pPr>
          </w:p>
        </w:tc>
        <w:tc>
          <w:tcPr>
            <w:tcW w:w="3818" w:type="dxa"/>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F-T合成催化剂、工艺参数调节能力</w:t>
            </w:r>
          </w:p>
        </w:tc>
        <w:tc>
          <w:tcPr>
            <w:tcW w:w="1191" w:type="dxa"/>
            <w:vMerge w:val="continue"/>
            <w:noWrap/>
            <w:vAlign w:val="center"/>
          </w:tcPr>
          <w:p>
            <w:pPr>
              <w:autoSpaceDN w:val="0"/>
              <w:spacing w:line="360" w:lineRule="auto"/>
              <w:jc w:val="center"/>
              <w:textAlignment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1083" w:type="dxa"/>
            <w:vMerge w:val="continue"/>
            <w:noWrap/>
            <w:vAlign w:val="center"/>
          </w:tcPr>
          <w:p>
            <w:pPr>
              <w:autoSpaceDN w:val="0"/>
              <w:spacing w:line="360" w:lineRule="auto"/>
              <w:jc w:val="center"/>
              <w:textAlignment w:val="center"/>
              <w:rPr>
                <w:rFonts w:ascii="宋体" w:hAnsi="宋体"/>
                <w:color w:val="auto"/>
                <w:szCs w:val="21"/>
                <w:highlight w:val="none"/>
              </w:rPr>
            </w:pPr>
          </w:p>
        </w:tc>
        <w:tc>
          <w:tcPr>
            <w:tcW w:w="2745" w:type="dxa"/>
            <w:vMerge w:val="continue"/>
            <w:noWrap/>
            <w:vAlign w:val="center"/>
          </w:tcPr>
          <w:p>
            <w:pPr>
              <w:autoSpaceDN w:val="0"/>
              <w:spacing w:line="360" w:lineRule="auto"/>
              <w:jc w:val="center"/>
              <w:textAlignment w:val="center"/>
              <w:rPr>
                <w:rFonts w:ascii="宋体" w:hAnsi="宋体"/>
                <w:color w:val="auto"/>
                <w:szCs w:val="21"/>
                <w:highlight w:val="none"/>
              </w:rPr>
            </w:pPr>
          </w:p>
        </w:tc>
        <w:tc>
          <w:tcPr>
            <w:tcW w:w="3818" w:type="dxa"/>
            <w:noWrap/>
            <w:vAlign w:val="center"/>
          </w:tcPr>
          <w:p>
            <w:pPr>
              <w:autoSpaceDN w:val="0"/>
              <w:spacing w:line="360" w:lineRule="auto"/>
              <w:jc w:val="center"/>
              <w:textAlignment w:val="center"/>
              <w:rPr>
                <w:rFonts w:ascii="宋体" w:hAnsi="宋体"/>
                <w:color w:val="auto"/>
                <w:szCs w:val="21"/>
                <w:highlight w:val="none"/>
              </w:rPr>
            </w:pPr>
            <w:r>
              <w:rPr>
                <w:rFonts w:hint="eastAsia" w:ascii="宋体" w:hAnsi="宋体"/>
                <w:color w:val="auto"/>
                <w:szCs w:val="21"/>
                <w:highlight w:val="none"/>
              </w:rPr>
              <w:t>F-T合成、甲醇转化流程的分析能力</w:t>
            </w:r>
          </w:p>
        </w:tc>
        <w:tc>
          <w:tcPr>
            <w:tcW w:w="1191" w:type="dxa"/>
            <w:vMerge w:val="continue"/>
            <w:noWrap/>
            <w:vAlign w:val="center"/>
          </w:tcPr>
          <w:p>
            <w:pPr>
              <w:autoSpaceDN w:val="0"/>
              <w:spacing w:line="360" w:lineRule="auto"/>
              <w:jc w:val="center"/>
              <w:textAlignment w:val="center"/>
              <w:rPr>
                <w:rFonts w:ascii="宋体" w:hAnsi="宋体"/>
                <w:color w:val="auto"/>
                <w:szCs w:val="21"/>
                <w:highlight w:val="none"/>
              </w:rPr>
            </w:pPr>
          </w:p>
        </w:tc>
      </w:tr>
    </w:tbl>
    <w:p>
      <w:pPr>
        <w:spacing w:line="360" w:lineRule="auto"/>
        <w:ind w:firstLine="600" w:firstLineChars="200"/>
        <w:rPr>
          <w:rFonts w:ascii="仿宋_GB2312" w:hAnsi="宋体" w:eastAsia="仿宋_GB2312"/>
          <w:bCs/>
          <w:color w:val="auto"/>
          <w:sz w:val="30"/>
          <w:szCs w:val="30"/>
          <w:highlight w:val="none"/>
        </w:rPr>
      </w:pPr>
    </w:p>
    <w:p>
      <w:pPr>
        <w:spacing w:line="360" w:lineRule="auto"/>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（三）课程体系设置</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依据</w:t>
      </w:r>
      <w:r>
        <w:rPr>
          <w:rFonts w:hint="eastAsia" w:ascii="Times New Roman" w:hAnsi="Times New Roman"/>
          <w:bCs/>
          <w:color w:val="auto"/>
          <w:sz w:val="24"/>
          <w:highlight w:val="none"/>
          <w:lang w:val="en-US" w:eastAsia="zh-CN"/>
        </w:rPr>
        <w:t>煤炭深加工与利用专业</w:t>
      </w:r>
      <w:r>
        <w:rPr>
          <w:rFonts w:hint="eastAsia" w:asciiTheme="majorEastAsia" w:hAnsiTheme="majorEastAsia" w:eastAsiaTheme="majorEastAsia" w:cstheme="majorEastAsia"/>
          <w:bCs/>
          <w:color w:val="auto"/>
          <w:sz w:val="24"/>
          <w:highlight w:val="none"/>
        </w:rPr>
        <w:t>专业标准</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行业企业标准和职业岗位的任职需求，经过论证形成了本专业的课程体系，具体如下：</w:t>
      </w:r>
    </w:p>
    <w:p>
      <w:pPr>
        <w:spacing w:before="312" w:beforeLines="100" w:after="312" w:afterLines="100"/>
        <w:ind w:firstLine="493"/>
        <w:jc w:val="center"/>
        <w:rPr>
          <w:rFonts w:ascii="宋体" w:hAnsi="宋体" w:cs="宋体"/>
          <w:b/>
          <w:bCs/>
          <w:color w:val="auto"/>
          <w:kern w:val="0"/>
          <w:sz w:val="24"/>
          <w:highlight w:val="none"/>
        </w:rPr>
      </w:pPr>
      <w:r>
        <w:rPr>
          <w:rFonts w:hint="eastAsia" w:ascii="宋体" w:hAnsi="宋体"/>
          <w:b/>
          <w:bCs/>
          <w:color w:val="auto"/>
          <w:sz w:val="24"/>
          <w:highlight w:val="none"/>
        </w:rPr>
        <w:t>煤炭深加工与利用</w:t>
      </w:r>
      <w:r>
        <w:rPr>
          <w:rFonts w:hint="eastAsia" w:ascii="宋体" w:hAnsi="宋体" w:cs="宋体"/>
          <w:b/>
          <w:bCs/>
          <w:color w:val="auto"/>
          <w:kern w:val="0"/>
          <w:sz w:val="24"/>
          <w:highlight w:val="none"/>
        </w:rPr>
        <w:t>专业的课程体系</w:t>
      </w:r>
    </w:p>
    <w:tbl>
      <w:tblPr>
        <w:tblStyle w:val="15"/>
        <w:tblW w:w="938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88"/>
        <w:gridCol w:w="524"/>
        <w:gridCol w:w="1213"/>
        <w:gridCol w:w="910"/>
        <w:gridCol w:w="440"/>
        <w:gridCol w:w="666"/>
        <w:gridCol w:w="550"/>
        <w:gridCol w:w="629"/>
        <w:gridCol w:w="6"/>
        <w:gridCol w:w="693"/>
        <w:gridCol w:w="6"/>
        <w:gridCol w:w="534"/>
        <w:gridCol w:w="633"/>
        <w:gridCol w:w="677"/>
        <w:gridCol w:w="12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688" w:type="dxa"/>
            <w:vMerge w:val="restart"/>
            <w:tcBorders>
              <w:top w:val="single" w:color="auto" w:sz="12" w:space="0"/>
              <w:left w:val="single" w:color="auto" w:sz="12"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课程类别</w:t>
            </w:r>
          </w:p>
        </w:tc>
        <w:tc>
          <w:tcPr>
            <w:tcW w:w="1737" w:type="dxa"/>
            <w:gridSpan w:val="2"/>
            <w:vMerge w:val="restart"/>
            <w:tcBorders>
              <w:top w:val="single" w:color="auto" w:sz="12"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课程名称</w:t>
            </w:r>
          </w:p>
        </w:tc>
        <w:tc>
          <w:tcPr>
            <w:tcW w:w="910" w:type="dxa"/>
            <w:vMerge w:val="restart"/>
            <w:tcBorders>
              <w:top w:val="single" w:color="auto" w:sz="12"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课程性质</w:t>
            </w:r>
          </w:p>
        </w:tc>
        <w:tc>
          <w:tcPr>
            <w:tcW w:w="440" w:type="dxa"/>
            <w:vMerge w:val="restart"/>
            <w:tcBorders>
              <w:top w:val="single" w:color="auto" w:sz="12" w:space="0"/>
              <w:left w:val="single" w:color="auto" w:sz="6" w:space="0"/>
              <w:bottom w:val="single" w:color="auto" w:sz="6" w:space="0"/>
              <w:right w:val="single" w:color="auto" w:sz="4"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课程类型</w:t>
            </w:r>
          </w:p>
        </w:tc>
        <w:tc>
          <w:tcPr>
            <w:tcW w:w="666" w:type="dxa"/>
            <w:vMerge w:val="restart"/>
            <w:tcBorders>
              <w:top w:val="single" w:color="auto" w:sz="12" w:space="0"/>
              <w:left w:val="single" w:color="auto" w:sz="4"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学时小计</w:t>
            </w:r>
          </w:p>
        </w:tc>
        <w:tc>
          <w:tcPr>
            <w:tcW w:w="3728" w:type="dxa"/>
            <w:gridSpan w:val="8"/>
            <w:tcBorders>
              <w:top w:val="single" w:color="auto" w:sz="12"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参考学时数（学期课时数）</w:t>
            </w:r>
          </w:p>
        </w:tc>
        <w:tc>
          <w:tcPr>
            <w:tcW w:w="1215" w:type="dxa"/>
            <w:tcBorders>
              <w:top w:val="single" w:color="auto" w:sz="12" w:space="0"/>
              <w:left w:val="single" w:color="auto" w:sz="6" w:space="0"/>
              <w:bottom w:val="single" w:color="auto" w:sz="6" w:space="0"/>
              <w:right w:val="single" w:color="auto" w:sz="12"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688" w:type="dxa"/>
            <w:vMerge w:val="continue"/>
            <w:tcBorders>
              <w:top w:val="single" w:color="auto" w:sz="12" w:space="0"/>
              <w:left w:val="single" w:color="auto" w:sz="12" w:space="0"/>
              <w:bottom w:val="single" w:color="auto" w:sz="6" w:space="0"/>
              <w:right w:val="single" w:color="auto" w:sz="6" w:space="0"/>
            </w:tcBorders>
            <w:shd w:val="clear" w:color="auto" w:fill="auto"/>
            <w:noWrap/>
            <w:vAlign w:val="center"/>
          </w:tcPr>
          <w:p>
            <w:pPr>
              <w:widowControl/>
              <w:spacing w:line="240" w:lineRule="exact"/>
              <w:jc w:val="left"/>
              <w:rPr>
                <w:rFonts w:ascii="仿宋_GB2312" w:hAnsi="仿宋_GB2312" w:eastAsia="仿宋_GB2312" w:cs="宋体"/>
                <w:b/>
                <w:bCs/>
                <w:color w:val="auto"/>
                <w:kern w:val="0"/>
                <w:szCs w:val="21"/>
                <w:highlight w:val="none"/>
              </w:rPr>
            </w:pPr>
          </w:p>
        </w:tc>
        <w:tc>
          <w:tcPr>
            <w:tcW w:w="1737" w:type="dxa"/>
            <w:gridSpan w:val="2"/>
            <w:vMerge w:val="continue"/>
            <w:tcBorders>
              <w:top w:val="single" w:color="auto" w:sz="12" w:space="0"/>
              <w:left w:val="single" w:color="auto" w:sz="6" w:space="0"/>
              <w:bottom w:val="single" w:color="auto" w:sz="6" w:space="0"/>
              <w:right w:val="single" w:color="auto" w:sz="6" w:space="0"/>
            </w:tcBorders>
            <w:shd w:val="clear" w:color="auto" w:fill="auto"/>
            <w:noWrap/>
            <w:vAlign w:val="center"/>
          </w:tcPr>
          <w:p>
            <w:pPr>
              <w:widowControl/>
              <w:spacing w:line="240" w:lineRule="exact"/>
              <w:jc w:val="left"/>
              <w:rPr>
                <w:rFonts w:ascii="仿宋_GB2312" w:hAnsi="仿宋_GB2312" w:eastAsia="仿宋_GB2312" w:cs="宋体"/>
                <w:b/>
                <w:bCs/>
                <w:color w:val="auto"/>
                <w:kern w:val="0"/>
                <w:szCs w:val="21"/>
                <w:highlight w:val="none"/>
              </w:rPr>
            </w:pPr>
          </w:p>
        </w:tc>
        <w:tc>
          <w:tcPr>
            <w:tcW w:w="910" w:type="dxa"/>
            <w:vMerge w:val="continue"/>
            <w:tcBorders>
              <w:top w:val="single" w:color="auto" w:sz="12" w:space="0"/>
              <w:left w:val="single" w:color="auto" w:sz="6" w:space="0"/>
              <w:bottom w:val="single" w:color="auto" w:sz="6" w:space="0"/>
              <w:right w:val="single" w:color="auto" w:sz="6" w:space="0"/>
            </w:tcBorders>
            <w:shd w:val="clear" w:color="auto" w:fill="auto"/>
            <w:noWrap/>
            <w:vAlign w:val="center"/>
          </w:tcPr>
          <w:p>
            <w:pPr>
              <w:widowControl/>
              <w:spacing w:line="240" w:lineRule="exact"/>
              <w:jc w:val="left"/>
              <w:rPr>
                <w:rFonts w:ascii="仿宋_GB2312" w:hAnsi="仿宋_GB2312" w:eastAsia="仿宋_GB2312" w:cs="宋体"/>
                <w:b/>
                <w:bCs/>
                <w:color w:val="auto"/>
                <w:kern w:val="0"/>
                <w:szCs w:val="21"/>
                <w:highlight w:val="none"/>
              </w:rPr>
            </w:pPr>
          </w:p>
        </w:tc>
        <w:tc>
          <w:tcPr>
            <w:tcW w:w="440" w:type="dxa"/>
            <w:vMerge w:val="continue"/>
            <w:tcBorders>
              <w:top w:val="single" w:color="auto" w:sz="12" w:space="0"/>
              <w:left w:val="single" w:color="auto" w:sz="6" w:space="0"/>
              <w:bottom w:val="single" w:color="auto" w:sz="6" w:space="0"/>
              <w:right w:val="single" w:color="auto" w:sz="4" w:space="0"/>
            </w:tcBorders>
            <w:shd w:val="clear" w:color="auto" w:fill="auto"/>
            <w:noWrap/>
            <w:vAlign w:val="center"/>
          </w:tcPr>
          <w:p>
            <w:pPr>
              <w:widowControl/>
              <w:spacing w:line="240" w:lineRule="exact"/>
              <w:jc w:val="left"/>
              <w:rPr>
                <w:rFonts w:ascii="Calibri" w:hAnsi="Calibri" w:eastAsia="仿宋_GB2312" w:cs="宋体"/>
                <w:color w:val="auto"/>
                <w:szCs w:val="21"/>
                <w:highlight w:val="none"/>
              </w:rPr>
            </w:pPr>
          </w:p>
        </w:tc>
        <w:tc>
          <w:tcPr>
            <w:tcW w:w="666" w:type="dxa"/>
            <w:vMerge w:val="continue"/>
            <w:tcBorders>
              <w:top w:val="single" w:color="auto" w:sz="12" w:space="0"/>
              <w:left w:val="single" w:color="auto" w:sz="4" w:space="0"/>
              <w:bottom w:val="single" w:color="auto" w:sz="6" w:space="0"/>
              <w:right w:val="single" w:color="auto" w:sz="6" w:space="0"/>
            </w:tcBorders>
            <w:shd w:val="clear" w:color="auto" w:fill="auto"/>
            <w:noWrap/>
            <w:vAlign w:val="center"/>
          </w:tcPr>
          <w:p>
            <w:pPr>
              <w:widowControl/>
              <w:spacing w:line="240" w:lineRule="exact"/>
              <w:jc w:val="left"/>
              <w:rPr>
                <w:rFonts w:ascii="仿宋_GB2312" w:hAnsi="仿宋_GB2312" w:eastAsia="仿宋_GB2312" w:cs="宋体"/>
                <w:b/>
                <w:bCs/>
                <w:color w:val="auto"/>
                <w:kern w:val="0"/>
                <w:szCs w:val="21"/>
                <w:highlight w:val="none"/>
              </w:rPr>
            </w:pPr>
          </w:p>
        </w:tc>
        <w:tc>
          <w:tcPr>
            <w:tcW w:w="1179" w:type="dxa"/>
            <w:gridSpan w:val="2"/>
            <w:tcBorders>
              <w:top w:val="single" w:color="auto" w:sz="6"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第一</w:t>
            </w:r>
          </w:p>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学年</w:t>
            </w:r>
          </w:p>
        </w:tc>
        <w:tc>
          <w:tcPr>
            <w:tcW w:w="1239" w:type="dxa"/>
            <w:gridSpan w:val="4"/>
            <w:tcBorders>
              <w:top w:val="single" w:color="auto" w:sz="6"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第二</w:t>
            </w:r>
          </w:p>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学年</w:t>
            </w:r>
          </w:p>
        </w:tc>
        <w:tc>
          <w:tcPr>
            <w:tcW w:w="1310" w:type="dxa"/>
            <w:gridSpan w:val="2"/>
            <w:tcBorders>
              <w:top w:val="single" w:color="auto" w:sz="6"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第三</w:t>
            </w:r>
          </w:p>
          <w:p>
            <w:pPr>
              <w:widowControl/>
              <w:spacing w:line="240" w:lineRule="exact"/>
              <w:jc w:val="center"/>
              <w:rPr>
                <w:rFonts w:ascii="仿宋_GB2312" w:hAnsi="仿宋_GB2312" w:eastAsia="仿宋_GB2312" w:cs="宋体"/>
                <w:b/>
                <w:bCs/>
                <w:color w:val="auto"/>
                <w:kern w:val="0"/>
                <w:szCs w:val="21"/>
                <w:highlight w:val="none"/>
              </w:rPr>
            </w:pPr>
            <w:r>
              <w:rPr>
                <w:rFonts w:hint="eastAsia" w:ascii="仿宋_GB2312" w:hAnsi="仿宋_GB2312" w:eastAsia="仿宋_GB2312" w:cs="宋体"/>
                <w:b/>
                <w:bCs/>
                <w:color w:val="auto"/>
                <w:kern w:val="0"/>
                <w:szCs w:val="21"/>
                <w:highlight w:val="none"/>
              </w:rPr>
              <w:t>学年</w:t>
            </w:r>
          </w:p>
        </w:tc>
        <w:tc>
          <w:tcPr>
            <w:tcW w:w="1215" w:type="dxa"/>
            <w:tcBorders>
              <w:top w:val="single" w:color="auto" w:sz="12" w:space="0"/>
              <w:left w:val="single" w:color="auto" w:sz="6" w:space="0"/>
              <w:bottom w:val="single" w:color="auto" w:sz="6" w:space="0"/>
              <w:right w:val="single" w:color="auto" w:sz="12" w:space="0"/>
            </w:tcBorders>
            <w:noWrap/>
            <w:vAlign w:val="center"/>
          </w:tcPr>
          <w:p>
            <w:pPr>
              <w:widowControl/>
              <w:spacing w:line="240" w:lineRule="exact"/>
              <w:jc w:val="left"/>
              <w:rPr>
                <w:rFonts w:ascii="仿宋_GB2312" w:hAnsi="仿宋_GB2312" w:eastAsia="仿宋_GB2312" w:cs="宋体"/>
                <w:b/>
                <w:bCs/>
                <w:color w:val="auto"/>
                <w:kern w:val="0"/>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88" w:type="dxa"/>
            <w:vMerge w:val="restart"/>
            <w:tcBorders>
              <w:top w:val="single" w:color="auto" w:sz="6" w:space="0"/>
              <w:left w:val="single" w:color="auto" w:sz="12" w:space="0"/>
              <w:bottom w:val="single" w:color="auto" w:sz="6" w:space="0"/>
              <w:right w:val="single" w:color="auto" w:sz="6" w:space="0"/>
            </w:tcBorders>
            <w:noWrap/>
            <w:textDirection w:val="tbRlV"/>
            <w:vAlign w:val="center"/>
          </w:tcPr>
          <w:p>
            <w:pPr>
              <w:widowControl/>
              <w:spacing w:line="360" w:lineRule="auto"/>
              <w:ind w:left="113" w:right="113"/>
              <w:jc w:val="center"/>
              <w:rPr>
                <w:rFonts w:ascii="宋体" w:hAnsi="宋体" w:eastAsia="宋体" w:cs="宋体"/>
                <w:b/>
                <w:color w:val="auto"/>
                <w:kern w:val="0"/>
                <w:szCs w:val="18"/>
                <w:highlight w:val="none"/>
              </w:rPr>
            </w:pPr>
            <w:r>
              <w:rPr>
                <w:rFonts w:hint="eastAsia" w:ascii="宋体" w:hAnsi="宋体" w:cs="宋体"/>
                <w:b/>
                <w:color w:val="auto"/>
                <w:kern w:val="0"/>
                <w:szCs w:val="18"/>
                <w:highlight w:val="none"/>
              </w:rPr>
              <w:t>公共基础课程</w:t>
            </w: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高职语文与中华传统文化</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68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32</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高职数学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100</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64</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实践33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高职英语</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100</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64</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实践33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计算机应用</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实践36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体育与健康</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136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32</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32</w:t>
            </w: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实践120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5"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思想道德修养与法律基础</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68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32</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5"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毛泽东思想和中国特色社会主义理论体系概论</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68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32</w:t>
            </w: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形势与政策</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s="宋体"/>
                <w:color w:val="auto"/>
                <w:szCs w:val="18"/>
                <w:highlight w:val="none"/>
              </w:rPr>
              <w:t>36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21"/>
                <w:highlight w:val="none"/>
                <w:lang w:val="en-US" w:eastAsia="zh-CN"/>
              </w:rPr>
              <w:t>9</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21"/>
                <w:highlight w:val="none"/>
                <w:lang w:val="en-US" w:eastAsia="zh-CN"/>
              </w:rPr>
              <w:t>9</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21"/>
                <w:highlight w:val="none"/>
                <w:lang w:val="en-US" w:eastAsia="zh-CN"/>
              </w:rPr>
              <w:t>9</w:t>
            </w: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21"/>
                <w:highlight w:val="none"/>
                <w:lang w:val="en-US" w:eastAsia="zh-CN"/>
              </w:rPr>
              <w:t>9</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hint="eastAsia" w:ascii="宋体" w:hAnsi="宋体"/>
                <w:color w:val="auto"/>
                <w:szCs w:val="18"/>
                <w:highlight w:val="none"/>
              </w:rPr>
            </w:pPr>
            <w:r>
              <w:rPr>
                <w:rFonts w:hint="eastAsia" w:ascii="宋体" w:hAnsi="宋体"/>
                <w:color w:val="auto"/>
                <w:szCs w:val="18"/>
                <w:highlight w:val="none"/>
              </w:rPr>
              <w:t>讲座形式</w:t>
            </w:r>
          </w:p>
          <w:p>
            <w:pPr>
              <w:widowControl/>
              <w:spacing w:line="240" w:lineRule="exact"/>
              <w:ind w:firstLine="210" w:firstLineChars="100"/>
              <w:jc w:val="both"/>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实践20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安全教育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36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21"/>
                <w:highlight w:val="none"/>
                <w:lang w:val="en-US" w:eastAsia="zh-CN"/>
              </w:rPr>
              <w:t>9</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21"/>
                <w:highlight w:val="none"/>
                <w:lang w:val="en-US" w:eastAsia="zh-CN"/>
              </w:rPr>
              <w:t>9</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21"/>
                <w:highlight w:val="none"/>
                <w:lang w:val="en-US" w:eastAsia="zh-CN"/>
              </w:rPr>
              <w:t>9</w:t>
            </w: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18"/>
                <w:highlight w:val="none"/>
                <w:lang w:eastAsia="zh-CN"/>
              </w:rPr>
            </w:pPr>
            <w:r>
              <w:rPr>
                <w:rFonts w:hint="eastAsia" w:asciiTheme="majorEastAsia" w:hAnsiTheme="majorEastAsia" w:eastAsiaTheme="majorEastAsia" w:cstheme="majorEastAsia"/>
                <w:color w:val="auto"/>
                <w:szCs w:val="21"/>
                <w:highlight w:val="none"/>
                <w:lang w:val="en-US" w:eastAsia="zh-CN"/>
              </w:rPr>
              <w:t>9</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hint="eastAsia" w:ascii="宋体" w:hAnsi="宋体"/>
                <w:color w:val="auto"/>
                <w:szCs w:val="18"/>
                <w:highlight w:val="none"/>
                <w:lang w:val="en-US" w:eastAsia="zh-CN"/>
              </w:rPr>
            </w:pPr>
            <w:r>
              <w:rPr>
                <w:rFonts w:hint="eastAsia" w:ascii="宋体" w:hAnsi="宋体"/>
                <w:color w:val="auto"/>
                <w:szCs w:val="18"/>
                <w:highlight w:val="none"/>
              </w:rPr>
              <w:t>讲座</w:t>
            </w:r>
            <w:r>
              <w:rPr>
                <w:rFonts w:hint="eastAsia" w:ascii="宋体" w:hAnsi="宋体"/>
                <w:color w:val="auto"/>
                <w:szCs w:val="18"/>
                <w:highlight w:val="none"/>
                <w:lang w:eastAsia="zh-CN"/>
              </w:rPr>
              <w:t>、</w:t>
            </w:r>
            <w:r>
              <w:rPr>
                <w:rFonts w:hint="eastAsia" w:ascii="宋体" w:hAnsi="宋体"/>
                <w:color w:val="auto"/>
                <w:szCs w:val="18"/>
                <w:highlight w:val="none"/>
                <w:lang w:val="en-US" w:eastAsia="zh-CN"/>
              </w:rPr>
              <w:t>主题</w:t>
            </w:r>
            <w:r>
              <w:rPr>
                <w:rFonts w:hint="eastAsia" w:ascii="宋体" w:hAnsi="宋体"/>
                <w:color w:val="auto"/>
                <w:szCs w:val="18"/>
                <w:highlight w:val="none"/>
              </w:rPr>
              <w:t>班会</w:t>
            </w:r>
            <w:r>
              <w:rPr>
                <w:rFonts w:hint="eastAsia" w:ascii="宋体" w:hAnsi="宋体"/>
                <w:color w:val="auto"/>
                <w:szCs w:val="18"/>
                <w:highlight w:val="none"/>
                <w:lang w:val="en-US" w:eastAsia="zh-CN"/>
              </w:rPr>
              <w:t>形式</w:t>
            </w:r>
          </w:p>
          <w:p>
            <w:pPr>
              <w:widowControl/>
              <w:spacing w:line="240" w:lineRule="exact"/>
              <w:jc w:val="center"/>
              <w:rPr>
                <w:rFonts w:hint="default" w:ascii="宋体" w:hAnsi="宋体"/>
                <w:color w:val="auto"/>
                <w:szCs w:val="18"/>
                <w:highlight w:val="none"/>
                <w:lang w:val="en-US" w:eastAsia="zh-CN"/>
              </w:rPr>
            </w:pPr>
            <w:r>
              <w:rPr>
                <w:rFonts w:hint="eastAsia" w:ascii="宋体" w:hAnsi="宋体"/>
                <w:color w:val="auto"/>
                <w:szCs w:val="18"/>
                <w:highlight w:val="none"/>
                <w:lang w:val="en-US" w:eastAsia="zh-CN"/>
              </w:rPr>
              <w:t>实践12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hint="eastAsia" w:ascii="宋体" w:hAnsi="宋体" w:cs="宋体" w:eastAsiaTheme="minorEastAsia"/>
                <w:color w:val="auto"/>
                <w:kern w:val="0"/>
                <w:szCs w:val="18"/>
                <w:highlight w:val="none"/>
                <w:lang w:val="en-US" w:eastAsia="zh-CN"/>
              </w:rPr>
            </w:pPr>
            <w:r>
              <w:rPr>
                <w:rFonts w:hint="eastAsia" w:ascii="宋体" w:hAnsi="宋体" w:cs="宋体"/>
                <w:color w:val="auto"/>
                <w:kern w:val="0"/>
                <w:szCs w:val="18"/>
                <w:highlight w:val="none"/>
                <w:lang w:val="en-US" w:eastAsia="zh-CN"/>
              </w:rPr>
              <w:t>劳动教育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hint="default" w:ascii="宋体" w:hAnsi="宋体" w:cs="宋体" w:eastAsiaTheme="minorEastAsia"/>
                <w:color w:val="auto"/>
                <w:kern w:val="0"/>
                <w:szCs w:val="18"/>
                <w:highlight w:val="none"/>
                <w:lang w:val="en-US" w:eastAsia="zh-CN"/>
              </w:rPr>
            </w:pPr>
            <w:r>
              <w:rPr>
                <w:rFonts w:hint="eastAsia" w:ascii="宋体" w:hAnsi="宋体" w:cs="宋体"/>
                <w:color w:val="auto"/>
                <w:kern w:val="0"/>
                <w:szCs w:val="18"/>
                <w:highlight w:val="none"/>
                <w:lang w:val="en-US" w:eastAsia="zh-CN"/>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hint="eastAsia"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21"/>
                <w:highlight w:val="none"/>
                <w:lang w:eastAsia="zh-CN"/>
              </w:rPr>
            </w:pPr>
            <w:r>
              <w:rPr>
                <w:rFonts w:hint="eastAsia" w:asciiTheme="majorEastAsia" w:hAnsiTheme="majorEastAsia" w:eastAsiaTheme="majorEastAsia" w:cstheme="majorEastAsia"/>
                <w:color w:val="auto"/>
                <w:szCs w:val="21"/>
                <w:highlight w:val="none"/>
                <w:lang w:val="en-US" w:eastAsia="zh-CN"/>
              </w:rPr>
              <w:t>9</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21"/>
                <w:highlight w:val="none"/>
                <w:lang w:eastAsia="zh-CN"/>
              </w:rPr>
            </w:pPr>
            <w:r>
              <w:rPr>
                <w:rFonts w:hint="eastAsia" w:asciiTheme="majorEastAsia" w:hAnsiTheme="majorEastAsia" w:eastAsiaTheme="majorEastAsia" w:cstheme="majorEastAsia"/>
                <w:color w:val="auto"/>
                <w:szCs w:val="21"/>
                <w:highlight w:val="none"/>
                <w:lang w:val="en-US" w:eastAsia="zh-CN"/>
              </w:rPr>
              <w:t>9</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21"/>
                <w:highlight w:val="none"/>
                <w:lang w:eastAsia="zh-CN"/>
              </w:rPr>
            </w:pPr>
            <w:r>
              <w:rPr>
                <w:rFonts w:hint="eastAsia" w:asciiTheme="majorEastAsia" w:hAnsiTheme="majorEastAsia" w:eastAsiaTheme="majorEastAsia" w:cstheme="majorEastAsia"/>
                <w:color w:val="auto"/>
                <w:szCs w:val="21"/>
                <w:highlight w:val="none"/>
                <w:lang w:val="en-US" w:eastAsia="zh-CN"/>
              </w:rPr>
              <w:t>9</w:t>
            </w: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hint="eastAsia" w:asciiTheme="majorEastAsia" w:hAnsiTheme="majorEastAsia" w:eastAsiaTheme="majorEastAsia" w:cstheme="majorEastAsia"/>
                <w:color w:val="auto"/>
                <w:szCs w:val="21"/>
                <w:highlight w:val="none"/>
                <w:lang w:eastAsia="zh-CN"/>
              </w:rPr>
            </w:pPr>
            <w:r>
              <w:rPr>
                <w:rFonts w:hint="eastAsia" w:asciiTheme="majorEastAsia" w:hAnsiTheme="majorEastAsia" w:eastAsiaTheme="majorEastAsia" w:cstheme="majorEastAsia"/>
                <w:color w:val="auto"/>
                <w:szCs w:val="21"/>
                <w:highlight w:val="none"/>
                <w:lang w:val="en-US" w:eastAsia="zh-CN"/>
              </w:rPr>
              <w:t>9</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hint="eastAsia" w:ascii="宋体" w:hAnsi="宋体"/>
                <w:color w:val="auto"/>
                <w:szCs w:val="18"/>
                <w:highlight w:val="none"/>
                <w:lang w:val="en-US" w:eastAsia="zh-CN"/>
              </w:rPr>
            </w:pPr>
            <w:r>
              <w:rPr>
                <w:rFonts w:hint="eastAsia" w:ascii="宋体" w:hAnsi="宋体"/>
                <w:color w:val="auto"/>
                <w:szCs w:val="18"/>
                <w:highlight w:val="none"/>
              </w:rPr>
              <w:t>讲座</w:t>
            </w:r>
            <w:r>
              <w:rPr>
                <w:rFonts w:hint="eastAsia" w:ascii="宋体" w:hAnsi="宋体"/>
                <w:color w:val="auto"/>
                <w:szCs w:val="18"/>
                <w:highlight w:val="none"/>
                <w:lang w:eastAsia="zh-CN"/>
              </w:rPr>
              <w:t>、</w:t>
            </w:r>
            <w:r>
              <w:rPr>
                <w:rFonts w:hint="eastAsia" w:ascii="宋体" w:hAnsi="宋体"/>
                <w:color w:val="auto"/>
                <w:szCs w:val="18"/>
                <w:highlight w:val="none"/>
                <w:lang w:val="en-US" w:eastAsia="zh-CN"/>
              </w:rPr>
              <w:t>主题</w:t>
            </w:r>
            <w:r>
              <w:rPr>
                <w:rFonts w:hint="eastAsia" w:ascii="宋体" w:hAnsi="宋体"/>
                <w:color w:val="auto"/>
                <w:szCs w:val="18"/>
                <w:highlight w:val="none"/>
              </w:rPr>
              <w:t>班会</w:t>
            </w:r>
            <w:r>
              <w:rPr>
                <w:rFonts w:hint="eastAsia" w:ascii="宋体" w:hAnsi="宋体"/>
                <w:color w:val="auto"/>
                <w:szCs w:val="18"/>
                <w:highlight w:val="none"/>
                <w:lang w:val="en-US" w:eastAsia="zh-CN"/>
              </w:rPr>
              <w:t>形式</w:t>
            </w:r>
          </w:p>
          <w:p>
            <w:pPr>
              <w:widowControl/>
              <w:spacing w:line="240" w:lineRule="exact"/>
              <w:jc w:val="center"/>
              <w:rPr>
                <w:rFonts w:hint="default" w:ascii="宋体" w:hAnsi="宋体"/>
                <w:color w:val="auto"/>
                <w:szCs w:val="18"/>
                <w:highlight w:val="none"/>
                <w:lang w:val="en-US" w:eastAsia="zh-CN"/>
              </w:rPr>
            </w:pPr>
            <w:r>
              <w:rPr>
                <w:rFonts w:hint="eastAsia" w:ascii="宋体" w:hAnsi="宋体"/>
                <w:color w:val="auto"/>
                <w:szCs w:val="18"/>
                <w:highlight w:val="none"/>
                <w:lang w:val="en-US" w:eastAsia="zh-CN"/>
              </w:rPr>
              <w:t>实践24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心理健康教育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2/8</w:t>
            </w:r>
          </w:p>
        </w:tc>
        <w:tc>
          <w:tcPr>
            <w:tcW w:w="635" w:type="dxa"/>
            <w:gridSpan w:val="2"/>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93" w:type="dxa"/>
            <w:tcBorders>
              <w:top w:val="single" w:color="auto" w:sz="6" w:space="0"/>
              <w:left w:val="single" w:color="auto" w:sz="4"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0" w:type="dxa"/>
            <w:gridSpan w:val="2"/>
            <w:tcBorders>
              <w:top w:val="single" w:color="auto" w:sz="6" w:space="0"/>
              <w:left w:val="single" w:color="auto" w:sz="4"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公共艺术</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2/8</w:t>
            </w:r>
          </w:p>
        </w:tc>
        <w:tc>
          <w:tcPr>
            <w:tcW w:w="629"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职业规划与就业指导</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2/9</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创新创业教育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18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olor w:val="auto"/>
                <w:szCs w:val="18"/>
                <w:highlight w:val="none"/>
              </w:rPr>
            </w:pPr>
            <w:r>
              <w:rPr>
                <w:rFonts w:hint="eastAsia" w:ascii="宋体" w:hAnsi="宋体"/>
                <w:color w:val="auto"/>
                <w:szCs w:val="18"/>
                <w:highlight w:val="none"/>
              </w:rPr>
              <w:t>2/9</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b/>
                <w:color w:val="auto"/>
                <w:szCs w:val="18"/>
                <w:highlight w:val="none"/>
              </w:rPr>
            </w:pPr>
            <w:r>
              <w:rPr>
                <w:rFonts w:hint="eastAsia" w:ascii="宋体" w:hAnsi="宋体"/>
                <w:color w:val="auto"/>
                <w:szCs w:val="18"/>
                <w:highlight w:val="none"/>
              </w:rPr>
              <w:t>实践8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9"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b/>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小计</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color w:val="auto"/>
                <w:szCs w:val="18"/>
                <w:highlight w:val="none"/>
              </w:rPr>
            </w:pP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b w:val="0"/>
                <w:bCs w:val="0"/>
                <w:color w:val="auto"/>
                <w:szCs w:val="18"/>
                <w:highlight w:val="none"/>
                <w:lang w:val="en-US" w:eastAsia="zh-CN"/>
              </w:rPr>
            </w:pPr>
            <w:r>
              <w:rPr>
                <w:rFonts w:hint="eastAsia" w:ascii="宋体" w:hAnsi="宋体"/>
                <w:b w:val="0"/>
                <w:bCs w:val="0"/>
                <w:color w:val="auto"/>
                <w:szCs w:val="18"/>
                <w:highlight w:val="none"/>
              </w:rPr>
              <w:t>7</w:t>
            </w:r>
            <w:r>
              <w:rPr>
                <w:rFonts w:hint="eastAsia" w:ascii="宋体" w:hAnsi="宋体"/>
                <w:b w:val="0"/>
                <w:bCs w:val="0"/>
                <w:color w:val="auto"/>
                <w:szCs w:val="18"/>
                <w:highlight w:val="none"/>
                <w:lang w:val="en-US" w:eastAsia="zh-CN"/>
              </w:rPr>
              <w:t>88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b w:val="0"/>
                <w:bCs w:val="0"/>
                <w:color w:val="auto"/>
                <w:szCs w:val="18"/>
                <w:highlight w:val="none"/>
                <w:lang w:val="en-US" w:eastAsia="zh-CN"/>
              </w:rPr>
            </w:pPr>
            <w:r>
              <w:rPr>
                <w:rFonts w:hint="eastAsia" w:ascii="宋体" w:hAnsi="宋体"/>
                <w:b w:val="0"/>
                <w:bCs w:val="0"/>
                <w:color w:val="auto"/>
                <w:szCs w:val="18"/>
                <w:highlight w:val="none"/>
                <w:lang w:val="en-US" w:eastAsia="zh-CN"/>
              </w:rPr>
              <w:t>283</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eastAsia" w:ascii="宋体" w:hAnsi="宋体" w:eastAsiaTheme="minorEastAsia"/>
                <w:b w:val="0"/>
                <w:bCs w:val="0"/>
                <w:color w:val="auto"/>
                <w:szCs w:val="18"/>
                <w:highlight w:val="none"/>
                <w:lang w:eastAsia="zh-CN"/>
              </w:rPr>
            </w:pPr>
            <w:r>
              <w:rPr>
                <w:rFonts w:ascii="宋体" w:hAnsi="宋体"/>
                <w:b w:val="0"/>
                <w:bCs w:val="0"/>
                <w:color w:val="auto"/>
                <w:szCs w:val="18"/>
                <w:highlight w:val="none"/>
              </w:rPr>
              <w:t>27</w:t>
            </w:r>
            <w:r>
              <w:rPr>
                <w:rFonts w:hint="eastAsia" w:ascii="宋体" w:hAnsi="宋体"/>
                <w:b w:val="0"/>
                <w:bCs w:val="0"/>
                <w:color w:val="auto"/>
                <w:szCs w:val="18"/>
                <w:highlight w:val="none"/>
                <w:lang w:val="en-US" w:eastAsia="zh-CN"/>
              </w:rPr>
              <w:t>9</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b w:val="0"/>
                <w:bCs w:val="0"/>
                <w:color w:val="auto"/>
                <w:szCs w:val="18"/>
                <w:highlight w:val="none"/>
                <w:lang w:val="en-US" w:eastAsia="zh-CN"/>
              </w:rPr>
            </w:pPr>
            <w:r>
              <w:rPr>
                <w:rFonts w:hint="eastAsia" w:ascii="宋体" w:hAnsi="宋体"/>
                <w:b w:val="0"/>
                <w:bCs w:val="0"/>
                <w:color w:val="auto"/>
                <w:szCs w:val="18"/>
                <w:highlight w:val="none"/>
                <w:lang w:val="en-US" w:eastAsia="zh-CN"/>
              </w:rPr>
              <w:t>91</w:t>
            </w: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b w:val="0"/>
                <w:bCs w:val="0"/>
                <w:color w:val="auto"/>
                <w:szCs w:val="18"/>
                <w:highlight w:val="none"/>
                <w:lang w:val="en-US" w:eastAsia="zh-CN"/>
              </w:rPr>
            </w:pPr>
            <w:r>
              <w:rPr>
                <w:rFonts w:hint="eastAsia" w:ascii="宋体" w:hAnsi="宋体"/>
                <w:b w:val="0"/>
                <w:bCs w:val="0"/>
                <w:color w:val="auto"/>
                <w:szCs w:val="18"/>
                <w:highlight w:val="none"/>
              </w:rPr>
              <w:t>1</w:t>
            </w:r>
            <w:r>
              <w:rPr>
                <w:rFonts w:hint="eastAsia" w:ascii="宋体" w:hAnsi="宋体"/>
                <w:b w:val="0"/>
                <w:bCs w:val="0"/>
                <w:color w:val="auto"/>
                <w:szCs w:val="18"/>
                <w:highlight w:val="none"/>
                <w:lang w:val="en-US" w:eastAsia="zh-CN"/>
              </w:rPr>
              <w:t>35</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b w:val="0"/>
                <w:bCs w:val="0"/>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b w:val="0"/>
                <w:bCs w:val="0"/>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hint="default" w:ascii="宋体" w:hAnsi="宋体" w:eastAsiaTheme="minorEastAsia"/>
                <w:b w:val="0"/>
                <w:bCs w:val="0"/>
                <w:color w:val="auto"/>
                <w:szCs w:val="18"/>
                <w:highlight w:val="none"/>
                <w:lang w:val="en-US" w:eastAsia="zh-CN"/>
              </w:rPr>
            </w:pPr>
            <w:r>
              <w:rPr>
                <w:rFonts w:hint="eastAsia" w:ascii="宋体" w:hAnsi="宋体"/>
                <w:b w:val="0"/>
                <w:bCs w:val="0"/>
                <w:color w:val="auto"/>
                <w:szCs w:val="18"/>
                <w:highlight w:val="none"/>
              </w:rPr>
              <w:t>实践</w:t>
            </w:r>
            <w:r>
              <w:rPr>
                <w:rFonts w:hint="eastAsia" w:ascii="宋体" w:hAnsi="宋体"/>
                <w:b w:val="0"/>
                <w:bCs w:val="0"/>
                <w:color w:val="auto"/>
                <w:szCs w:val="18"/>
                <w:highlight w:val="none"/>
                <w:lang w:val="en-US" w:eastAsia="zh-CN"/>
              </w:rPr>
              <w:t>363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restart"/>
            <w:tcBorders>
              <w:top w:val="single" w:color="auto" w:sz="6" w:space="0"/>
              <w:left w:val="single" w:color="auto" w:sz="12" w:space="0"/>
              <w:bottom w:val="single" w:color="auto" w:sz="6" w:space="0"/>
              <w:right w:val="single" w:color="auto" w:sz="6" w:space="0"/>
            </w:tcBorders>
            <w:noWrap/>
            <w:textDirection w:val="tbRlV"/>
            <w:vAlign w:val="center"/>
          </w:tcPr>
          <w:p>
            <w:pPr>
              <w:widowControl/>
              <w:ind w:left="113" w:right="113"/>
              <w:jc w:val="center"/>
              <w:rPr>
                <w:rFonts w:ascii="宋体" w:hAnsi="宋体" w:eastAsia="宋体" w:cs="宋体"/>
                <w:b/>
                <w:color w:val="auto"/>
                <w:kern w:val="0"/>
                <w:szCs w:val="18"/>
                <w:highlight w:val="none"/>
              </w:rPr>
            </w:pPr>
            <w:r>
              <w:rPr>
                <w:rFonts w:hint="eastAsia" w:ascii="宋体" w:hAnsi="宋体" w:cs="宋体"/>
                <w:b/>
                <w:color w:val="auto"/>
                <w:kern w:val="0"/>
                <w:szCs w:val="18"/>
                <w:highlight w:val="none"/>
              </w:rPr>
              <w:t>专业（技能）课程</w:t>
            </w: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r>
              <w:rPr>
                <w:color w:val="auto"/>
                <w:kern w:val="0"/>
                <w:szCs w:val="21"/>
                <w:highlight w:val="none"/>
              </w:rPr>
              <w:t>无机化学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color w:val="auto"/>
                <w:kern w:val="0"/>
                <w:szCs w:val="21"/>
                <w:highlight w:val="none"/>
              </w:rPr>
              <w:t>有机化学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color w:val="auto"/>
                <w:kern w:val="0"/>
                <w:szCs w:val="21"/>
                <w:highlight w:val="none"/>
              </w:rPr>
              <w:t>分析化学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olor w:val="auto"/>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32</w:t>
            </w: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color w:val="auto"/>
                <w:kern w:val="0"/>
                <w:szCs w:val="21"/>
                <w:highlight w:val="none"/>
              </w:rPr>
            </w:pPr>
            <w:r>
              <w:rPr>
                <w:color w:val="auto"/>
                <w:szCs w:val="21"/>
                <w:highlight w:val="none"/>
              </w:rPr>
              <w:t>化工安全技术</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kern w:val="0"/>
                <w:szCs w:val="21"/>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72</w:t>
            </w: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olor w:val="auto"/>
                <w:szCs w:val="18"/>
                <w:highlight w:val="none"/>
              </w:rPr>
            </w:pPr>
            <w:r>
              <w:rPr>
                <w:bCs/>
                <w:color w:val="auto"/>
                <w:kern w:val="0"/>
                <w:szCs w:val="21"/>
                <w:highlight w:val="none"/>
              </w:rPr>
              <w:t>化工单元操作</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olor w:val="auto"/>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136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72</w:t>
            </w: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实践84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bCs/>
                <w:color w:val="auto"/>
                <w:kern w:val="0"/>
                <w:szCs w:val="18"/>
                <w:highlight w:val="none"/>
              </w:rPr>
            </w:pPr>
            <w:r>
              <w:rPr>
                <w:bCs/>
                <w:color w:val="auto"/>
                <w:kern w:val="0"/>
                <w:szCs w:val="21"/>
                <w:highlight w:val="none"/>
              </w:rPr>
              <w:t>化工仪表</w:t>
            </w:r>
            <w:r>
              <w:rPr>
                <w:rFonts w:hint="eastAsia"/>
                <w:color w:val="auto"/>
                <w:highlight w:val="none"/>
              </w:rPr>
              <w:t>及自动化</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bCs/>
                <w:color w:val="auto"/>
                <w:kern w:val="0"/>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72</w:t>
            </w: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bCs/>
                <w:color w:val="auto"/>
                <w:kern w:val="0"/>
                <w:szCs w:val="21"/>
                <w:highlight w:val="none"/>
              </w:rPr>
            </w:pPr>
            <w:r>
              <w:rPr>
                <w:color w:val="auto"/>
                <w:szCs w:val="21"/>
                <w:highlight w:val="none"/>
              </w:rPr>
              <w:t>化工设备基础</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kern w:val="0"/>
                <w:szCs w:val="21"/>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bCs/>
                <w:color w:val="auto"/>
                <w:kern w:val="0"/>
                <w:szCs w:val="21"/>
                <w:highlight w:val="none"/>
              </w:rPr>
            </w:pPr>
            <w:r>
              <w:rPr>
                <w:rFonts w:hint="eastAsia" w:ascii="宋体" w:hAnsi="宋体" w:cs="宋体"/>
                <w:color w:val="auto"/>
                <w:kern w:val="0"/>
                <w:szCs w:val="18"/>
                <w:highlight w:val="none"/>
              </w:rPr>
              <w:t>物理化学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kern w:val="0"/>
                <w:szCs w:val="21"/>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100</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36</w:t>
            </w: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实践66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bCs/>
                <w:color w:val="auto"/>
                <w:kern w:val="0"/>
                <w:szCs w:val="18"/>
                <w:highlight w:val="none"/>
              </w:rPr>
            </w:pPr>
            <w:r>
              <w:rPr>
                <w:rFonts w:hint="eastAsia"/>
                <w:color w:val="auto"/>
                <w:highlight w:val="none"/>
              </w:rPr>
              <w:t xml:space="preserve">化工制图与CAD </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bCs/>
                <w:color w:val="auto"/>
                <w:kern w:val="0"/>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ind w:firstLine="420" w:firstLineChars="200"/>
              <w:rPr>
                <w:color w:val="auto"/>
                <w:szCs w:val="21"/>
                <w:highlight w:val="none"/>
              </w:rPr>
            </w:pPr>
            <w:r>
              <w:rPr>
                <w:rFonts w:hint="eastAsia"/>
                <w:color w:val="auto"/>
                <w:szCs w:val="21"/>
                <w:highlight w:val="none"/>
              </w:rPr>
              <w:t>煤化学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color w:val="auto"/>
                <w:kern w:val="0"/>
                <w:szCs w:val="21"/>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64</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bCs/>
                <w:color w:val="auto"/>
                <w:kern w:val="0"/>
                <w:szCs w:val="18"/>
                <w:highlight w:val="none"/>
              </w:rPr>
            </w:pPr>
            <w:r>
              <w:rPr>
                <w:rFonts w:hAnsi="宋体"/>
                <w:color w:val="auto"/>
                <w:szCs w:val="21"/>
                <w:highlight w:val="none"/>
              </w:rPr>
              <w:t>化工环境保护概论</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bCs/>
                <w:color w:val="auto"/>
                <w:kern w:val="0"/>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32</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实践22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hAnsi="宋体"/>
                <w:color w:val="auto"/>
                <w:szCs w:val="21"/>
                <w:highlight w:val="none"/>
              </w:rPr>
            </w:pPr>
            <w:r>
              <w:rPr>
                <w:rFonts w:hint="eastAsia"/>
                <w:color w:val="auto"/>
                <w:szCs w:val="21"/>
                <w:highlight w:val="none"/>
              </w:rPr>
              <w:t>洁净煤技术</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color w:val="auto"/>
                <w:kern w:val="0"/>
                <w:szCs w:val="21"/>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olor w:val="auto"/>
                <w:sz w:val="18"/>
                <w:szCs w:val="18"/>
                <w:highlight w:val="none"/>
              </w:rPr>
            </w:pPr>
            <w:r>
              <w:rPr>
                <w:rFonts w:hint="eastAsia"/>
                <w:color w:val="auto"/>
                <w:highlight w:val="none"/>
              </w:rPr>
              <w:t>煤质分析</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olor w:val="auto"/>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72</w:t>
            </w: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ind w:firstLine="210" w:firstLineChars="100"/>
              <w:rPr>
                <w:rFonts w:ascii="宋体" w:hAnsi="宋体"/>
                <w:color w:val="auto"/>
                <w:sz w:val="18"/>
                <w:szCs w:val="18"/>
                <w:highlight w:val="none"/>
              </w:rPr>
            </w:pPr>
            <w:r>
              <w:rPr>
                <w:rFonts w:hint="eastAsia"/>
                <w:color w:val="auto"/>
                <w:highlight w:val="none"/>
              </w:rPr>
              <w:t>煤气化工艺</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left w:val="single" w:color="auto" w:sz="12" w:space="0"/>
              <w:right w:val="single" w:color="auto" w:sz="6" w:space="0"/>
            </w:tcBorders>
            <w:noWrap/>
            <w:textDirection w:val="tbRlV"/>
            <w:vAlign w:val="center"/>
          </w:tcPr>
          <w:p>
            <w:pPr>
              <w:widowControl/>
              <w:ind w:left="113" w:right="113"/>
              <w:jc w:val="center"/>
              <w:rPr>
                <w:rFonts w:ascii="宋体" w:hAnsi="宋体"/>
                <w:b/>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rPr>
                <w:rFonts w:hAnsi="宋体"/>
                <w:color w:val="auto"/>
                <w:szCs w:val="21"/>
                <w:highlight w:val="none"/>
              </w:rPr>
            </w:pPr>
            <w:r>
              <w:rPr>
                <w:rFonts w:hint="eastAsia"/>
                <w:color w:val="auto"/>
                <w:highlight w:val="none"/>
              </w:rPr>
              <w:t>化工文献检索与处理</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36</w:t>
            </w:r>
          </w:p>
        </w:tc>
        <w:tc>
          <w:tcPr>
            <w:tcW w:w="633"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color w:val="auto"/>
                <w:szCs w:val="18"/>
                <w:highlight w:val="none"/>
              </w:rPr>
            </w:pP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color w:val="auto"/>
                <w:szCs w:val="18"/>
                <w:highlight w:val="none"/>
              </w:rPr>
            </w:pPr>
            <w:r>
              <w:rPr>
                <w:rFonts w:hint="eastAsia" w:ascii="宋体" w:hAnsi="宋体"/>
                <w:color w:val="auto"/>
                <w:szCs w:val="18"/>
                <w:highlight w:val="none"/>
              </w:rPr>
              <w:t>实践24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left w:val="single" w:color="auto" w:sz="12" w:space="0"/>
              <w:right w:val="single" w:color="auto" w:sz="6" w:space="0"/>
            </w:tcBorders>
            <w:noWrap/>
            <w:textDirection w:val="tbRlV"/>
            <w:vAlign w:val="center"/>
          </w:tcPr>
          <w:p>
            <w:pPr>
              <w:widowControl/>
              <w:ind w:left="113" w:right="113"/>
              <w:jc w:val="center"/>
              <w:rPr>
                <w:rFonts w:ascii="宋体" w:hAnsi="宋体"/>
                <w:b/>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rPr>
                <w:rFonts w:hAnsi="宋体"/>
                <w:color w:val="auto"/>
                <w:szCs w:val="21"/>
                <w:highlight w:val="none"/>
              </w:rPr>
            </w:pPr>
            <w:r>
              <w:rPr>
                <w:rFonts w:hint="eastAsia"/>
                <w:color w:val="auto"/>
                <w:highlight w:val="none"/>
              </w:rPr>
              <w:t>现代煤化工技术</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olor w:val="auto"/>
                <w:szCs w:val="18"/>
                <w:highlight w:val="none"/>
              </w:rPr>
            </w:pPr>
            <w:r>
              <w:rPr>
                <w:color w:val="auto"/>
                <w:kern w:val="0"/>
                <w:szCs w:val="21"/>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72</w:t>
            </w:r>
          </w:p>
        </w:tc>
        <w:tc>
          <w:tcPr>
            <w:tcW w:w="633"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color w:val="auto"/>
                <w:szCs w:val="18"/>
                <w:highlight w:val="none"/>
              </w:rPr>
            </w:pP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rPr>
                <w:rFonts w:ascii="宋体" w:hAnsi="宋体" w:cs="宋体"/>
                <w:color w:val="auto"/>
                <w:kern w:val="0"/>
                <w:szCs w:val="18"/>
                <w:highlight w:val="none"/>
              </w:rPr>
            </w:pP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olor w:val="auto"/>
                <w:szCs w:val="18"/>
                <w:highlight w:val="none"/>
              </w:rPr>
            </w:pP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color w:val="auto"/>
                <w:szCs w:val="18"/>
                <w:highlight w:val="none"/>
              </w:rPr>
            </w:pP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3" w:hRule="atLeast"/>
          <w:jc w:val="center"/>
        </w:trPr>
        <w:tc>
          <w:tcPr>
            <w:tcW w:w="688" w:type="dxa"/>
            <w:vMerge w:val="continue"/>
            <w:tcBorders>
              <w:top w:val="single" w:color="auto" w:sz="6" w:space="0"/>
              <w:left w:val="single" w:color="auto" w:sz="12" w:space="0"/>
              <w:bottom w:val="single" w:color="auto" w:sz="4"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4"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小计</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p>
        </w:tc>
        <w:tc>
          <w:tcPr>
            <w:tcW w:w="440" w:type="dxa"/>
            <w:tcBorders>
              <w:top w:val="single" w:color="auto" w:sz="6" w:space="0"/>
              <w:left w:val="single" w:color="auto" w:sz="6" w:space="0"/>
              <w:bottom w:val="single" w:color="auto" w:sz="6" w:space="0"/>
              <w:right w:val="single" w:color="auto" w:sz="6" w:space="0"/>
            </w:tcBorders>
            <w:noWrap/>
            <w:vAlign w:val="center"/>
          </w:tcPr>
          <w:p>
            <w:pPr>
              <w:spacing w:line="360" w:lineRule="auto"/>
              <w:jc w:val="center"/>
              <w:rPr>
                <w:rFonts w:ascii="宋体" w:hAnsi="宋体"/>
                <w:color w:val="auto"/>
                <w:szCs w:val="18"/>
                <w:highlight w:val="none"/>
              </w:rPr>
            </w:pPr>
          </w:p>
        </w:tc>
        <w:tc>
          <w:tcPr>
            <w:tcW w:w="666" w:type="dxa"/>
            <w:tcBorders>
              <w:top w:val="single" w:color="auto" w:sz="4" w:space="0"/>
              <w:left w:val="single" w:color="auto" w:sz="6" w:space="0"/>
              <w:bottom w:val="single" w:color="auto" w:sz="4" w:space="0"/>
              <w:right w:val="single" w:color="auto" w:sz="6" w:space="0"/>
            </w:tcBorders>
            <w:noWrap/>
            <w:vAlign w:val="center"/>
          </w:tcPr>
          <w:p>
            <w:pPr>
              <w:spacing w:line="360" w:lineRule="auto"/>
              <w:jc w:val="center"/>
              <w:rPr>
                <w:rFonts w:ascii="宋体" w:hAnsi="宋体" w:eastAsia="宋体"/>
                <w:color w:val="auto"/>
                <w:szCs w:val="18"/>
                <w:highlight w:val="none"/>
              </w:rPr>
            </w:pPr>
            <w:r>
              <w:rPr>
                <w:rFonts w:hint="eastAsia" w:ascii="宋体" w:hAnsi="宋体"/>
                <w:color w:val="auto"/>
                <w:szCs w:val="18"/>
                <w:highlight w:val="none"/>
              </w:rPr>
              <w:t>1088</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160</w:t>
            </w:r>
          </w:p>
        </w:tc>
        <w:tc>
          <w:tcPr>
            <w:tcW w:w="62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216</w:t>
            </w:r>
          </w:p>
        </w:tc>
        <w:tc>
          <w:tcPr>
            <w:tcW w:w="705"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352</w:t>
            </w: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360</w:t>
            </w:r>
          </w:p>
        </w:tc>
        <w:tc>
          <w:tcPr>
            <w:tcW w:w="633"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color w:val="auto"/>
                <w:szCs w:val="18"/>
                <w:highlight w:val="none"/>
              </w:rPr>
            </w:pP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spacing w:line="240" w:lineRule="exact"/>
              <w:jc w:val="center"/>
              <w:rPr>
                <w:rFonts w:hint="eastAsia" w:ascii="宋体" w:hAnsi="宋体" w:eastAsiaTheme="minorEastAsia"/>
                <w:color w:val="auto"/>
                <w:szCs w:val="18"/>
                <w:highlight w:val="none"/>
                <w:lang w:eastAsia="zh-CN"/>
              </w:rPr>
            </w:pPr>
            <w:r>
              <w:rPr>
                <w:rFonts w:hint="eastAsia" w:ascii="宋体" w:hAnsi="宋体"/>
                <w:color w:val="auto"/>
                <w:szCs w:val="18"/>
                <w:highlight w:val="none"/>
              </w:rPr>
              <w:t>实践71</w:t>
            </w:r>
            <w:r>
              <w:rPr>
                <w:rFonts w:hint="eastAsia" w:ascii="宋体" w:hAnsi="宋体"/>
                <w:color w:val="auto"/>
                <w:szCs w:val="18"/>
                <w:highlight w:val="none"/>
                <w:lang w:val="en-US" w:eastAsia="zh-CN"/>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restart"/>
            <w:tcBorders>
              <w:top w:val="single" w:color="auto" w:sz="4" w:space="0"/>
              <w:left w:val="single" w:color="auto" w:sz="12" w:space="0"/>
              <w:right w:val="single" w:color="auto" w:sz="6" w:space="0"/>
            </w:tcBorders>
            <w:noWrap/>
            <w:vAlign w:val="center"/>
          </w:tcPr>
          <w:p>
            <w:pPr>
              <w:widowControl/>
              <w:jc w:val="left"/>
              <w:rPr>
                <w:rFonts w:ascii="宋体" w:hAnsi="宋体"/>
                <w:color w:val="auto"/>
                <w:szCs w:val="18"/>
                <w:highlight w:val="none"/>
              </w:rPr>
            </w:pPr>
            <w:r>
              <w:rPr>
                <w:rFonts w:hint="eastAsia" w:ascii="宋体" w:hAnsi="宋体"/>
                <w:b/>
                <w:color w:val="auto"/>
                <w:szCs w:val="18"/>
                <w:highlight w:val="none"/>
              </w:rPr>
              <w:t>专业限选课程</w:t>
            </w:r>
          </w:p>
        </w:tc>
        <w:tc>
          <w:tcPr>
            <w:tcW w:w="1737" w:type="dxa"/>
            <w:gridSpan w:val="2"/>
            <w:tcBorders>
              <w:top w:val="single" w:color="auto" w:sz="4" w:space="0"/>
              <w:left w:val="single" w:color="auto" w:sz="6" w:space="0"/>
              <w:bottom w:val="single" w:color="auto" w:sz="6" w:space="0"/>
              <w:right w:val="single" w:color="auto" w:sz="6" w:space="0"/>
            </w:tcBorders>
            <w:noWrap/>
            <w:vAlign w:val="center"/>
          </w:tcPr>
          <w:p>
            <w:pPr>
              <w:widowControl/>
              <w:jc w:val="center"/>
              <w:rPr>
                <w:rFonts w:ascii="宋体" w:hAnsi="宋体" w:cs="宋体"/>
                <w:color w:val="auto"/>
                <w:kern w:val="0"/>
                <w:szCs w:val="18"/>
                <w:highlight w:val="none"/>
              </w:rPr>
            </w:pPr>
            <w:r>
              <w:rPr>
                <w:rFonts w:hint="eastAsia" w:ascii="宋体" w:hAnsi="宋体" w:cs="宋体"/>
                <w:color w:val="auto"/>
                <w:kern w:val="0"/>
                <w:szCs w:val="18"/>
                <w:highlight w:val="none"/>
              </w:rPr>
              <w:t>艺术哲学：美是如何诞生的</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exact"/>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eastAsia="宋体"/>
                <w:color w:val="auto"/>
                <w:szCs w:val="18"/>
                <w:highlight w:val="none"/>
              </w:rPr>
            </w:pPr>
            <w:r>
              <w:rPr>
                <w:rFonts w:hint="eastAsia" w:ascii="宋体" w:hAnsi="宋体"/>
                <w:color w:val="auto"/>
                <w:szCs w:val="18"/>
                <w:highlight w:val="none"/>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vMerge w:val="restart"/>
            <w:tcBorders>
              <w:top w:val="single" w:color="auto" w:sz="6" w:space="0"/>
              <w:left w:val="single" w:color="auto" w:sz="6" w:space="0"/>
              <w:bottom w:val="single" w:color="auto" w:sz="6" w:space="0"/>
              <w:right w:val="single" w:color="auto" w:sz="12" w:space="0"/>
            </w:tcBorders>
            <w:noWrap/>
            <w:vAlign w:val="center"/>
          </w:tcPr>
          <w:p>
            <w:pPr>
              <w:spacing w:line="240" w:lineRule="exact"/>
              <w:jc w:val="center"/>
              <w:rPr>
                <w:rFonts w:ascii="宋体" w:hAnsi="宋体"/>
                <w:color w:val="auto"/>
                <w:szCs w:val="18"/>
                <w:highlight w:val="none"/>
              </w:rPr>
            </w:pPr>
            <w:r>
              <w:rPr>
                <w:rFonts w:hint="eastAsia" w:ascii="宋体" w:hAnsi="宋体"/>
                <w:color w:val="auto"/>
                <w:szCs w:val="18"/>
                <w:highlight w:val="none"/>
              </w:rPr>
              <w:t>任选5门课程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6"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4" w:space="0"/>
              <w:right w:val="single" w:color="auto" w:sz="6" w:space="0"/>
            </w:tcBorders>
            <w:noWrap/>
            <w:vAlign w:val="center"/>
          </w:tcPr>
          <w:p>
            <w:pPr>
              <w:widowControl/>
              <w:jc w:val="center"/>
              <w:rPr>
                <w:rFonts w:ascii="宋体" w:hAnsi="宋体" w:cs="宋体"/>
                <w:color w:val="auto"/>
                <w:kern w:val="0"/>
                <w:szCs w:val="18"/>
                <w:highlight w:val="none"/>
              </w:rPr>
            </w:pPr>
            <w:r>
              <w:rPr>
                <w:rFonts w:hint="eastAsia" w:ascii="宋体" w:hAnsi="宋体" w:cs="宋体"/>
                <w:color w:val="auto"/>
                <w:kern w:val="0"/>
                <w:szCs w:val="18"/>
                <w:highlight w:val="none"/>
              </w:rPr>
              <w:t>习近平新时代中国特色社会主义思想与当代中国</w:t>
            </w:r>
          </w:p>
        </w:tc>
        <w:tc>
          <w:tcPr>
            <w:tcW w:w="910"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exact"/>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77" w:type="dxa"/>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vMerge w:val="continue"/>
            <w:tcBorders>
              <w:top w:val="single" w:color="auto" w:sz="6"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jc w:val="center"/>
              <w:rPr>
                <w:rFonts w:ascii="宋体" w:hAnsi="宋体" w:cs="宋体"/>
                <w:color w:val="auto"/>
                <w:kern w:val="0"/>
                <w:szCs w:val="18"/>
                <w:highlight w:val="none"/>
              </w:rPr>
            </w:pPr>
            <w:r>
              <w:rPr>
                <w:rFonts w:hint="eastAsia" w:ascii="宋体" w:hAnsi="宋体" w:cs="宋体"/>
                <w:color w:val="auto"/>
                <w:kern w:val="0"/>
                <w:szCs w:val="18"/>
                <w:highlight w:val="none"/>
              </w:rPr>
              <w:t>人工智能与信息社会</w:t>
            </w: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exact"/>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4" w:space="0"/>
              <w:left w:val="single" w:color="auto" w:sz="6" w:space="0"/>
              <w:bottom w:val="single" w:color="auto" w:sz="4"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vMerge w:val="continue"/>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化学与人类</w:t>
            </w: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vMerge w:val="continue"/>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8"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家园的治理：环境科学概论</w:t>
            </w: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vMerge w:val="continue"/>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jc w:val="center"/>
              <w:rPr>
                <w:rFonts w:ascii="宋体" w:hAnsi="宋体" w:cs="宋体"/>
                <w:color w:val="auto"/>
                <w:kern w:val="0"/>
                <w:szCs w:val="18"/>
                <w:highlight w:val="none"/>
              </w:rPr>
            </w:pPr>
            <w:r>
              <w:rPr>
                <w:rFonts w:hint="eastAsia" w:ascii="宋体" w:hAnsi="宋体" w:cs="宋体"/>
                <w:color w:val="auto"/>
                <w:kern w:val="0"/>
                <w:szCs w:val="18"/>
                <w:highlight w:val="none"/>
              </w:rPr>
              <w:t>情绪管理</w:t>
            </w: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exact"/>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4" w:space="0"/>
              <w:left w:val="single" w:color="auto" w:sz="6" w:space="0"/>
              <w:bottom w:val="single" w:color="auto" w:sz="4"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vMerge w:val="continue"/>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4"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ascii="宋体" w:hAnsi="宋体" w:cs="宋体"/>
                <w:color w:val="auto"/>
                <w:kern w:val="0"/>
                <w:szCs w:val="18"/>
                <w:highlight w:val="none"/>
              </w:rPr>
              <w:t>突发事件及自救互救</w:t>
            </w:r>
          </w:p>
        </w:tc>
        <w:tc>
          <w:tcPr>
            <w:tcW w:w="910" w:type="dxa"/>
            <w:tcBorders>
              <w:top w:val="single" w:color="auto" w:sz="4"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4"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4"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4"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4"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4"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4"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4"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77" w:type="dxa"/>
            <w:tcBorders>
              <w:top w:val="single" w:color="auto" w:sz="4"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vMerge w:val="continue"/>
            <w:tcBorders>
              <w:top w:val="single" w:color="auto" w:sz="4" w:space="0"/>
              <w:left w:val="single" w:color="auto" w:sz="6" w:space="0"/>
              <w:bottom w:val="single" w:color="auto" w:sz="6"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 w:hRule="atLeast"/>
          <w:jc w:val="center"/>
        </w:trPr>
        <w:tc>
          <w:tcPr>
            <w:tcW w:w="688" w:type="dxa"/>
            <w:vMerge w:val="continue"/>
            <w:tcBorders>
              <w:left w:val="single" w:color="auto" w:sz="12" w:space="0"/>
              <w:bottom w:val="single" w:color="auto" w:sz="6"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4" w:space="0"/>
              <w:right w:val="single" w:color="auto" w:sz="6" w:space="0"/>
            </w:tcBorders>
            <w:noWrap/>
            <w:vAlign w:val="center"/>
          </w:tcPr>
          <w:p>
            <w:pPr>
              <w:widowControl/>
              <w:jc w:val="center"/>
              <w:rPr>
                <w:rFonts w:ascii="宋体" w:hAnsi="宋体" w:cs="宋体"/>
                <w:color w:val="auto"/>
                <w:kern w:val="0"/>
                <w:szCs w:val="18"/>
                <w:highlight w:val="none"/>
              </w:rPr>
            </w:pPr>
            <w:r>
              <w:rPr>
                <w:rFonts w:hint="eastAsia" w:ascii="宋体" w:hAnsi="宋体" w:cs="宋体"/>
                <w:color w:val="auto"/>
                <w:kern w:val="0"/>
                <w:szCs w:val="18"/>
                <w:highlight w:val="none"/>
              </w:rPr>
              <w:t>大学生恋爱与性教育</w:t>
            </w:r>
          </w:p>
        </w:tc>
        <w:tc>
          <w:tcPr>
            <w:tcW w:w="910"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exact"/>
              <w:rPr>
                <w:rFonts w:ascii="宋体" w:hAnsi="宋体" w:cs="宋体"/>
                <w:color w:val="auto"/>
                <w:kern w:val="0"/>
                <w:szCs w:val="18"/>
                <w:highlight w:val="none"/>
              </w:rPr>
            </w:pPr>
            <w:r>
              <w:rPr>
                <w:rFonts w:hint="eastAsia" w:ascii="宋体"/>
                <w:color w:val="auto"/>
                <w:szCs w:val="18"/>
                <w:highlight w:val="none"/>
              </w:rPr>
              <w:t>选修</w:t>
            </w:r>
          </w:p>
        </w:tc>
        <w:tc>
          <w:tcPr>
            <w:tcW w:w="440" w:type="dxa"/>
            <w:tcBorders>
              <w:top w:val="single" w:color="auto" w:sz="6" w:space="0"/>
              <w:left w:val="single" w:color="auto" w:sz="6" w:space="0"/>
              <w:bottom w:val="single" w:color="auto" w:sz="4" w:space="0"/>
              <w:right w:val="single" w:color="auto" w:sz="6"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666"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50"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35" w:type="dxa"/>
            <w:gridSpan w:val="2"/>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93"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0" w:type="dxa"/>
            <w:gridSpan w:val="2"/>
            <w:tcBorders>
              <w:top w:val="single" w:color="auto" w:sz="6" w:space="0"/>
              <w:left w:val="single" w:color="auto" w:sz="6" w:space="0"/>
              <w:bottom w:val="single" w:color="auto" w:sz="4" w:space="0"/>
              <w:right w:val="single" w:color="auto" w:sz="4" w:space="0"/>
            </w:tcBorders>
            <w:noWrap/>
            <w:vAlign w:val="center"/>
          </w:tcPr>
          <w:p>
            <w:pPr>
              <w:widowControl/>
              <w:spacing w:line="360" w:lineRule="auto"/>
              <w:rPr>
                <w:rFonts w:ascii="宋体" w:hAnsi="宋体"/>
                <w:color w:val="auto"/>
                <w:szCs w:val="18"/>
                <w:highlight w:val="none"/>
              </w:rPr>
            </w:pPr>
          </w:p>
        </w:tc>
        <w:tc>
          <w:tcPr>
            <w:tcW w:w="633"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677" w:type="dxa"/>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vMerge w:val="continue"/>
            <w:tcBorders>
              <w:top w:val="single" w:color="auto" w:sz="6"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jc w:val="center"/>
        </w:trPr>
        <w:tc>
          <w:tcPr>
            <w:tcW w:w="688" w:type="dxa"/>
            <w:vMerge w:val="continue"/>
            <w:tcBorders>
              <w:left w:val="single" w:color="auto" w:sz="12" w:space="0"/>
              <w:bottom w:val="single" w:color="auto" w:sz="6"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p>
        </w:tc>
        <w:tc>
          <w:tcPr>
            <w:tcW w:w="440" w:type="dxa"/>
            <w:tcBorders>
              <w:top w:val="single" w:color="auto" w:sz="4" w:space="0"/>
              <w:left w:val="single" w:color="auto" w:sz="6" w:space="0"/>
              <w:bottom w:val="single" w:color="auto" w:sz="4" w:space="0"/>
              <w:right w:val="single" w:color="auto" w:sz="6" w:space="0"/>
            </w:tcBorders>
            <w:noWrap/>
            <w:vAlign w:val="center"/>
          </w:tcPr>
          <w:p>
            <w:pPr>
              <w:spacing w:line="360" w:lineRule="auto"/>
              <w:jc w:val="center"/>
              <w:rPr>
                <w:rFonts w:ascii="宋体" w:hAnsi="宋体"/>
                <w:color w:val="auto"/>
                <w:szCs w:val="18"/>
                <w:highlight w:val="none"/>
              </w:rPr>
            </w:pPr>
          </w:p>
        </w:tc>
        <w:tc>
          <w:tcPr>
            <w:tcW w:w="666" w:type="dxa"/>
            <w:tcBorders>
              <w:top w:val="single" w:color="auto" w:sz="4" w:space="0"/>
              <w:left w:val="single" w:color="auto" w:sz="6" w:space="0"/>
              <w:bottom w:val="single" w:color="auto" w:sz="4" w:space="0"/>
              <w:right w:val="single" w:color="auto" w:sz="6" w:space="0"/>
            </w:tcBorders>
            <w:noWrap/>
            <w:vAlign w:val="center"/>
          </w:tcPr>
          <w:p>
            <w:pPr>
              <w:spacing w:line="360" w:lineRule="auto"/>
              <w:jc w:val="center"/>
              <w:rPr>
                <w:rFonts w:ascii="宋体" w:hAnsi="宋体"/>
                <w:color w:val="auto"/>
                <w:szCs w:val="18"/>
                <w:highlight w:val="none"/>
              </w:rPr>
            </w:pP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35" w:type="dxa"/>
            <w:gridSpan w:val="2"/>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9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0" w:type="dxa"/>
            <w:gridSpan w:val="2"/>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color w:val="auto"/>
                <w:szCs w:val="18"/>
                <w:highlight w:val="none"/>
              </w:rPr>
            </w:pP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jc w:val="center"/>
        </w:trPr>
        <w:tc>
          <w:tcPr>
            <w:tcW w:w="688" w:type="dxa"/>
            <w:vMerge w:val="continue"/>
            <w:tcBorders>
              <w:left w:val="single" w:color="auto" w:sz="12" w:space="0"/>
              <w:bottom w:val="single" w:color="auto" w:sz="6" w:space="0"/>
              <w:right w:val="single" w:color="auto" w:sz="6" w:space="0"/>
            </w:tcBorders>
            <w:noWrap/>
            <w:vAlign w:val="center"/>
          </w:tcPr>
          <w:p>
            <w:pPr>
              <w:widowControl/>
              <w:jc w:val="left"/>
              <w:rPr>
                <w:rFonts w:ascii="宋体" w:hAnsi="宋体"/>
                <w:color w:val="auto"/>
                <w:szCs w:val="18"/>
                <w:highlight w:val="none"/>
              </w:rPr>
            </w:pPr>
          </w:p>
        </w:tc>
        <w:tc>
          <w:tcPr>
            <w:tcW w:w="3087" w:type="dxa"/>
            <w:gridSpan w:val="4"/>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s="宋体"/>
                <w:color w:val="auto"/>
                <w:kern w:val="0"/>
                <w:szCs w:val="18"/>
                <w:highlight w:val="none"/>
              </w:rPr>
              <w:t>小计</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r>
              <w:rPr>
                <w:rFonts w:ascii="宋体"/>
                <w:color w:val="auto"/>
                <w:szCs w:val="18"/>
                <w:highlight w:val="none"/>
              </w:rPr>
              <w:t>360</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35" w:type="dxa"/>
            <w:gridSpan w:val="2"/>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9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40" w:type="dxa"/>
            <w:gridSpan w:val="2"/>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eastAsia="宋体"/>
                <w:color w:val="auto"/>
                <w:szCs w:val="18"/>
                <w:highlight w:val="none"/>
              </w:rPr>
              <w:t>360</w:t>
            </w: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4" w:space="0"/>
              <w:left w:val="single" w:color="auto" w:sz="6" w:space="0"/>
              <w:bottom w:val="single" w:color="auto" w:sz="4" w:space="0"/>
              <w:right w:val="single" w:color="auto" w:sz="12" w:space="0"/>
            </w:tcBorders>
            <w:noWrap/>
            <w:vAlign w:val="center"/>
          </w:tcPr>
          <w:p>
            <w:pPr>
              <w:widowControl/>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restart"/>
            <w:tcBorders>
              <w:top w:val="single" w:color="auto" w:sz="6" w:space="0"/>
              <w:left w:val="single" w:color="auto" w:sz="12" w:space="0"/>
              <w:right w:val="single" w:color="auto" w:sz="6" w:space="0"/>
            </w:tcBorders>
            <w:noWrap/>
            <w:textDirection w:val="tbRlV"/>
            <w:vAlign w:val="center"/>
          </w:tcPr>
          <w:p>
            <w:pPr>
              <w:widowControl/>
              <w:ind w:left="113" w:right="113"/>
              <w:jc w:val="center"/>
              <w:rPr>
                <w:rFonts w:ascii="宋体" w:hAnsi="宋体"/>
                <w:b/>
                <w:color w:val="auto"/>
                <w:szCs w:val="18"/>
                <w:highlight w:val="none"/>
              </w:rPr>
            </w:pPr>
            <w:r>
              <w:rPr>
                <w:rFonts w:hint="eastAsia" w:ascii="宋体" w:hAnsi="宋体"/>
                <w:b/>
                <w:color w:val="auto"/>
                <w:szCs w:val="18"/>
                <w:highlight w:val="none"/>
              </w:rPr>
              <w:t>实习实训</w:t>
            </w: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入学教育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18</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18</w:t>
            </w: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新生入学第1周进行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军事教育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入学第1—2周进行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hint="eastAsia" w:ascii="宋体" w:hAnsi="宋体" w:cs="宋体" w:eastAsiaTheme="minorEastAsia"/>
                <w:color w:val="auto"/>
                <w:kern w:val="0"/>
                <w:szCs w:val="18"/>
                <w:highlight w:val="none"/>
                <w:lang w:eastAsia="zh-CN"/>
              </w:rPr>
            </w:pPr>
            <w:r>
              <w:rPr>
                <w:rFonts w:hint="eastAsia" w:ascii="宋体" w:hAnsi="宋体" w:cs="宋体"/>
                <w:color w:val="auto"/>
                <w:kern w:val="0"/>
                <w:szCs w:val="18"/>
                <w:highlight w:val="none"/>
              </w:rPr>
              <w:t>社会实践</w:t>
            </w:r>
            <w:r>
              <w:rPr>
                <w:rFonts w:hint="eastAsia" w:ascii="宋体" w:hAnsi="宋体" w:cs="宋体"/>
                <w:color w:val="auto"/>
                <w:kern w:val="0"/>
                <w:szCs w:val="18"/>
                <w:highlight w:val="none"/>
                <w:lang w:eastAsia="zh-CN"/>
              </w:rPr>
              <w:t>（</w:t>
            </w:r>
            <w:r>
              <w:rPr>
                <w:rFonts w:hint="eastAsia" w:ascii="宋体" w:hAnsi="宋体" w:cs="宋体"/>
                <w:color w:val="auto"/>
                <w:kern w:val="0"/>
                <w:szCs w:val="18"/>
                <w:highlight w:val="none"/>
                <w:lang w:val="en-US" w:eastAsia="zh-CN"/>
              </w:rPr>
              <w:t>校内</w:t>
            </w:r>
            <w:r>
              <w:rPr>
                <w:rFonts w:hint="eastAsia" w:ascii="宋体" w:hAnsi="宋体" w:cs="宋体"/>
                <w:color w:val="auto"/>
                <w:kern w:val="0"/>
                <w:szCs w:val="18"/>
                <w:highlight w:val="none"/>
                <w:lang w:eastAsia="zh-CN"/>
              </w:rPr>
              <w:t>）</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21"/>
                <w:highlight w:val="none"/>
              </w:rPr>
            </w:pPr>
            <w:r>
              <w:rPr>
                <w:rFonts w:hint="eastAsia" w:ascii="宋体" w:hAnsi="宋体"/>
                <w:bCs/>
                <w:color w:val="auto"/>
                <w:szCs w:val="21"/>
                <w:highlight w:val="none"/>
              </w:rPr>
              <w:t>勤工助学、社会调查等活动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假期社会实践</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hint="eastAsia" w:ascii="宋体" w:hAnsi="宋体"/>
                <w:color w:val="auto"/>
                <w:szCs w:val="18"/>
                <w:highlight w:val="none"/>
              </w:rPr>
            </w:pPr>
            <w:r>
              <w:rPr>
                <w:rFonts w:hint="eastAsia" w:ascii="宋体" w:hAnsi="宋体"/>
                <w:color w:val="auto"/>
                <w:szCs w:val="18"/>
                <w:highlight w:val="none"/>
              </w:rPr>
              <w:t>假期</w:t>
            </w:r>
          </w:p>
          <w:p>
            <w:pPr>
              <w:widowControl/>
              <w:spacing w:line="240" w:lineRule="exact"/>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实践36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顶岗实习</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288</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21"/>
                <w:highlight w:val="none"/>
                <w:lang w:val="en-US" w:eastAsia="zh-CN"/>
              </w:rPr>
              <w:t>288</w:t>
            </w: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r>
              <w:rPr>
                <w:rFonts w:hint="eastAsia" w:ascii="宋体" w:hAnsi="宋体" w:cs="宋体"/>
                <w:color w:val="auto"/>
                <w:kern w:val="0"/>
                <w:szCs w:val="18"/>
                <w:highlight w:val="none"/>
              </w:rPr>
              <w:t>毕业设计</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r>
              <w:rPr>
                <w:rFonts w:hint="eastAsia" w:ascii="宋体" w:hAnsi="宋体" w:cs="宋体"/>
                <w:color w:val="auto"/>
                <w:kern w:val="0"/>
                <w:szCs w:val="18"/>
                <w:highlight w:val="none"/>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18"/>
                <w:highlight w:val="none"/>
                <w:lang w:val="en-US" w:eastAsia="zh-CN"/>
              </w:rPr>
              <w:t>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rPr>
              <w:t>实践</w:t>
            </w:r>
            <w:r>
              <w:rPr>
                <w:rFonts w:hint="eastAsia" w:ascii="宋体" w:hAnsi="宋体"/>
                <w:color w:val="auto"/>
                <w:szCs w:val="18"/>
                <w:highlight w:val="none"/>
                <w:lang w:val="en-US" w:eastAsia="zh-CN"/>
              </w:rPr>
              <w:t>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color w:val="auto"/>
                <w:szCs w:val="18"/>
                <w:highlight w:val="none"/>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auto"/>
                <w:kern w:val="0"/>
                <w:szCs w:val="18"/>
                <w:highlight w:val="none"/>
              </w:rPr>
            </w:pP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color w:val="auto"/>
                <w:kern w:val="0"/>
                <w:szCs w:val="18"/>
                <w:highlight w:val="none"/>
              </w:rPr>
            </w:pP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auto"/>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left w:val="single" w:color="auto" w:sz="12"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1737" w:type="dxa"/>
            <w:gridSpan w:val="2"/>
            <w:tcBorders>
              <w:top w:val="single" w:color="auto" w:sz="6" w:space="0"/>
              <w:left w:val="single" w:color="auto" w:sz="12" w:space="0"/>
              <w:bottom w:val="single" w:color="auto" w:sz="6" w:space="0"/>
              <w:right w:val="single" w:color="auto" w:sz="6" w:space="0"/>
            </w:tcBorders>
            <w:noWrap/>
            <w:vAlign w:val="center"/>
          </w:tcPr>
          <w:p>
            <w:pPr>
              <w:widowControl/>
              <w:spacing w:line="240" w:lineRule="exact"/>
              <w:jc w:val="center"/>
              <w:rPr>
                <w:color w:val="auto"/>
                <w:highlight w:val="none"/>
              </w:rPr>
            </w:pPr>
            <w:r>
              <w:rPr>
                <w:rFonts w:hint="eastAsia" w:ascii="宋体" w:hAnsi="宋体" w:cs="宋体"/>
                <w:color w:val="auto"/>
                <w:kern w:val="0"/>
                <w:szCs w:val="18"/>
                <w:highlight w:val="none"/>
              </w:rPr>
              <w:t>小计</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450</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54</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auto"/>
                <w:szCs w:val="18"/>
                <w:highlight w:val="none"/>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324</w:t>
            </w: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rPr>
              <w:t>实践</w:t>
            </w:r>
            <w:r>
              <w:rPr>
                <w:rFonts w:hint="eastAsia" w:ascii="宋体" w:hAnsi="宋体"/>
                <w:color w:val="auto"/>
                <w:szCs w:val="18"/>
                <w:highlight w:val="none"/>
                <w:lang w:val="en-US" w:eastAsia="zh-CN"/>
              </w:rPr>
              <w:t>438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425" w:type="dxa"/>
            <w:gridSpan w:val="3"/>
            <w:tcBorders>
              <w:top w:val="single" w:color="auto" w:sz="6" w:space="0"/>
              <w:left w:val="single" w:color="auto" w:sz="12" w:space="0"/>
              <w:bottom w:val="single" w:color="auto" w:sz="6" w:space="0"/>
              <w:right w:val="single" w:color="auto" w:sz="6" w:space="0"/>
            </w:tcBorders>
            <w:noWrap/>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合   计</w:t>
            </w:r>
          </w:p>
        </w:tc>
        <w:tc>
          <w:tcPr>
            <w:tcW w:w="910" w:type="dxa"/>
            <w:noWrap/>
            <w:vAlign w:val="center"/>
          </w:tcPr>
          <w:p>
            <w:pPr>
              <w:widowControl/>
              <w:spacing w:line="360" w:lineRule="auto"/>
              <w:jc w:val="center"/>
              <w:rPr>
                <w:color w:val="auto"/>
                <w:highlight w:val="none"/>
              </w:rPr>
            </w:pPr>
          </w:p>
        </w:tc>
        <w:tc>
          <w:tcPr>
            <w:tcW w:w="440" w:type="dxa"/>
            <w:noWrap/>
            <w:vAlign w:val="center"/>
          </w:tcPr>
          <w:p>
            <w:pPr>
              <w:widowControl/>
              <w:spacing w:line="360" w:lineRule="auto"/>
              <w:jc w:val="center"/>
              <w:rPr>
                <w:color w:val="auto"/>
                <w:highlight w:val="none"/>
              </w:rPr>
            </w:pPr>
          </w:p>
        </w:tc>
        <w:tc>
          <w:tcPr>
            <w:tcW w:w="666" w:type="dxa"/>
            <w:noWrap/>
            <w:vAlign w:val="center"/>
          </w:tcPr>
          <w:p>
            <w:pPr>
              <w:widowControl/>
              <w:spacing w:line="360" w:lineRule="auto"/>
              <w:jc w:val="center"/>
              <w:rPr>
                <w:rFonts w:hint="default" w:eastAsiaTheme="minorEastAsia"/>
                <w:color w:val="auto"/>
                <w:highlight w:val="none"/>
                <w:lang w:val="en-US" w:eastAsia="zh-CN"/>
              </w:rPr>
            </w:pPr>
            <w:r>
              <w:rPr>
                <w:rFonts w:hint="eastAsia" w:ascii="宋体" w:hAnsi="宋体"/>
                <w:color w:val="auto"/>
                <w:szCs w:val="18"/>
                <w:highlight w:val="none"/>
                <w:lang w:val="en-US" w:eastAsia="zh-CN"/>
              </w:rPr>
              <w:t>2686</w:t>
            </w:r>
          </w:p>
        </w:tc>
        <w:tc>
          <w:tcPr>
            <w:tcW w:w="550" w:type="dxa"/>
            <w:noWrap/>
            <w:vAlign w:val="center"/>
          </w:tcPr>
          <w:p>
            <w:pPr>
              <w:widowControl/>
              <w:spacing w:line="360" w:lineRule="auto"/>
              <w:jc w:val="center"/>
              <w:rPr>
                <w:rFonts w:hint="default" w:eastAsiaTheme="minorEastAsia"/>
                <w:color w:val="auto"/>
                <w:highlight w:val="none"/>
                <w:lang w:val="en-US" w:eastAsia="zh-CN"/>
              </w:rPr>
            </w:pPr>
            <w:r>
              <w:rPr>
                <w:rFonts w:hint="eastAsia" w:ascii="宋体" w:hAnsi="宋体"/>
                <w:color w:val="auto"/>
                <w:szCs w:val="18"/>
                <w:highlight w:val="none"/>
                <w:lang w:val="en-US" w:eastAsia="zh-CN"/>
              </w:rPr>
              <w:t>497</w:t>
            </w:r>
          </w:p>
        </w:tc>
        <w:tc>
          <w:tcPr>
            <w:tcW w:w="629" w:type="dxa"/>
            <w:noWrap/>
            <w:vAlign w:val="center"/>
          </w:tcPr>
          <w:p>
            <w:pPr>
              <w:widowControl/>
              <w:spacing w:line="360" w:lineRule="auto"/>
              <w:jc w:val="center"/>
              <w:rPr>
                <w:rFonts w:hint="default" w:eastAsiaTheme="minorEastAsia"/>
                <w:color w:val="auto"/>
                <w:highlight w:val="none"/>
                <w:lang w:val="en-US" w:eastAsia="zh-CN"/>
              </w:rPr>
            </w:pPr>
            <w:r>
              <w:rPr>
                <w:rFonts w:hint="eastAsia" w:ascii="宋体" w:hAnsi="宋体"/>
                <w:color w:val="auto"/>
                <w:szCs w:val="18"/>
                <w:highlight w:val="none"/>
                <w:lang w:val="en-US" w:eastAsia="zh-CN"/>
              </w:rPr>
              <w:t>495</w:t>
            </w:r>
          </w:p>
        </w:tc>
        <w:tc>
          <w:tcPr>
            <w:tcW w:w="705" w:type="dxa"/>
            <w:gridSpan w:val="3"/>
            <w:noWrap/>
            <w:vAlign w:val="center"/>
          </w:tcPr>
          <w:p>
            <w:pPr>
              <w:widowControl/>
              <w:spacing w:line="360" w:lineRule="auto"/>
              <w:jc w:val="center"/>
              <w:rPr>
                <w:rFonts w:hint="default" w:eastAsiaTheme="minorEastAsia"/>
                <w:color w:val="auto"/>
                <w:highlight w:val="none"/>
                <w:lang w:val="en-US" w:eastAsia="zh-CN"/>
              </w:rPr>
            </w:pPr>
            <w:r>
              <w:rPr>
                <w:rFonts w:hint="eastAsia" w:ascii="宋体" w:hAnsi="宋体"/>
                <w:color w:val="auto"/>
                <w:szCs w:val="18"/>
                <w:highlight w:val="none"/>
                <w:lang w:val="en-US" w:eastAsia="zh-CN"/>
              </w:rPr>
              <w:t>479</w:t>
            </w:r>
          </w:p>
        </w:tc>
        <w:tc>
          <w:tcPr>
            <w:tcW w:w="534" w:type="dxa"/>
            <w:noWrap/>
            <w:vAlign w:val="center"/>
          </w:tcPr>
          <w:p>
            <w:pPr>
              <w:widowControl/>
              <w:spacing w:line="360" w:lineRule="auto"/>
              <w:jc w:val="center"/>
              <w:rPr>
                <w:rFonts w:hint="default" w:eastAsiaTheme="minorEastAsia"/>
                <w:color w:val="auto"/>
                <w:highlight w:val="none"/>
                <w:lang w:val="en-US" w:eastAsia="zh-CN"/>
              </w:rPr>
            </w:pPr>
            <w:r>
              <w:rPr>
                <w:rFonts w:hint="eastAsia" w:ascii="宋体" w:hAnsi="宋体"/>
                <w:color w:val="auto"/>
                <w:szCs w:val="18"/>
                <w:highlight w:val="none"/>
                <w:lang w:val="en-US" w:eastAsia="zh-CN"/>
              </w:rPr>
              <w:t>495</w:t>
            </w:r>
          </w:p>
        </w:tc>
        <w:tc>
          <w:tcPr>
            <w:tcW w:w="633" w:type="dxa"/>
            <w:noWrap/>
            <w:vAlign w:val="center"/>
          </w:tcPr>
          <w:p>
            <w:pPr>
              <w:widowControl/>
              <w:spacing w:line="360" w:lineRule="auto"/>
              <w:jc w:val="center"/>
              <w:rPr>
                <w:color w:val="auto"/>
                <w:highlight w:val="none"/>
              </w:rPr>
            </w:pPr>
            <w:r>
              <w:rPr>
                <w:rFonts w:hint="eastAsia" w:ascii="宋体" w:hAnsi="宋体"/>
                <w:color w:val="auto"/>
                <w:szCs w:val="18"/>
                <w:highlight w:val="none"/>
              </w:rPr>
              <w:t>360</w:t>
            </w:r>
          </w:p>
        </w:tc>
        <w:tc>
          <w:tcPr>
            <w:tcW w:w="677" w:type="dxa"/>
            <w:noWrap/>
            <w:vAlign w:val="center"/>
          </w:tcPr>
          <w:p>
            <w:pPr>
              <w:widowControl/>
              <w:spacing w:line="360" w:lineRule="auto"/>
              <w:jc w:val="center"/>
              <w:rPr>
                <w:rFonts w:hint="default" w:eastAsiaTheme="minorEastAsia"/>
                <w:color w:val="auto"/>
                <w:highlight w:val="none"/>
                <w:lang w:val="en-US" w:eastAsia="zh-CN"/>
              </w:rPr>
            </w:pPr>
            <w:r>
              <w:rPr>
                <w:rFonts w:hint="eastAsia" w:ascii="宋体" w:hAnsi="宋体"/>
                <w:color w:val="auto"/>
                <w:szCs w:val="18"/>
                <w:highlight w:val="none"/>
                <w:lang w:val="en-US" w:eastAsia="zh-CN"/>
              </w:rPr>
              <w:t>324</w:t>
            </w:r>
          </w:p>
        </w:tc>
        <w:tc>
          <w:tcPr>
            <w:tcW w:w="1215" w:type="dxa"/>
            <w:noWrap/>
            <w:vAlign w:val="center"/>
          </w:tcPr>
          <w:p>
            <w:pPr>
              <w:widowControl/>
              <w:spacing w:line="240" w:lineRule="exact"/>
              <w:jc w:val="center"/>
              <w:rPr>
                <w:rFonts w:hint="default" w:eastAsiaTheme="minorEastAsia"/>
                <w:color w:val="auto"/>
                <w:highlight w:val="none"/>
                <w:lang w:val="en-US" w:eastAsia="zh-CN"/>
              </w:rPr>
            </w:pPr>
            <w:r>
              <w:rPr>
                <w:rFonts w:hint="eastAsia" w:ascii="宋体" w:hAnsi="宋体"/>
                <w:color w:val="auto"/>
                <w:szCs w:val="18"/>
                <w:highlight w:val="none"/>
              </w:rPr>
              <w:t>实践</w:t>
            </w:r>
            <w:r>
              <w:rPr>
                <w:rFonts w:hint="eastAsia" w:ascii="宋体" w:hAnsi="宋体"/>
                <w:color w:val="auto"/>
                <w:szCs w:val="18"/>
                <w:highlight w:val="none"/>
                <w:lang w:val="en-US" w:eastAsia="zh-CN"/>
              </w:rPr>
              <w:t>1519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212" w:type="dxa"/>
            <w:gridSpan w:val="2"/>
            <w:tcBorders>
              <w:top w:val="single" w:color="auto" w:sz="6" w:space="0"/>
              <w:left w:val="single" w:color="auto" w:sz="12" w:space="0"/>
              <w:bottom w:val="single" w:color="auto" w:sz="12" w:space="0"/>
              <w:right w:val="single" w:color="auto" w:sz="6" w:space="0"/>
            </w:tcBorders>
            <w:noWrap/>
          </w:tcPr>
          <w:p>
            <w:pPr>
              <w:widowControl/>
              <w:spacing w:line="360" w:lineRule="auto"/>
              <w:rPr>
                <w:rFonts w:ascii="宋体" w:hAnsi="宋体"/>
                <w:color w:val="auto"/>
                <w:szCs w:val="18"/>
                <w:highlight w:val="none"/>
              </w:rPr>
            </w:pPr>
          </w:p>
        </w:tc>
        <w:tc>
          <w:tcPr>
            <w:tcW w:w="8172" w:type="dxa"/>
            <w:gridSpan w:val="13"/>
            <w:tcBorders>
              <w:top w:val="single" w:color="auto" w:sz="6" w:space="0"/>
              <w:left w:val="single" w:color="auto" w:sz="12" w:space="0"/>
              <w:bottom w:val="single" w:color="auto" w:sz="12" w:space="0"/>
            </w:tcBorders>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总课时：</w:t>
            </w:r>
            <w:r>
              <w:rPr>
                <w:rFonts w:hint="eastAsia" w:ascii="宋体" w:hAnsi="宋体"/>
                <w:color w:val="auto"/>
                <w:szCs w:val="18"/>
                <w:highlight w:val="none"/>
                <w:lang w:val="en-US" w:eastAsia="zh-CN"/>
              </w:rPr>
              <w:t>2686</w:t>
            </w:r>
            <w:r>
              <w:rPr>
                <w:rFonts w:hint="eastAsia" w:ascii="宋体" w:hAnsi="宋体"/>
                <w:color w:val="auto"/>
                <w:szCs w:val="18"/>
                <w:highlight w:val="none"/>
              </w:rPr>
              <w:t xml:space="preserve">  实践课时：1</w:t>
            </w:r>
            <w:r>
              <w:rPr>
                <w:rFonts w:hint="eastAsia" w:ascii="宋体" w:hAnsi="宋体"/>
                <w:color w:val="auto"/>
                <w:szCs w:val="18"/>
                <w:highlight w:val="none"/>
                <w:lang w:val="en-US" w:eastAsia="zh-CN"/>
              </w:rPr>
              <w:t>519</w:t>
            </w:r>
            <w:r>
              <w:rPr>
                <w:rFonts w:hint="eastAsia" w:ascii="宋体" w:hAnsi="宋体"/>
                <w:color w:val="auto"/>
                <w:szCs w:val="18"/>
                <w:highlight w:val="none"/>
              </w:rPr>
              <w:t xml:space="preserve">  理论课时：116</w:t>
            </w:r>
            <w:r>
              <w:rPr>
                <w:rFonts w:hint="eastAsia" w:ascii="宋体" w:hAnsi="宋体"/>
                <w:color w:val="auto"/>
                <w:szCs w:val="18"/>
                <w:highlight w:val="none"/>
                <w:lang w:val="en-US" w:eastAsia="zh-CN"/>
              </w:rPr>
              <w:t>7</w:t>
            </w:r>
            <w:r>
              <w:rPr>
                <w:rFonts w:hint="eastAsia" w:ascii="宋体" w:hAnsi="宋体"/>
                <w:color w:val="auto"/>
                <w:szCs w:val="18"/>
                <w:highlight w:val="none"/>
              </w:rPr>
              <w:t xml:space="preserve">  实践教学占总学时比例：</w:t>
            </w:r>
            <w:r>
              <w:rPr>
                <w:rFonts w:hint="eastAsia" w:ascii="宋体" w:hAnsi="宋体"/>
                <w:color w:val="auto"/>
                <w:szCs w:val="18"/>
                <w:highlight w:val="none"/>
                <w:lang w:val="en-US" w:eastAsia="zh-CN"/>
              </w:rPr>
              <w:t>56.6</w:t>
            </w:r>
            <w:r>
              <w:rPr>
                <w:rFonts w:hint="eastAsia" w:ascii="宋体" w:hAnsi="宋体"/>
                <w:color w:val="auto"/>
                <w:szCs w:val="18"/>
                <w:highlight w:val="none"/>
              </w:rPr>
              <w:t>%</w:t>
            </w:r>
          </w:p>
        </w:tc>
      </w:tr>
    </w:tbl>
    <w:p>
      <w:pPr>
        <w:widowControl/>
        <w:spacing w:line="360" w:lineRule="auto"/>
        <w:rPr>
          <w:rFonts w:ascii="黑体" w:hAnsi="黑体" w:eastAsia="黑体" w:cs="黑体"/>
          <w:bCs/>
          <w:color w:val="auto"/>
          <w:szCs w:val="18"/>
          <w:highlight w:val="none"/>
        </w:rPr>
      </w:pPr>
    </w:p>
    <w:p>
      <w:pPr>
        <w:widowControl/>
        <w:spacing w:line="360" w:lineRule="auto"/>
        <w:rPr>
          <w:rFonts w:ascii="黑体" w:hAnsi="黑体" w:eastAsia="黑体" w:cs="黑体"/>
          <w:bCs/>
          <w:color w:val="auto"/>
          <w:szCs w:val="18"/>
          <w:highlight w:val="none"/>
        </w:rPr>
      </w:pPr>
      <w:r>
        <w:rPr>
          <w:rFonts w:hint="eastAsia" w:ascii="黑体" w:hAnsi="黑体" w:eastAsia="黑体" w:cs="黑体"/>
          <w:bCs/>
          <w:color w:val="auto"/>
          <w:szCs w:val="18"/>
          <w:highlight w:val="none"/>
        </w:rPr>
        <w:t>注：1.课程类型分为A、B、C三种类型，A类课程为纯理论课程，B类课程为既有理论又有实践的课程，C类课程为纯实践课程。</w:t>
      </w:r>
    </w:p>
    <w:p>
      <w:pPr>
        <w:widowControl/>
        <w:spacing w:line="360" w:lineRule="auto"/>
        <w:ind w:firstLine="420" w:firstLineChars="200"/>
        <w:rPr>
          <w:rFonts w:ascii="黑体" w:hAnsi="黑体" w:eastAsia="黑体" w:cs="黑体"/>
          <w:bCs/>
          <w:color w:val="auto"/>
          <w:szCs w:val="18"/>
          <w:highlight w:val="none"/>
        </w:rPr>
      </w:pPr>
      <w:r>
        <w:rPr>
          <w:rFonts w:hint="eastAsia" w:ascii="黑体" w:hAnsi="黑体" w:eastAsia="黑体" w:cs="黑体"/>
          <w:bCs/>
          <w:color w:val="auto"/>
          <w:szCs w:val="18"/>
          <w:highlight w:val="none"/>
        </w:rPr>
        <w:t>2.实践教学要占到总课时</w:t>
      </w:r>
      <w:r>
        <w:rPr>
          <w:rFonts w:ascii="黑体" w:hAnsi="黑体" w:eastAsia="黑体" w:cs="黑体"/>
          <w:bCs/>
          <w:color w:val="auto"/>
          <w:szCs w:val="18"/>
          <w:highlight w:val="none"/>
        </w:rPr>
        <w:t>5</w:t>
      </w:r>
      <w:r>
        <w:rPr>
          <w:rFonts w:hint="eastAsia" w:ascii="黑体" w:hAnsi="黑体" w:eastAsia="黑体" w:cs="黑体"/>
          <w:bCs/>
          <w:color w:val="auto"/>
          <w:szCs w:val="18"/>
          <w:highlight w:val="none"/>
        </w:rPr>
        <w:t>0%以上。</w:t>
      </w:r>
    </w:p>
    <w:p>
      <w:pPr>
        <w:widowControl/>
        <w:spacing w:line="360" w:lineRule="auto"/>
        <w:rPr>
          <w:rFonts w:ascii="宋体" w:hAnsi="宋体"/>
          <w:b/>
          <w:color w:val="auto"/>
          <w:szCs w:val="18"/>
          <w:highlight w:val="none"/>
        </w:rPr>
        <w:sectPr>
          <w:footerReference r:id="rId4" w:type="default"/>
          <w:pgSz w:w="11906" w:h="16838"/>
          <w:pgMar w:top="1440" w:right="1800" w:bottom="1440" w:left="1800" w:header="851" w:footer="992" w:gutter="0"/>
          <w:pgNumType w:start="1"/>
          <w:cols w:space="425" w:num="1"/>
          <w:docGrid w:type="lines" w:linePitch="312" w:charSpace="0"/>
        </w:sectPr>
      </w:pPr>
    </w:p>
    <w:p>
      <w:pPr>
        <w:spacing w:line="360" w:lineRule="auto"/>
        <w:ind w:firstLine="600" w:firstLineChars="2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（四）进程安排</w:t>
      </w:r>
    </w:p>
    <w:p>
      <w:pPr>
        <w:spacing w:line="360" w:lineRule="auto"/>
        <w:rPr>
          <w:rFonts w:ascii="黑体" w:eastAsia="黑体"/>
          <w:color w:val="auto"/>
          <w:sz w:val="28"/>
          <w:szCs w:val="28"/>
          <w:highlight w:val="none"/>
        </w:rPr>
      </w:pPr>
    </w:p>
    <w:tbl>
      <w:tblPr>
        <w:tblStyle w:val="15"/>
        <w:tblW w:w="14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547"/>
        <w:gridCol w:w="1219"/>
        <w:gridCol w:w="1227"/>
        <w:gridCol w:w="538"/>
        <w:gridCol w:w="913"/>
        <w:gridCol w:w="678"/>
        <w:gridCol w:w="402"/>
        <w:gridCol w:w="550"/>
        <w:gridCol w:w="700"/>
        <w:gridCol w:w="576"/>
        <w:gridCol w:w="584"/>
        <w:gridCol w:w="800"/>
        <w:gridCol w:w="533"/>
        <w:gridCol w:w="567"/>
        <w:gridCol w:w="600"/>
        <w:gridCol w:w="583"/>
        <w:gridCol w:w="533"/>
        <w:gridCol w:w="650"/>
        <w:gridCol w:w="784"/>
        <w:gridCol w:w="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blHeader/>
          <w:jc w:val="center"/>
        </w:trPr>
        <w:tc>
          <w:tcPr>
            <w:tcW w:w="14295" w:type="dxa"/>
            <w:gridSpan w:val="21"/>
            <w:tcBorders>
              <w:top w:val="single" w:color="auto" w:sz="4" w:space="0"/>
              <w:left w:val="single" w:color="auto" w:sz="4" w:space="0"/>
              <w:bottom w:val="single" w:color="auto" w:sz="4" w:space="0"/>
              <w:right w:val="single" w:color="auto" w:sz="4" w:space="0"/>
            </w:tcBorders>
            <w:shd w:val="clear" w:color="auto" w:fill="E0E0E0"/>
            <w:noWrap/>
            <w:vAlign w:val="center"/>
          </w:tcPr>
          <w:p>
            <w:pPr>
              <w:spacing w:line="360" w:lineRule="exact"/>
              <w:jc w:val="center"/>
              <w:rPr>
                <w:rFonts w:ascii="黑体" w:hAnsi="黑体" w:eastAsia="黑体"/>
                <w:color w:val="auto"/>
                <w:sz w:val="24"/>
                <w:highlight w:val="none"/>
              </w:rPr>
            </w:pPr>
            <w:r>
              <w:rPr>
                <w:rFonts w:hint="eastAsia" w:ascii="黑体" w:hAnsi="黑体" w:eastAsia="黑体"/>
                <w:color w:val="auto"/>
                <w:sz w:val="24"/>
                <w:highlight w:val="none"/>
              </w:rPr>
              <w:t>教学进程安排表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3542" w:type="dxa"/>
            <w:gridSpan w:val="4"/>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color w:val="auto"/>
                <w:szCs w:val="21"/>
                <w:highlight w:val="none"/>
              </w:rPr>
            </w:pPr>
            <w:r>
              <w:rPr>
                <w:rFonts w:hint="eastAsia" w:ascii="黑体" w:hAnsi="黑体" w:eastAsia="黑体"/>
                <w:color w:val="auto"/>
                <w:szCs w:val="21"/>
                <w:highlight w:val="none"/>
              </w:rPr>
              <w:t>专业：煤炭深加工与利用</w:t>
            </w:r>
          </w:p>
        </w:tc>
        <w:tc>
          <w:tcPr>
            <w:tcW w:w="538" w:type="dxa"/>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color w:val="auto"/>
                <w:szCs w:val="21"/>
                <w:highlight w:val="none"/>
              </w:rPr>
            </w:pPr>
          </w:p>
        </w:tc>
        <w:tc>
          <w:tcPr>
            <w:tcW w:w="3243" w:type="dxa"/>
            <w:gridSpan w:val="5"/>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color w:val="auto"/>
                <w:szCs w:val="21"/>
                <w:highlight w:val="none"/>
              </w:rPr>
            </w:pPr>
            <w:r>
              <w:rPr>
                <w:rFonts w:hint="eastAsia" w:ascii="黑体" w:hAnsi="黑体" w:eastAsia="黑体"/>
                <w:color w:val="auto"/>
                <w:szCs w:val="21"/>
                <w:highlight w:val="none"/>
              </w:rPr>
              <w:t>起点：高中</w:t>
            </w:r>
          </w:p>
        </w:tc>
        <w:tc>
          <w:tcPr>
            <w:tcW w:w="1960" w:type="dxa"/>
            <w:gridSpan w:val="3"/>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color w:val="auto"/>
                <w:szCs w:val="21"/>
                <w:highlight w:val="none"/>
              </w:rPr>
            </w:pPr>
            <w:r>
              <w:rPr>
                <w:rFonts w:hint="eastAsia" w:ascii="黑体" w:hAnsi="黑体" w:eastAsia="黑体"/>
                <w:color w:val="auto"/>
                <w:szCs w:val="21"/>
                <w:highlight w:val="none"/>
              </w:rPr>
              <w:t>学制：三年</w:t>
            </w:r>
          </w:p>
        </w:tc>
        <w:tc>
          <w:tcPr>
            <w:tcW w:w="3466" w:type="dxa"/>
            <w:gridSpan w:val="6"/>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color w:val="auto"/>
                <w:szCs w:val="21"/>
                <w:highlight w:val="none"/>
              </w:rPr>
            </w:pPr>
            <w:r>
              <w:rPr>
                <w:rFonts w:hint="eastAsia" w:ascii="黑体" w:hAnsi="黑体" w:eastAsia="黑体"/>
                <w:color w:val="auto"/>
                <w:szCs w:val="21"/>
                <w:highlight w:val="none"/>
              </w:rPr>
              <w:t>层次：专科</w:t>
            </w:r>
          </w:p>
        </w:tc>
        <w:tc>
          <w:tcPr>
            <w:tcW w:w="1546" w:type="dxa"/>
            <w:gridSpan w:val="2"/>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color w:val="auto"/>
                <w:szCs w:val="21"/>
                <w:highlight w:val="none"/>
              </w:rPr>
            </w:pPr>
            <w:r>
              <w:rPr>
                <w:rFonts w:hint="eastAsia" w:ascii="黑体" w:hAnsi="黑体" w:eastAsia="黑体"/>
                <w:color w:val="auto"/>
                <w:szCs w:val="21"/>
                <w:highlight w:val="none"/>
              </w:rPr>
              <w:t>类别：</w:t>
            </w:r>
            <w:r>
              <w:rPr>
                <w:rFonts w:hint="eastAsia" w:ascii="宋体" w:hAnsi="宋体"/>
                <w:b/>
                <w:bCs/>
                <w:color w:val="auto"/>
                <w:szCs w:val="21"/>
                <w:highlight w:val="none"/>
              </w:rPr>
              <w:t>职业技术类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tblHeader/>
          <w:jc w:val="center"/>
        </w:trPr>
        <w:tc>
          <w:tcPr>
            <w:tcW w:w="549"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课程类别</w:t>
            </w:r>
          </w:p>
        </w:tc>
        <w:tc>
          <w:tcPr>
            <w:tcW w:w="547"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序号</w:t>
            </w:r>
          </w:p>
        </w:tc>
        <w:tc>
          <w:tcPr>
            <w:tcW w:w="1219"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课程编号</w:t>
            </w:r>
          </w:p>
        </w:tc>
        <w:tc>
          <w:tcPr>
            <w:tcW w:w="2678" w:type="dxa"/>
            <w:gridSpan w:val="3"/>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课程名称</w:t>
            </w:r>
          </w:p>
        </w:tc>
        <w:tc>
          <w:tcPr>
            <w:tcW w:w="678"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ind w:left="113" w:right="113"/>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课程性质</w:t>
            </w:r>
          </w:p>
        </w:tc>
        <w:tc>
          <w:tcPr>
            <w:tcW w:w="402"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课程类型</w:t>
            </w:r>
          </w:p>
        </w:tc>
        <w:tc>
          <w:tcPr>
            <w:tcW w:w="550"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学分</w:t>
            </w:r>
          </w:p>
        </w:tc>
        <w:tc>
          <w:tcPr>
            <w:tcW w:w="700"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总课时</w:t>
            </w:r>
          </w:p>
        </w:tc>
        <w:tc>
          <w:tcPr>
            <w:tcW w:w="1160" w:type="dxa"/>
            <w:gridSpan w:val="2"/>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课时</w:t>
            </w:r>
          </w:p>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分配</w:t>
            </w:r>
          </w:p>
        </w:tc>
        <w:tc>
          <w:tcPr>
            <w:tcW w:w="800"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授课</w:t>
            </w:r>
          </w:p>
          <w:p>
            <w:pPr>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方式</w:t>
            </w:r>
          </w:p>
        </w:tc>
        <w:tc>
          <w:tcPr>
            <w:tcW w:w="3466" w:type="dxa"/>
            <w:gridSpan w:val="6"/>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开课学期和</w:t>
            </w:r>
            <w:r>
              <w:rPr>
                <w:rFonts w:hint="eastAsia" w:ascii="黑体" w:hAnsi="黑体" w:eastAsia="黑体" w:cs="宋体"/>
                <w:color w:val="auto"/>
                <w:kern w:val="0"/>
                <w:szCs w:val="21"/>
                <w:highlight w:val="none"/>
                <w:lang w:val="en-US" w:eastAsia="zh-CN"/>
              </w:rPr>
              <w:t>周</w:t>
            </w:r>
            <w:r>
              <w:rPr>
                <w:rFonts w:hint="eastAsia" w:ascii="黑体" w:hAnsi="黑体" w:eastAsia="黑体" w:cs="宋体"/>
                <w:color w:val="auto"/>
                <w:kern w:val="0"/>
                <w:szCs w:val="21"/>
                <w:highlight w:val="none"/>
              </w:rPr>
              <w:t>课时数</w:t>
            </w:r>
          </w:p>
        </w:tc>
        <w:tc>
          <w:tcPr>
            <w:tcW w:w="784"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考核</w:t>
            </w:r>
          </w:p>
          <w:p>
            <w:pPr>
              <w:spacing w:line="240" w:lineRule="exact"/>
              <w:jc w:val="center"/>
              <w:rPr>
                <w:rFonts w:ascii="黑体" w:hAnsi="黑体" w:eastAsia="黑体" w:cs="宋体"/>
                <w:b/>
                <w:color w:val="auto"/>
                <w:kern w:val="0"/>
                <w:sz w:val="20"/>
                <w:szCs w:val="20"/>
                <w:highlight w:val="none"/>
              </w:rPr>
            </w:pPr>
            <w:r>
              <w:rPr>
                <w:rFonts w:hint="eastAsia" w:ascii="黑体" w:hAnsi="黑体" w:eastAsia="黑体" w:cs="宋体"/>
                <w:color w:val="auto"/>
                <w:kern w:val="0"/>
                <w:szCs w:val="21"/>
                <w:highlight w:val="none"/>
              </w:rPr>
              <w:t>方式</w:t>
            </w:r>
          </w:p>
        </w:tc>
        <w:tc>
          <w:tcPr>
            <w:tcW w:w="762"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宋体" w:hAnsi="宋体" w:cs="宋体"/>
                <w:b/>
                <w:color w:val="auto"/>
                <w:kern w:val="0"/>
                <w:sz w:val="20"/>
                <w:szCs w:val="20"/>
                <w:highlight w:val="none"/>
              </w:rPr>
            </w:pPr>
            <w:r>
              <w:rPr>
                <w:rFonts w:hint="eastAsia" w:ascii="黑体" w:hAnsi="黑体" w:eastAsia="黑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4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4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121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2678"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40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70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76"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color w:val="auto"/>
                <w:kern w:val="0"/>
                <w:szCs w:val="21"/>
                <w:highlight w:val="none"/>
              </w:rPr>
            </w:pPr>
            <w:r>
              <w:rPr>
                <w:rFonts w:hint="eastAsia" w:ascii="宋体" w:hAnsi="宋体"/>
                <w:color w:val="auto"/>
                <w:szCs w:val="21"/>
                <w:highlight w:val="none"/>
              </w:rPr>
              <w:t>讲授</w:t>
            </w:r>
          </w:p>
        </w:tc>
        <w:tc>
          <w:tcPr>
            <w:tcW w:w="584"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color w:val="auto"/>
                <w:kern w:val="0"/>
                <w:szCs w:val="21"/>
                <w:highlight w:val="none"/>
              </w:rPr>
            </w:pPr>
            <w:r>
              <w:rPr>
                <w:rFonts w:hint="eastAsia" w:ascii="黑体" w:hAnsi="黑体" w:eastAsia="黑体" w:cs="宋体"/>
                <w:color w:val="auto"/>
                <w:kern w:val="0"/>
                <w:szCs w:val="21"/>
                <w:highlight w:val="none"/>
              </w:rPr>
              <w:t>实践</w:t>
            </w:r>
          </w:p>
        </w:tc>
        <w:tc>
          <w:tcPr>
            <w:tcW w:w="80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1100" w:type="dxa"/>
            <w:gridSpan w:val="2"/>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18"/>
                <w:szCs w:val="18"/>
                <w:highlight w:val="none"/>
              </w:rPr>
            </w:pPr>
            <w:r>
              <w:rPr>
                <w:rFonts w:hint="eastAsia" w:ascii="黑体" w:hAnsi="黑体" w:eastAsia="黑体" w:cs="宋体"/>
                <w:color w:val="auto"/>
                <w:kern w:val="0"/>
                <w:sz w:val="18"/>
                <w:szCs w:val="18"/>
                <w:highlight w:val="none"/>
              </w:rPr>
              <w:t>第一学年</w:t>
            </w:r>
          </w:p>
        </w:tc>
        <w:tc>
          <w:tcPr>
            <w:tcW w:w="1183" w:type="dxa"/>
            <w:gridSpan w:val="2"/>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18"/>
                <w:szCs w:val="18"/>
                <w:highlight w:val="none"/>
              </w:rPr>
            </w:pPr>
            <w:r>
              <w:rPr>
                <w:rFonts w:hint="eastAsia" w:ascii="黑体" w:hAnsi="黑体" w:eastAsia="黑体" w:cs="宋体"/>
                <w:color w:val="auto"/>
                <w:kern w:val="0"/>
                <w:sz w:val="18"/>
                <w:szCs w:val="18"/>
                <w:highlight w:val="none"/>
              </w:rPr>
              <w:t>第二学年</w:t>
            </w:r>
          </w:p>
        </w:tc>
        <w:tc>
          <w:tcPr>
            <w:tcW w:w="1183" w:type="dxa"/>
            <w:gridSpan w:val="2"/>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18"/>
                <w:szCs w:val="18"/>
                <w:highlight w:val="none"/>
              </w:rPr>
            </w:pPr>
            <w:r>
              <w:rPr>
                <w:rFonts w:hint="eastAsia" w:ascii="黑体" w:hAnsi="黑体" w:eastAsia="黑体" w:cs="宋体"/>
                <w:color w:val="auto"/>
                <w:kern w:val="0"/>
                <w:sz w:val="18"/>
                <w:szCs w:val="18"/>
                <w:highlight w:val="none"/>
              </w:rPr>
              <w:t>第三学年</w:t>
            </w:r>
          </w:p>
        </w:tc>
        <w:tc>
          <w:tcPr>
            <w:tcW w:w="78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黑体" w:eastAsia="黑体" w:cs="宋体"/>
                <w:b/>
                <w:color w:val="auto"/>
                <w:kern w:val="0"/>
                <w:sz w:val="20"/>
                <w:szCs w:val="20"/>
                <w:highlight w:val="none"/>
              </w:rPr>
            </w:pPr>
          </w:p>
        </w:tc>
        <w:tc>
          <w:tcPr>
            <w:tcW w:w="762"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blHeader/>
          <w:jc w:val="center"/>
        </w:trPr>
        <w:tc>
          <w:tcPr>
            <w:tcW w:w="54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4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121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2678"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40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70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7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8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80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color w:val="auto"/>
                <w:kern w:val="0"/>
                <w:szCs w:val="21"/>
                <w:highlight w:val="none"/>
              </w:rPr>
            </w:pPr>
          </w:p>
        </w:tc>
        <w:tc>
          <w:tcPr>
            <w:tcW w:w="533"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20"/>
                <w:szCs w:val="20"/>
                <w:highlight w:val="none"/>
              </w:rPr>
            </w:pPr>
            <w:r>
              <w:rPr>
                <w:rFonts w:hint="eastAsia" w:ascii="黑体" w:hAnsi="黑体" w:eastAsia="黑体" w:cs="宋体"/>
                <w:color w:val="auto"/>
                <w:kern w:val="0"/>
                <w:sz w:val="20"/>
                <w:szCs w:val="20"/>
                <w:highlight w:val="none"/>
              </w:rPr>
              <w:t>1</w:t>
            </w:r>
          </w:p>
        </w:tc>
        <w:tc>
          <w:tcPr>
            <w:tcW w:w="567"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20"/>
                <w:szCs w:val="20"/>
                <w:highlight w:val="none"/>
              </w:rPr>
            </w:pPr>
            <w:r>
              <w:rPr>
                <w:rFonts w:hint="eastAsia" w:ascii="黑体" w:hAnsi="黑体" w:eastAsia="黑体" w:cs="宋体"/>
                <w:color w:val="auto"/>
                <w:kern w:val="0"/>
                <w:sz w:val="20"/>
                <w:szCs w:val="20"/>
                <w:highlight w:val="none"/>
              </w:rPr>
              <w:t>2</w:t>
            </w:r>
          </w:p>
        </w:tc>
        <w:tc>
          <w:tcPr>
            <w:tcW w:w="600"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20"/>
                <w:szCs w:val="20"/>
                <w:highlight w:val="none"/>
              </w:rPr>
            </w:pPr>
            <w:r>
              <w:rPr>
                <w:rFonts w:hint="eastAsia" w:ascii="黑体" w:hAnsi="黑体" w:eastAsia="黑体" w:cs="宋体"/>
                <w:color w:val="auto"/>
                <w:kern w:val="0"/>
                <w:sz w:val="20"/>
                <w:szCs w:val="20"/>
                <w:highlight w:val="none"/>
              </w:rPr>
              <w:t>3</w:t>
            </w:r>
          </w:p>
        </w:tc>
        <w:tc>
          <w:tcPr>
            <w:tcW w:w="583"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20"/>
                <w:szCs w:val="20"/>
                <w:highlight w:val="none"/>
              </w:rPr>
            </w:pPr>
            <w:r>
              <w:rPr>
                <w:rFonts w:hint="eastAsia" w:ascii="黑体" w:hAnsi="黑体" w:eastAsia="黑体" w:cs="宋体"/>
                <w:color w:val="auto"/>
                <w:kern w:val="0"/>
                <w:sz w:val="20"/>
                <w:szCs w:val="20"/>
                <w:highlight w:val="none"/>
              </w:rPr>
              <w:t>4</w:t>
            </w:r>
          </w:p>
        </w:tc>
        <w:tc>
          <w:tcPr>
            <w:tcW w:w="533"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20"/>
                <w:szCs w:val="20"/>
                <w:highlight w:val="none"/>
              </w:rPr>
            </w:pPr>
            <w:r>
              <w:rPr>
                <w:rFonts w:hint="eastAsia" w:ascii="黑体" w:hAnsi="黑体" w:eastAsia="黑体" w:cs="宋体"/>
                <w:color w:val="auto"/>
                <w:kern w:val="0"/>
                <w:sz w:val="20"/>
                <w:szCs w:val="20"/>
                <w:highlight w:val="none"/>
              </w:rPr>
              <w:t>5</w:t>
            </w:r>
          </w:p>
        </w:tc>
        <w:tc>
          <w:tcPr>
            <w:tcW w:w="650"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color w:val="auto"/>
                <w:kern w:val="0"/>
                <w:sz w:val="20"/>
                <w:szCs w:val="20"/>
                <w:highlight w:val="none"/>
              </w:rPr>
            </w:pPr>
            <w:r>
              <w:rPr>
                <w:rFonts w:hint="eastAsia" w:ascii="黑体" w:hAnsi="黑体" w:eastAsia="黑体" w:cs="宋体"/>
                <w:color w:val="auto"/>
                <w:kern w:val="0"/>
                <w:sz w:val="20"/>
                <w:szCs w:val="20"/>
                <w:highlight w:val="none"/>
              </w:rPr>
              <w:t>6</w:t>
            </w:r>
          </w:p>
        </w:tc>
        <w:tc>
          <w:tcPr>
            <w:tcW w:w="78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黑体" w:eastAsia="黑体" w:cs="宋体"/>
                <w:b/>
                <w:color w:val="auto"/>
                <w:kern w:val="0"/>
                <w:sz w:val="20"/>
                <w:szCs w:val="20"/>
                <w:highlight w:val="none"/>
              </w:rPr>
            </w:pPr>
          </w:p>
        </w:tc>
        <w:tc>
          <w:tcPr>
            <w:tcW w:w="762"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49" w:type="dxa"/>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360" w:lineRule="exact"/>
              <w:jc w:val="center"/>
              <w:rPr>
                <w:rFonts w:ascii="宋体" w:hAnsi="宋体" w:eastAsia="宋体" w:cs="宋体"/>
                <w:b/>
                <w:color w:val="auto"/>
                <w:kern w:val="0"/>
                <w:szCs w:val="21"/>
                <w:highlight w:val="none"/>
              </w:rPr>
            </w:pPr>
            <w:r>
              <w:rPr>
                <w:rFonts w:hint="eastAsia" w:ascii="宋体" w:hAnsi="宋体" w:cs="宋体"/>
                <w:b/>
                <w:color w:val="auto"/>
                <w:kern w:val="0"/>
                <w:szCs w:val="21"/>
                <w:highlight w:val="none"/>
              </w:rPr>
              <w:t>公共基础课程</w:t>
            </w:r>
          </w:p>
        </w:tc>
        <w:tc>
          <w:tcPr>
            <w:tcW w:w="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w:t>
            </w: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0105025</w:t>
            </w:r>
          </w:p>
        </w:tc>
        <w:tc>
          <w:tcPr>
            <w:tcW w:w="26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rPr>
                <w:rFonts w:ascii="宋体" w:hAnsi="宋体"/>
                <w:color w:val="auto"/>
                <w:szCs w:val="21"/>
                <w:highlight w:val="none"/>
              </w:rPr>
            </w:pPr>
            <w:r>
              <w:rPr>
                <w:rFonts w:hint="eastAsia" w:ascii="宋体" w:hAnsi="宋体" w:cs="宋体"/>
                <w:color w:val="auto"/>
                <w:kern w:val="0"/>
                <w:szCs w:val="18"/>
                <w:highlight w:val="none"/>
              </w:rPr>
              <w:t>高职语文与中华传统文化（1）</w:t>
            </w:r>
          </w:p>
        </w:tc>
        <w:tc>
          <w:tcPr>
            <w:tcW w:w="67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32</w:t>
            </w:r>
          </w:p>
        </w:tc>
        <w:tc>
          <w:tcPr>
            <w:tcW w:w="576"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22</w:t>
            </w:r>
          </w:p>
        </w:tc>
        <w:tc>
          <w:tcPr>
            <w:tcW w:w="584"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10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r>
              <w:rPr>
                <w:rFonts w:hint="eastAsia" w:ascii="宋体" w:hAnsi="宋体"/>
                <w:color w:val="auto"/>
                <w:szCs w:val="21"/>
                <w:highlight w:val="none"/>
              </w:rPr>
              <w:t>考试</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lang w:val="en-US" w:eastAsia="zh-CN"/>
              </w:rPr>
              <w:t>0105026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s="宋体"/>
                <w:color w:val="auto"/>
                <w:kern w:val="0"/>
                <w:szCs w:val="18"/>
                <w:highlight w:val="none"/>
              </w:rPr>
              <w:t>高职语文与中华传统文化</w:t>
            </w:r>
            <w:r>
              <w:rPr>
                <w:rFonts w:hint="eastAsia" w:ascii="宋体" w:hAnsi="宋体"/>
                <w:color w:val="auto"/>
                <w:szCs w:val="21"/>
                <w:highlight w:val="none"/>
              </w:rPr>
              <w:t>（2）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10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r>
              <w:rPr>
                <w:rFonts w:hint="eastAsia" w:ascii="宋体" w:hAnsi="宋体"/>
                <w:color w:val="auto"/>
                <w:szCs w:val="21"/>
                <w:highlight w:val="none"/>
              </w:rPr>
              <w:t>考试</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0201038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高职数学（1）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42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r>
              <w:rPr>
                <w:rFonts w:hint="eastAsia" w:ascii="宋体" w:hAnsi="宋体"/>
                <w:color w:val="auto"/>
                <w:szCs w:val="21"/>
                <w:highlight w:val="none"/>
              </w:rPr>
              <w:t>考试</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r>
              <w:rPr>
                <w:rFonts w:hint="eastAsia" w:ascii="宋体" w:hAnsi="宋体"/>
                <w:color w:val="auto"/>
                <w:szCs w:val="18"/>
                <w:highlight w:val="none"/>
              </w:rPr>
              <w:t>理工类专业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lang w:val="en-US" w:eastAsia="zh-CN"/>
              </w:rPr>
              <w:t>0201039</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高职数学（2）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olor w:val="auto"/>
                <w:szCs w:val="21"/>
                <w:highlight w:val="none"/>
              </w:rPr>
            </w:pPr>
            <w:r>
              <w:rPr>
                <w:rFonts w:hint="eastAsia" w:ascii="宋体" w:hAnsi="宋体"/>
                <w:color w:val="auto"/>
                <w:szCs w:val="21"/>
                <w:highlight w:val="none"/>
              </w:rPr>
              <w:t>25</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olor w:val="auto"/>
                <w:szCs w:val="21"/>
                <w:highlight w:val="none"/>
              </w:rPr>
            </w:pPr>
            <w:r>
              <w:rPr>
                <w:rFonts w:hint="eastAsia" w:ascii="宋体" w:hAnsi="宋体"/>
                <w:color w:val="auto"/>
                <w:szCs w:val="21"/>
                <w:highlight w:val="none"/>
              </w:rPr>
              <w:t>11</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r>
              <w:rPr>
                <w:rFonts w:hint="eastAsia" w:ascii="宋体" w:hAnsi="宋体"/>
                <w:color w:val="auto"/>
                <w:szCs w:val="21"/>
                <w:highlight w:val="none"/>
              </w:rPr>
              <w:t>考试</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18"/>
                <w:highlight w:val="none"/>
              </w:rPr>
            </w:pPr>
            <w:r>
              <w:rPr>
                <w:rFonts w:hint="eastAsia" w:ascii="宋体" w:hAnsi="宋体"/>
                <w:color w:val="auto"/>
                <w:szCs w:val="18"/>
                <w:highlight w:val="none"/>
              </w:rPr>
              <w:t>理工类专业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0304001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高职英语（1）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42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r>
              <w:rPr>
                <w:rFonts w:hint="eastAsia" w:ascii="宋体" w:hAnsi="宋体"/>
                <w:color w:val="auto"/>
                <w:szCs w:val="21"/>
                <w:highlight w:val="none"/>
              </w:rPr>
              <w:t>考试</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lang w:val="en-US" w:eastAsia="zh-CN"/>
              </w:rPr>
              <w:t>0304002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高职英语（2）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eastAsia="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olor w:val="auto"/>
                <w:szCs w:val="21"/>
                <w:highlight w:val="none"/>
              </w:rPr>
            </w:pPr>
            <w:r>
              <w:rPr>
                <w:rFonts w:hint="eastAsia" w:ascii="宋体" w:hAnsi="宋体"/>
                <w:color w:val="auto"/>
                <w:szCs w:val="21"/>
                <w:highlight w:val="none"/>
              </w:rPr>
              <w:t>25</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olor w:val="auto"/>
                <w:szCs w:val="21"/>
                <w:highlight w:val="none"/>
              </w:rPr>
            </w:pPr>
            <w:r>
              <w:rPr>
                <w:rFonts w:hint="eastAsia" w:ascii="宋体" w:hAnsi="宋体"/>
                <w:color w:val="auto"/>
                <w:szCs w:val="21"/>
                <w:highlight w:val="none"/>
              </w:rPr>
              <w:t>11</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r>
              <w:rPr>
                <w:rFonts w:hint="eastAsia" w:ascii="宋体" w:hAnsi="宋体"/>
                <w:color w:val="auto"/>
                <w:szCs w:val="21"/>
                <w:highlight w:val="none"/>
              </w:rPr>
              <w:t>考试</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s="宋体"/>
                <w:color w:val="auto"/>
                <w:kern w:val="0"/>
                <w:sz w:val="20"/>
                <w:szCs w:val="20"/>
                <w:highlight w:val="none"/>
              </w:rPr>
            </w:pPr>
            <w:r>
              <w:rPr>
                <w:rFonts w:hint="eastAsia" w:ascii="宋体" w:hAnsi="宋体" w:cs="宋体"/>
                <w:color w:val="auto"/>
                <w:kern w:val="0"/>
                <w:sz w:val="20"/>
                <w:szCs w:val="20"/>
                <w:highlight w:val="none"/>
              </w:rPr>
              <w:t>辅以专业英语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0401001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计算机应用</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600" w:type="dxa"/>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eastAsia="zh-CN"/>
              </w:rPr>
            </w:pPr>
            <w:r>
              <w:rPr>
                <w:rFonts w:hint="eastAsia" w:ascii="宋体" w:hAnsi="宋体"/>
                <w:color w:val="auto"/>
                <w:szCs w:val="21"/>
                <w:highlight w:val="none"/>
              </w:rPr>
              <w:t>080300</w:t>
            </w:r>
            <w:r>
              <w:rPr>
                <w:rFonts w:hint="eastAsia" w:ascii="宋体" w:hAnsi="宋体"/>
                <w:color w:val="auto"/>
                <w:szCs w:val="21"/>
                <w:highlight w:val="none"/>
                <w:lang w:val="en-US" w:eastAsia="zh-CN"/>
              </w:rPr>
              <w:t>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olor w:val="auto"/>
                <w:szCs w:val="21"/>
                <w:highlight w:val="none"/>
              </w:rPr>
              <w:t>体育（1）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9</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eastAsia="zh-CN"/>
              </w:rPr>
            </w:pPr>
            <w:r>
              <w:rPr>
                <w:rFonts w:hint="eastAsia" w:ascii="宋体" w:hAnsi="宋体"/>
                <w:color w:val="auto"/>
                <w:szCs w:val="21"/>
                <w:highlight w:val="none"/>
              </w:rPr>
              <w:t>080300</w:t>
            </w:r>
            <w:r>
              <w:rPr>
                <w:rFonts w:hint="eastAsia" w:ascii="宋体" w:hAnsi="宋体"/>
                <w:color w:val="auto"/>
                <w:szCs w:val="21"/>
                <w:highlight w:val="none"/>
                <w:lang w:val="en-US" w:eastAsia="zh-CN"/>
              </w:rPr>
              <w:t>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olor w:val="auto"/>
                <w:szCs w:val="21"/>
                <w:highlight w:val="none"/>
              </w:rPr>
              <w:t>体育（2）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10</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eastAsia="zh-CN"/>
              </w:rPr>
            </w:pPr>
            <w:r>
              <w:rPr>
                <w:rFonts w:hint="eastAsia" w:ascii="宋体" w:hAnsi="宋体"/>
                <w:color w:val="auto"/>
                <w:szCs w:val="21"/>
                <w:highlight w:val="none"/>
              </w:rPr>
              <w:t>080300</w:t>
            </w:r>
            <w:r>
              <w:rPr>
                <w:rFonts w:hint="eastAsia" w:ascii="宋体" w:hAnsi="宋体"/>
                <w:color w:val="auto"/>
                <w:szCs w:val="21"/>
                <w:highlight w:val="none"/>
                <w:lang w:val="en-US" w:eastAsia="zh-CN"/>
              </w:rPr>
              <w:t>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olor w:val="auto"/>
                <w:szCs w:val="21"/>
                <w:highlight w:val="none"/>
              </w:rPr>
              <w:t>体育（3）</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eastAsia="zh-CN"/>
              </w:rPr>
            </w:pPr>
            <w:r>
              <w:rPr>
                <w:rFonts w:hint="eastAsia" w:ascii="宋体" w:hAnsi="宋体"/>
                <w:color w:val="auto"/>
                <w:szCs w:val="21"/>
                <w:highlight w:val="none"/>
              </w:rPr>
              <w:t>080300</w:t>
            </w:r>
            <w:r>
              <w:rPr>
                <w:rFonts w:hint="eastAsia" w:ascii="宋体" w:hAnsi="宋体"/>
                <w:color w:val="auto"/>
                <w:szCs w:val="21"/>
                <w:highlight w:val="none"/>
                <w:lang w:val="en-US" w:eastAsia="zh-CN"/>
              </w:rPr>
              <w:t>4</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olor w:val="auto"/>
                <w:szCs w:val="21"/>
                <w:highlight w:val="none"/>
              </w:rPr>
              <w:t>体育（4）</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0801035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s="宋体"/>
                <w:color w:val="auto"/>
                <w:kern w:val="0"/>
                <w:szCs w:val="18"/>
                <w:highlight w:val="none"/>
              </w:rPr>
            </w:pPr>
            <w:r>
              <w:rPr>
                <w:rFonts w:hint="eastAsia" w:ascii="宋体" w:hAnsi="宋体" w:cs="宋体"/>
                <w:color w:val="auto"/>
                <w:kern w:val="0"/>
                <w:szCs w:val="18"/>
                <w:highlight w:val="none"/>
              </w:rPr>
              <w:t>思想道德修养与法律基础（1）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23</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9</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0801038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宋体" w:hAnsi="宋体" w:cs="宋体"/>
                <w:color w:val="auto"/>
                <w:kern w:val="0"/>
                <w:szCs w:val="18"/>
                <w:highlight w:val="none"/>
              </w:rPr>
            </w:pPr>
            <w:r>
              <w:rPr>
                <w:rFonts w:hint="eastAsia" w:ascii="宋体" w:hAnsi="宋体" w:cs="宋体"/>
                <w:color w:val="auto"/>
                <w:kern w:val="0"/>
                <w:szCs w:val="18"/>
                <w:highlight w:val="none"/>
              </w:rPr>
              <w:t>思想道德修养与法律基础（2）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27</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9</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0801048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宋体" w:hAnsi="宋体"/>
                <w:color w:val="auto"/>
                <w:szCs w:val="21"/>
                <w:highlight w:val="none"/>
              </w:rPr>
            </w:pPr>
            <w:r>
              <w:rPr>
                <w:rFonts w:hint="eastAsia" w:ascii="宋体" w:hAnsi="宋体" w:cs="宋体"/>
                <w:color w:val="auto"/>
                <w:kern w:val="0"/>
                <w:szCs w:val="18"/>
                <w:highlight w:val="none"/>
              </w:rPr>
              <w:t>毛泽东思想和中国特色社会主义理论体系概论（1）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23</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9</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0801049</w:t>
            </w:r>
            <w:r>
              <w:rPr>
                <w:rFonts w:hint="eastAsia" w:ascii="宋体" w:hAnsi="宋体"/>
                <w:color w:val="auto"/>
                <w:szCs w:val="21"/>
                <w:highlight w:val="none"/>
                <w:lang w:val="en-US" w:eastAsia="zh-CN"/>
              </w:rPr>
              <w:t xml:space="preserve"> </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宋体" w:hAnsi="宋体"/>
                <w:color w:val="auto"/>
                <w:szCs w:val="21"/>
                <w:highlight w:val="none"/>
              </w:rPr>
            </w:pPr>
            <w:r>
              <w:rPr>
                <w:rFonts w:hint="eastAsia" w:ascii="宋体" w:hAnsi="宋体" w:cs="宋体"/>
                <w:color w:val="auto"/>
                <w:kern w:val="0"/>
                <w:szCs w:val="18"/>
                <w:highlight w:val="none"/>
              </w:rPr>
              <w:t>毛泽东思想和中国特色社会主义理论体系概论（2）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26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10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0499016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s="宋体"/>
                <w:color w:val="auto"/>
                <w:kern w:val="0"/>
                <w:szCs w:val="18"/>
                <w:highlight w:val="none"/>
              </w:rPr>
              <w:t>形势与政策</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16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20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r>
              <w:rPr>
                <w:rFonts w:hint="eastAsia" w:ascii="宋体" w:hAnsi="宋体"/>
                <w:color w:val="auto"/>
                <w:szCs w:val="18"/>
                <w:highlight w:val="none"/>
              </w:rPr>
              <w:t>讲座形式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lang w:val="en-US" w:eastAsia="zh-CN"/>
              </w:rPr>
              <w:t>0804007</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s="宋体"/>
                <w:color w:val="auto"/>
                <w:kern w:val="0"/>
                <w:szCs w:val="18"/>
                <w:highlight w:val="none"/>
              </w:rPr>
              <w:t>安全教育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12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ind w:firstLine="210" w:firstLineChars="100"/>
              <w:jc w:val="both"/>
              <w:rPr>
                <w:rFonts w:ascii="宋体" w:hAnsi="宋体"/>
                <w:color w:val="auto"/>
                <w:szCs w:val="21"/>
                <w:highlight w:val="none"/>
              </w:rPr>
            </w:pPr>
            <w:r>
              <w:rPr>
                <w:rFonts w:hint="default" w:ascii="Arial" w:hAnsi="Arial" w:cs="Arial"/>
                <w:color w:val="auto"/>
                <w:szCs w:val="21"/>
                <w:highlight w:val="none"/>
              </w:rPr>
              <w:t>∆</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default" w:ascii="Arial" w:hAnsi="Arial" w:cs="Arial"/>
                <w:color w:val="auto"/>
                <w:szCs w:val="21"/>
                <w:highlight w:val="none"/>
              </w:rPr>
              <w:t>∆</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 w:val="20"/>
                <w:szCs w:val="20"/>
                <w:highlight w:val="none"/>
              </w:rPr>
            </w:pPr>
            <w:r>
              <w:rPr>
                <w:rFonts w:hint="eastAsia" w:ascii="宋体" w:hAnsi="宋体"/>
                <w:color w:val="auto"/>
                <w:szCs w:val="18"/>
                <w:highlight w:val="none"/>
              </w:rPr>
              <w:t>讲座与</w:t>
            </w:r>
            <w:r>
              <w:rPr>
                <w:rFonts w:hint="eastAsia" w:ascii="宋体" w:hAnsi="宋体"/>
                <w:color w:val="auto"/>
                <w:szCs w:val="18"/>
                <w:highlight w:val="none"/>
                <w:lang w:val="en-US" w:eastAsia="zh-CN"/>
              </w:rPr>
              <w:t>主题</w:t>
            </w:r>
            <w:r>
              <w:rPr>
                <w:rFonts w:hint="eastAsia" w:ascii="宋体" w:hAnsi="宋体"/>
                <w:color w:val="auto"/>
                <w:szCs w:val="18"/>
                <w:highlight w:val="none"/>
              </w:rPr>
              <w:t>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18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0804009</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宋体" w:hAnsi="宋体" w:cs="宋体" w:eastAsiaTheme="minorEastAsia"/>
                <w:color w:val="auto"/>
                <w:kern w:val="0"/>
                <w:szCs w:val="18"/>
                <w:highlight w:val="none"/>
                <w:lang w:val="en-US" w:eastAsia="zh-CN"/>
              </w:rPr>
            </w:pPr>
            <w:r>
              <w:rPr>
                <w:rFonts w:hint="eastAsia" w:ascii="宋体" w:hAnsi="宋体" w:cs="宋体"/>
                <w:color w:val="auto"/>
                <w:kern w:val="0"/>
                <w:szCs w:val="18"/>
                <w:highlight w:val="none"/>
                <w:lang w:val="en-US" w:eastAsia="zh-CN"/>
              </w:rPr>
              <w:t>劳动教育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both"/>
              <w:rPr>
                <w:rFonts w:hint="eastAsia" w:ascii="宋体" w:hAnsi="宋体" w:eastAsiaTheme="minorEastAsia"/>
                <w:color w:val="auto"/>
                <w:szCs w:val="21"/>
                <w:highlight w:val="none"/>
                <w:lang w:val="en-US" w:eastAsia="zh-CN"/>
              </w:rPr>
            </w:pPr>
            <w:r>
              <w:rPr>
                <w:rFonts w:hint="default" w:ascii="Arial" w:hAnsi="Arial" w:cs="Arial"/>
                <w:color w:val="auto"/>
                <w:szCs w:val="21"/>
                <w:highlight w:val="none"/>
              </w:rPr>
              <w:t>∆</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default" w:ascii="Arial" w:hAnsi="Arial" w:cs="Arial"/>
                <w:color w:val="auto"/>
                <w:szCs w:val="21"/>
                <w:highlight w:val="none"/>
              </w:rPr>
              <w:t>∆</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default" w:ascii="Arial" w:hAnsi="Arial" w:cs="Arial"/>
                <w:color w:val="auto"/>
                <w:szCs w:val="21"/>
                <w:highlight w:val="none"/>
              </w:rPr>
              <w:t>∆</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default" w:ascii="Arial" w:hAnsi="Arial" w:cs="Arial"/>
                <w:color w:val="auto"/>
                <w:szCs w:val="21"/>
                <w:highlight w:val="none"/>
              </w:rPr>
              <w:t>∆</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color w:val="auto"/>
                <w:szCs w:val="18"/>
                <w:highlight w:val="none"/>
              </w:rPr>
            </w:pPr>
            <w:r>
              <w:rPr>
                <w:rFonts w:hint="eastAsia" w:ascii="宋体" w:hAnsi="宋体"/>
                <w:color w:val="auto"/>
                <w:szCs w:val="18"/>
                <w:highlight w:val="none"/>
              </w:rPr>
              <w:t>讲座与</w:t>
            </w:r>
            <w:r>
              <w:rPr>
                <w:rFonts w:hint="eastAsia" w:ascii="宋体" w:hAnsi="宋体"/>
                <w:color w:val="auto"/>
                <w:szCs w:val="18"/>
                <w:highlight w:val="none"/>
                <w:lang w:val="en-US" w:eastAsia="zh-CN"/>
              </w:rPr>
              <w:t>主题</w:t>
            </w:r>
            <w:r>
              <w:rPr>
                <w:rFonts w:hint="eastAsia" w:ascii="宋体" w:hAnsi="宋体"/>
                <w:color w:val="auto"/>
                <w:szCs w:val="18"/>
                <w:highlight w:val="none"/>
              </w:rPr>
              <w:t>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rPr>
              <w:t>1</w:t>
            </w:r>
            <w:r>
              <w:rPr>
                <w:rFonts w:hint="eastAsia" w:ascii="楷体_GB2312" w:hAnsi="宋体" w:eastAsia="楷体_GB2312"/>
                <w:color w:val="auto"/>
                <w:sz w:val="18"/>
                <w:szCs w:val="18"/>
                <w:highlight w:val="none"/>
                <w:lang w:val="en-US" w:eastAsia="zh-CN"/>
              </w:rPr>
              <w:t>9</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0802015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eastAsia="宋体"/>
                <w:color w:val="auto"/>
                <w:szCs w:val="21"/>
                <w:highlight w:val="none"/>
              </w:rPr>
            </w:pPr>
            <w:r>
              <w:rPr>
                <w:rFonts w:hint="eastAsia" w:ascii="宋体" w:hAnsi="宋体" w:cs="宋体"/>
                <w:color w:val="auto"/>
                <w:kern w:val="0"/>
                <w:szCs w:val="18"/>
                <w:highlight w:val="none"/>
              </w:rPr>
              <w:t>心理健康教育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eastAsia="宋体"/>
                <w:color w:val="auto"/>
                <w:szCs w:val="21"/>
                <w:highlight w:val="none"/>
              </w:rPr>
            </w:pPr>
            <w:r>
              <w:rPr>
                <w:rFonts w:hint="eastAsia" w:ascii="宋体" w:hAnsi="宋体"/>
                <w:color w:val="auto"/>
                <w:szCs w:val="21"/>
                <w:highlight w:val="none"/>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开课</w:t>
            </w:r>
          </w:p>
          <w:p>
            <w:pPr>
              <w:widowControl/>
              <w:spacing w:line="240" w:lineRule="atLeast"/>
              <w:rPr>
                <w:rFonts w:hint="default" w:ascii="宋体" w:hAnsi="宋体" w:cs="宋体" w:eastAsiaTheme="minorEastAsia"/>
                <w:color w:val="auto"/>
                <w:kern w:val="0"/>
                <w:sz w:val="20"/>
                <w:szCs w:val="20"/>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20</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0706001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s="宋体"/>
                <w:color w:val="auto"/>
                <w:kern w:val="0"/>
                <w:szCs w:val="18"/>
                <w:highlight w:val="none"/>
              </w:rPr>
              <w:t>公共艺术</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eastAsia="宋体"/>
                <w:color w:val="auto"/>
                <w:szCs w:val="21"/>
                <w:highlight w:val="none"/>
              </w:rPr>
            </w:pPr>
            <w:r>
              <w:rPr>
                <w:rFonts w:hint="eastAsia" w:ascii="宋体" w:hAnsi="宋体"/>
                <w:color w:val="auto"/>
                <w:szCs w:val="21"/>
                <w:highlight w:val="none"/>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开课</w:t>
            </w:r>
          </w:p>
          <w:p>
            <w:pPr>
              <w:widowControl/>
              <w:spacing w:line="240" w:lineRule="atLeast"/>
              <w:jc w:val="center"/>
              <w:rPr>
                <w:rFonts w:ascii="宋体" w:hAnsi="宋体" w:cs="宋体"/>
                <w:color w:val="auto"/>
                <w:kern w:val="0"/>
                <w:sz w:val="20"/>
                <w:szCs w:val="20"/>
                <w:highlight w:val="none"/>
              </w:rPr>
            </w:pPr>
            <w:r>
              <w:rPr>
                <w:rFonts w:hint="eastAsia" w:asciiTheme="majorEastAsia" w:hAnsiTheme="majorEastAsia" w:eastAsiaTheme="majorEastAsia" w:cstheme="majorEastAsia"/>
                <w:color w:val="auto"/>
                <w:kern w:val="0"/>
                <w:sz w:val="21"/>
                <w:szCs w:val="21"/>
                <w:highlight w:val="none"/>
                <w:lang w:val="en-US" w:eastAsia="zh-CN"/>
              </w:rPr>
              <w:t>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rPr>
              <w:t>2</w:t>
            </w:r>
            <w:r>
              <w:rPr>
                <w:rFonts w:hint="eastAsia" w:ascii="楷体_GB2312" w:hAnsi="宋体" w:eastAsia="楷体_GB2312"/>
                <w:color w:val="auto"/>
                <w:sz w:val="18"/>
                <w:szCs w:val="18"/>
                <w:highlight w:val="none"/>
                <w:lang w:val="en-US" w:eastAsia="zh-CN"/>
              </w:rPr>
              <w:t>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rPr>
              <w:t>080</w:t>
            </w:r>
            <w:r>
              <w:rPr>
                <w:rFonts w:hint="eastAsia" w:ascii="宋体" w:hAnsi="宋体"/>
                <w:color w:val="auto"/>
                <w:szCs w:val="21"/>
                <w:highlight w:val="none"/>
                <w:lang w:val="en-US" w:eastAsia="zh-CN"/>
              </w:rPr>
              <w:t>1050</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s="宋体"/>
                <w:color w:val="auto"/>
                <w:kern w:val="0"/>
                <w:szCs w:val="18"/>
                <w:highlight w:val="none"/>
              </w:rPr>
              <w:t>职业规划与就业指导</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eastAsia="宋体"/>
                <w:color w:val="auto"/>
                <w:szCs w:val="21"/>
                <w:highlight w:val="none"/>
              </w:rPr>
            </w:pPr>
            <w:r>
              <w:rPr>
                <w:rFonts w:hint="eastAsia" w:ascii="宋体" w:hAnsi="宋体"/>
                <w:color w:val="auto"/>
                <w:szCs w:val="21"/>
                <w:highlight w:val="none"/>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开课</w:t>
            </w:r>
          </w:p>
          <w:p>
            <w:pPr>
              <w:widowControl/>
              <w:spacing w:line="240" w:lineRule="atLeast"/>
              <w:jc w:val="center"/>
              <w:rPr>
                <w:rFonts w:ascii="宋体" w:hAnsi="宋体" w:cs="宋体"/>
                <w:color w:val="auto"/>
                <w:kern w:val="0"/>
                <w:sz w:val="20"/>
                <w:szCs w:val="20"/>
                <w:highlight w:val="none"/>
              </w:rPr>
            </w:pPr>
            <w:r>
              <w:rPr>
                <w:rFonts w:hint="eastAsia" w:asciiTheme="majorEastAsia" w:hAnsiTheme="majorEastAsia" w:eastAsiaTheme="majorEastAsia" w:cstheme="majorEastAsia"/>
                <w:color w:val="auto"/>
                <w:kern w:val="0"/>
                <w:sz w:val="21"/>
                <w:szCs w:val="21"/>
                <w:highlight w:val="none"/>
                <w:lang w:val="en-US" w:eastAsia="zh-CN"/>
              </w:rPr>
              <w:t>9周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rPr>
              <w:t>2</w:t>
            </w:r>
            <w:r>
              <w:rPr>
                <w:rFonts w:hint="eastAsia" w:ascii="楷体_GB2312" w:hAnsi="宋体" w:eastAsia="楷体_GB2312"/>
                <w:color w:val="auto"/>
                <w:sz w:val="18"/>
                <w:szCs w:val="18"/>
                <w:highlight w:val="none"/>
                <w:lang w:val="en-US" w:eastAsia="zh-CN"/>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rPr>
              <w:t>08010</w:t>
            </w:r>
            <w:r>
              <w:rPr>
                <w:rFonts w:hint="eastAsia" w:ascii="宋体" w:hAnsi="宋体"/>
                <w:color w:val="auto"/>
                <w:szCs w:val="21"/>
                <w:highlight w:val="none"/>
                <w:lang w:val="en-US" w:eastAsia="zh-CN"/>
              </w:rPr>
              <w:t>51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s="宋体"/>
                <w:color w:val="auto"/>
                <w:kern w:val="0"/>
                <w:szCs w:val="18"/>
                <w:highlight w:val="none"/>
              </w:rPr>
              <w:t>创新创业教育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eastAsia="宋体"/>
                <w:color w:val="auto"/>
                <w:szCs w:val="21"/>
                <w:highlight w:val="none"/>
              </w:rPr>
            </w:pPr>
            <w:r>
              <w:rPr>
                <w:rFonts w:hint="eastAsia" w:ascii="宋体" w:hAnsi="宋体"/>
                <w:color w:val="auto"/>
                <w:szCs w:val="21"/>
                <w:highlight w:val="none"/>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Theme="majorEastAsia" w:hAnsiTheme="majorEastAsia" w:eastAsiaTheme="majorEastAsia" w:cstheme="majorEastAsia"/>
                <w:color w:val="auto"/>
                <w:kern w:val="0"/>
                <w:sz w:val="21"/>
                <w:szCs w:val="21"/>
                <w:highlight w:val="none"/>
                <w:lang w:val="en-US" w:eastAsia="zh-CN"/>
              </w:rPr>
            </w:pPr>
            <w:r>
              <w:rPr>
                <w:rFonts w:hint="eastAsia" w:asciiTheme="majorEastAsia" w:hAnsiTheme="majorEastAsia" w:eastAsiaTheme="majorEastAsia" w:cstheme="majorEastAsia"/>
                <w:color w:val="auto"/>
                <w:kern w:val="0"/>
                <w:sz w:val="21"/>
                <w:szCs w:val="21"/>
                <w:highlight w:val="none"/>
                <w:lang w:val="en-US" w:eastAsia="zh-CN"/>
              </w:rPr>
              <w:t>开课</w:t>
            </w:r>
          </w:p>
          <w:p>
            <w:pPr>
              <w:widowControl/>
              <w:spacing w:line="240" w:lineRule="atLeast"/>
              <w:jc w:val="center"/>
              <w:rPr>
                <w:rFonts w:ascii="宋体" w:hAnsi="宋体" w:cs="宋体"/>
                <w:color w:val="auto"/>
                <w:kern w:val="0"/>
                <w:sz w:val="20"/>
                <w:szCs w:val="20"/>
                <w:highlight w:val="none"/>
              </w:rPr>
            </w:pPr>
            <w:r>
              <w:rPr>
                <w:rFonts w:hint="eastAsia" w:asciiTheme="majorEastAsia" w:hAnsiTheme="majorEastAsia" w:eastAsiaTheme="majorEastAsia" w:cstheme="majorEastAsia"/>
                <w:color w:val="auto"/>
                <w:kern w:val="0"/>
                <w:sz w:val="21"/>
                <w:szCs w:val="21"/>
                <w:highlight w:val="none"/>
                <w:lang w:val="en-US" w:eastAsia="zh-CN"/>
              </w:rPr>
              <w:t>9周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both"/>
              <w:rPr>
                <w:rFonts w:hint="eastAsia" w:ascii="楷体_GB2312" w:hAnsi="宋体" w:eastAsia="楷体_GB2312"/>
                <w:color w:val="auto"/>
                <w:sz w:val="18"/>
                <w:szCs w:val="18"/>
                <w:highlight w:val="none"/>
                <w:lang w:eastAsia="zh-CN"/>
              </w:rPr>
            </w:pP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122" w:type="dxa"/>
            <w:gridSpan w:val="6"/>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s="宋体"/>
                <w:color w:val="auto"/>
                <w:kern w:val="0"/>
                <w:szCs w:val="18"/>
                <w:highlight w:val="none"/>
              </w:rPr>
              <w:t>小计</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240" w:lineRule="atLeast"/>
              <w:jc w:val="center"/>
              <w:rPr>
                <w:rFonts w:ascii="宋体" w:hAnsi="宋体"/>
                <w:color w:val="auto"/>
                <w:szCs w:val="21"/>
                <w:highlight w:val="none"/>
              </w:rPr>
            </w:pP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eastAsia="zh-CN"/>
              </w:rPr>
            </w:pPr>
            <w:r>
              <w:rPr>
                <w:rFonts w:hint="eastAsia" w:ascii="宋体" w:hAnsi="宋体"/>
                <w:color w:val="auto"/>
                <w:szCs w:val="21"/>
                <w:highlight w:val="none"/>
              </w:rPr>
              <w:t>4</w:t>
            </w:r>
            <w:r>
              <w:rPr>
                <w:rFonts w:hint="eastAsia" w:ascii="宋体" w:hAnsi="宋体"/>
                <w:color w:val="auto"/>
                <w:szCs w:val="21"/>
                <w:highlight w:val="none"/>
                <w:lang w:val="en-US" w:eastAsia="zh-CN"/>
              </w:rPr>
              <w:t>6</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788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425</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363</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16</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both"/>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14</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6</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b/>
                <w:color w:val="auto"/>
                <w:kern w:val="0"/>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b/>
                <w:color w:val="auto"/>
                <w:kern w:val="0"/>
                <w:szCs w:val="21"/>
                <w:highlight w:val="none"/>
              </w:rPr>
            </w:pP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549" w:type="dxa"/>
            <w:vMerge w:val="restart"/>
            <w:tcBorders>
              <w:top w:val="single" w:color="auto" w:sz="4" w:space="0"/>
              <w:left w:val="single" w:color="auto" w:sz="4" w:space="0"/>
              <w:bottom w:val="single" w:color="auto" w:sz="4" w:space="0"/>
              <w:right w:val="single" w:color="auto" w:sz="4" w:space="0"/>
            </w:tcBorders>
            <w:noWrap/>
            <w:textDirection w:val="tbRlV"/>
            <w:vAlign w:val="center"/>
          </w:tcPr>
          <w:p>
            <w:pPr>
              <w:spacing w:line="360" w:lineRule="exact"/>
              <w:jc w:val="center"/>
              <w:rPr>
                <w:rFonts w:ascii="宋体" w:hAnsi="宋体" w:cs="宋体"/>
                <w:b/>
                <w:color w:val="auto"/>
                <w:kern w:val="0"/>
                <w:szCs w:val="21"/>
                <w:highlight w:val="none"/>
              </w:rPr>
            </w:pPr>
            <w:r>
              <w:rPr>
                <w:rFonts w:hint="eastAsia" w:ascii="宋体" w:hAnsi="宋体" w:cs="宋体"/>
                <w:b/>
                <w:color w:val="auto"/>
                <w:kern w:val="0"/>
                <w:szCs w:val="21"/>
                <w:highlight w:val="none"/>
              </w:rPr>
              <w:t>专业（</w:t>
            </w:r>
            <w:r>
              <w:rPr>
                <w:rFonts w:hint="eastAsia" w:ascii="宋体" w:hAnsi="宋体" w:cs="宋体"/>
                <w:b/>
                <w:color w:val="auto"/>
                <w:kern w:val="0"/>
                <w:szCs w:val="18"/>
                <w:highlight w:val="none"/>
              </w:rPr>
              <w:t>技能）课程</w:t>
            </w: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1002016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color w:val="auto"/>
                <w:szCs w:val="21"/>
                <w:highlight w:val="none"/>
              </w:rPr>
            </w:pPr>
            <w:r>
              <w:rPr>
                <w:color w:val="auto"/>
                <w:kern w:val="0"/>
                <w:szCs w:val="21"/>
                <w:highlight w:val="none"/>
              </w:rPr>
              <w:t>无机化学</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16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1002013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color w:val="auto"/>
                <w:kern w:val="0"/>
                <w:szCs w:val="21"/>
                <w:highlight w:val="none"/>
              </w:rPr>
              <w:t>有机化学</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eastAsia="宋体"/>
                <w:color w:val="auto"/>
                <w:szCs w:val="21"/>
                <w:highlight w:val="none"/>
              </w:rPr>
            </w:pPr>
            <w:r>
              <w:rPr>
                <w:rFonts w:hint="eastAsia" w:ascii="宋体" w:hAnsi="宋体"/>
                <w:color w:val="auto"/>
                <w:szCs w:val="18"/>
                <w:highlight w:val="none"/>
              </w:rPr>
              <w:t>16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default" w:ascii="宋体" w:hAnsi="宋体" w:eastAsiaTheme="minorEastAsia"/>
                <w:color w:val="auto"/>
                <w:szCs w:val="21"/>
                <w:highlight w:val="none"/>
                <w:lang w:val="en-US" w:eastAsia="zh-CN"/>
              </w:rPr>
            </w:pPr>
            <w:r>
              <w:rPr>
                <w:rFonts w:hint="eastAsia" w:ascii="宋体" w:hAnsi="宋体"/>
                <w:color w:val="auto"/>
                <w:szCs w:val="21"/>
                <w:highlight w:val="none"/>
              </w:rPr>
              <w:t>10020</w:t>
            </w:r>
            <w:r>
              <w:rPr>
                <w:rFonts w:hint="eastAsia" w:ascii="宋体" w:hAnsi="宋体"/>
                <w:color w:val="auto"/>
                <w:szCs w:val="21"/>
                <w:highlight w:val="none"/>
                <w:lang w:val="en-US" w:eastAsia="zh-CN"/>
              </w:rPr>
              <w:t>22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color w:val="auto"/>
                <w:kern w:val="0"/>
                <w:szCs w:val="21"/>
                <w:highlight w:val="none"/>
              </w:rPr>
              <w:t>分析化学</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8</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1003053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s="宋体"/>
                <w:color w:val="auto"/>
                <w:kern w:val="0"/>
                <w:szCs w:val="18"/>
                <w:highlight w:val="none"/>
              </w:rPr>
              <w:t>化工安全技术</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s="宋体"/>
                <w:color w:val="auto"/>
                <w:kern w:val="0"/>
                <w:szCs w:val="18"/>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30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default" w:ascii="宋体" w:hAnsi="宋体" w:eastAsiaTheme="minorEastAsia"/>
                <w:color w:val="auto"/>
                <w:szCs w:val="21"/>
                <w:highlight w:val="none"/>
                <w:lang w:val="en-US" w:eastAsia="zh-CN"/>
              </w:rPr>
            </w:pPr>
            <w:r>
              <w:rPr>
                <w:rFonts w:hint="eastAsia" w:ascii="宋体" w:hAnsi="宋体"/>
                <w:color w:val="auto"/>
                <w:szCs w:val="21"/>
                <w:highlight w:val="none"/>
              </w:rPr>
              <w:t>10030</w:t>
            </w:r>
            <w:r>
              <w:rPr>
                <w:rFonts w:hint="eastAsia" w:ascii="宋体" w:hAnsi="宋体"/>
                <w:color w:val="auto"/>
                <w:szCs w:val="21"/>
                <w:highlight w:val="none"/>
                <w:lang w:val="en-US" w:eastAsia="zh-CN"/>
              </w:rPr>
              <w:t>62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hint="eastAsia" w:ascii="宋体" w:hAnsi="宋体" w:eastAsiaTheme="minorEastAsia"/>
                <w:color w:val="auto"/>
                <w:szCs w:val="21"/>
                <w:highlight w:val="none"/>
                <w:lang w:eastAsia="zh-CN"/>
              </w:rPr>
            </w:pPr>
            <w:r>
              <w:rPr>
                <w:rFonts w:hint="eastAsia" w:ascii="宋体" w:hAnsi="宋体"/>
                <w:color w:val="auto"/>
                <w:szCs w:val="21"/>
                <w:highlight w:val="none"/>
              </w:rPr>
              <w:t>化工单元操作</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一</w:t>
            </w:r>
            <w:r>
              <w:rPr>
                <w:rFonts w:hint="eastAsia" w:ascii="宋体" w:hAnsi="宋体"/>
                <w:color w:val="auto"/>
                <w:szCs w:val="21"/>
                <w:highlight w:val="none"/>
                <w:lang w:eastAsia="zh-CN"/>
              </w:rPr>
              <w:t>）</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s="宋体"/>
                <w:color w:val="auto"/>
                <w:kern w:val="0"/>
                <w:szCs w:val="18"/>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21"/>
                <w:highlight w:val="none"/>
                <w:lang w:eastAsia="zh-CN"/>
              </w:rPr>
            </w:pPr>
            <w:r>
              <w:rPr>
                <w:rFonts w:hint="eastAsia" w:ascii="宋体" w:hAnsi="宋体"/>
                <w:color w:val="auto"/>
                <w:szCs w:val="21"/>
                <w:highlight w:val="none"/>
                <w:lang w:val="en-US" w:eastAsia="zh-CN"/>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28</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1003063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化工单元操作（二）</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cs="宋体" w:eastAsiaTheme="minorEastAsia"/>
                <w:color w:val="auto"/>
                <w:kern w:val="0"/>
                <w:szCs w:val="18"/>
                <w:highlight w:val="none"/>
                <w:lang w:val="en-US" w:eastAsia="zh-CN"/>
              </w:rPr>
            </w:pPr>
            <w:r>
              <w:rPr>
                <w:rFonts w:hint="eastAsia" w:ascii="宋体" w:hAnsi="宋体" w:cs="宋体"/>
                <w:color w:val="auto"/>
                <w:kern w:val="0"/>
                <w:szCs w:val="18"/>
                <w:highlight w:val="none"/>
                <w:lang w:val="en-US" w:eastAsia="zh-CN"/>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lang w:val="en-US" w:eastAsia="zh-CN"/>
              </w:rPr>
              <w:t>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lang w:val="en-US" w:eastAsia="zh-CN"/>
              </w:rPr>
              <w:t>0203027</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bCs/>
                <w:color w:val="auto"/>
                <w:kern w:val="0"/>
                <w:szCs w:val="21"/>
                <w:highlight w:val="none"/>
              </w:rPr>
              <w:t>化工仪表</w:t>
            </w:r>
            <w:r>
              <w:rPr>
                <w:rFonts w:hint="eastAsia"/>
                <w:color w:val="auto"/>
                <w:highlight w:val="none"/>
              </w:rPr>
              <w:t>及自动化</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s="宋体"/>
                <w:color w:val="auto"/>
                <w:kern w:val="0"/>
                <w:szCs w:val="18"/>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30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宋体"/>
                <w:color w:val="auto"/>
                <w:szCs w:val="21"/>
                <w:highlight w:val="none"/>
                <w:lang w:val="en-US" w:eastAsia="zh-CN"/>
              </w:rPr>
            </w:pPr>
            <w:r>
              <w:rPr>
                <w:rFonts w:hint="eastAsia" w:ascii="宋体" w:hAnsi="宋体" w:eastAsia="宋体"/>
                <w:color w:val="auto"/>
                <w:szCs w:val="21"/>
                <w:highlight w:val="none"/>
                <w:lang w:val="en-US" w:eastAsia="zh-CN"/>
              </w:rPr>
              <w:t>4</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lang w:val="en-US" w:eastAsia="zh-CN"/>
              </w:rPr>
              <w:t>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1003045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color w:val="auto"/>
                <w:szCs w:val="21"/>
                <w:highlight w:val="none"/>
              </w:rPr>
              <w:t>化工设备基础</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9</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1002019</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hint="eastAsia" w:ascii="宋体" w:hAnsi="宋体" w:eastAsiaTheme="minorEastAsia"/>
                <w:color w:val="auto"/>
                <w:szCs w:val="21"/>
                <w:highlight w:val="none"/>
                <w:lang w:eastAsia="zh-CN"/>
              </w:rPr>
            </w:pPr>
            <w:r>
              <w:rPr>
                <w:rFonts w:hint="eastAsia" w:ascii="宋体" w:hAnsi="宋体" w:cs="宋体"/>
                <w:color w:val="auto"/>
                <w:kern w:val="0"/>
                <w:szCs w:val="18"/>
                <w:highlight w:val="none"/>
              </w:rPr>
              <w:t>物理化学</w:t>
            </w:r>
            <w:r>
              <w:rPr>
                <w:rFonts w:hint="eastAsia" w:ascii="宋体" w:hAnsi="宋体" w:cs="宋体"/>
                <w:color w:val="auto"/>
                <w:kern w:val="0"/>
                <w:szCs w:val="18"/>
                <w:highlight w:val="none"/>
                <w:lang w:eastAsia="zh-CN"/>
              </w:rPr>
              <w:t>（</w:t>
            </w:r>
            <w:r>
              <w:rPr>
                <w:rFonts w:hint="eastAsia" w:ascii="宋体" w:hAnsi="宋体" w:cs="宋体"/>
                <w:color w:val="auto"/>
                <w:kern w:val="0"/>
                <w:szCs w:val="18"/>
                <w:highlight w:val="none"/>
                <w:lang w:val="en-US" w:eastAsia="zh-CN"/>
              </w:rPr>
              <w:t>一</w:t>
            </w:r>
            <w:r>
              <w:rPr>
                <w:rFonts w:hint="eastAsia" w:ascii="宋体" w:hAnsi="宋体" w:cs="宋体"/>
                <w:color w:val="auto"/>
                <w:kern w:val="0"/>
                <w:szCs w:val="18"/>
                <w:highlight w:val="none"/>
                <w:lang w:eastAsia="zh-CN"/>
              </w:rPr>
              <w:t>）</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21"/>
                <w:highlight w:val="none"/>
                <w:lang w:eastAsia="zh-CN"/>
              </w:rPr>
            </w:pPr>
            <w:r>
              <w:rPr>
                <w:rFonts w:hint="eastAsia" w:ascii="宋体" w:hAnsi="宋体"/>
                <w:color w:val="auto"/>
                <w:szCs w:val="21"/>
                <w:highlight w:val="none"/>
                <w:lang w:val="en-US" w:eastAsia="zh-CN"/>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18"/>
                <w:highlight w:val="none"/>
                <w:lang w:val="en-US" w:eastAsia="zh-CN"/>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18"/>
                <w:highlight w:val="none"/>
                <w:lang w:val="en-US" w:eastAsia="zh-CN"/>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10</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1002020</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hint="eastAsia" w:ascii="宋体" w:hAnsi="宋体" w:cs="宋体" w:eastAsiaTheme="minorEastAsia"/>
                <w:color w:val="auto"/>
                <w:kern w:val="0"/>
                <w:szCs w:val="18"/>
                <w:highlight w:val="none"/>
                <w:lang w:val="en-US" w:eastAsia="zh-CN"/>
              </w:rPr>
            </w:pPr>
            <w:r>
              <w:rPr>
                <w:rFonts w:hint="eastAsia" w:ascii="宋体" w:hAnsi="宋体" w:cs="宋体"/>
                <w:color w:val="auto"/>
                <w:kern w:val="0"/>
                <w:szCs w:val="18"/>
                <w:highlight w:val="none"/>
                <w:lang w:val="en-US" w:eastAsia="zh-CN"/>
              </w:rPr>
              <w:t>物理化学（二）</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eastAsiaTheme="minorEastAsia"/>
                <w:color w:val="auto"/>
                <w:kern w:val="0"/>
                <w:szCs w:val="21"/>
                <w:highlight w:val="none"/>
                <w:lang w:val="en-US" w:eastAsia="zh-CN"/>
              </w:rPr>
            </w:pPr>
            <w:r>
              <w:rPr>
                <w:rFonts w:hint="eastAsia"/>
                <w:color w:val="auto"/>
                <w:kern w:val="0"/>
                <w:szCs w:val="21"/>
                <w:highlight w:val="none"/>
                <w:lang w:val="en-US" w:eastAsia="zh-CN"/>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color w:val="auto"/>
                <w:szCs w:val="18"/>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default" w:ascii="宋体" w:hAnsi="宋体" w:eastAsiaTheme="minorEastAsia"/>
                <w:color w:val="auto"/>
                <w:szCs w:val="18"/>
                <w:highlight w:val="none"/>
                <w:lang w:val="en-US" w:eastAsia="zh-CN"/>
              </w:rPr>
            </w:pPr>
            <w:r>
              <w:rPr>
                <w:rFonts w:hint="eastAsia" w:ascii="宋体" w:hAnsi="宋体"/>
                <w:color w:val="auto"/>
                <w:szCs w:val="18"/>
                <w:highlight w:val="none"/>
                <w:lang w:val="en-US" w:eastAsia="zh-CN"/>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楷体_GB2312" w:hAnsi="宋体" w:eastAsia="楷体_GB2312"/>
                <w:color w:val="auto"/>
                <w:sz w:val="18"/>
                <w:szCs w:val="18"/>
                <w:highlight w:val="none"/>
                <w:lang w:val="en-US" w:eastAsia="zh-CN"/>
              </w:rPr>
            </w:pPr>
            <w:r>
              <w:rPr>
                <w:rFonts w:hint="eastAsia" w:ascii="楷体_GB2312" w:hAnsi="宋体" w:eastAsia="楷体_GB2312"/>
                <w:color w:val="auto"/>
                <w:sz w:val="18"/>
                <w:szCs w:val="18"/>
                <w:highlight w:val="none"/>
                <w:lang w:val="en-US" w:eastAsia="zh-CN"/>
              </w:rPr>
              <w:t>11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rPr>
              <w:t>1002019</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color w:val="auto"/>
                <w:highlight w:val="none"/>
              </w:rPr>
              <w:t xml:space="preserve">化工制图与CAD </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rPr>
              <w:t>1</w:t>
            </w:r>
            <w:r>
              <w:rPr>
                <w:rFonts w:hint="eastAsia" w:ascii="楷体_GB2312" w:hAnsi="宋体" w:eastAsia="楷体_GB2312"/>
                <w:color w:val="auto"/>
                <w:sz w:val="18"/>
                <w:szCs w:val="18"/>
                <w:highlight w:val="none"/>
                <w:lang w:val="en-US" w:eastAsia="zh-CN"/>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1003056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color w:val="auto"/>
                <w:highlight w:val="none"/>
              </w:rPr>
              <w:t>煤化学</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ind w:firstLine="210" w:firstLineChars="100"/>
              <w:jc w:val="both"/>
              <w:rPr>
                <w:rFonts w:ascii="宋体" w:hAnsi="宋体"/>
                <w:color w:val="auto"/>
                <w:szCs w:val="21"/>
                <w:highlight w:val="none"/>
              </w:rPr>
            </w:pPr>
            <w:r>
              <w:rPr>
                <w:rFonts w:hint="eastAsia" w:ascii="宋体" w:hAnsi="宋体"/>
                <w:color w:val="auto"/>
                <w:szCs w:val="18"/>
                <w:highlight w:val="none"/>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rPr>
              <w:t>1</w:t>
            </w:r>
            <w:r>
              <w:rPr>
                <w:rFonts w:hint="eastAsia" w:ascii="楷体_GB2312" w:hAnsi="宋体" w:eastAsia="楷体_GB2312"/>
                <w:color w:val="auto"/>
                <w:sz w:val="18"/>
                <w:szCs w:val="18"/>
                <w:highlight w:val="none"/>
                <w:lang w:val="en-US" w:eastAsia="zh-CN"/>
              </w:rPr>
              <w:t>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default"/>
                <w:color w:val="auto"/>
                <w:szCs w:val="21"/>
                <w:highlight w:val="none"/>
                <w:lang w:val="en-US"/>
              </w:rPr>
            </w:pPr>
            <w:r>
              <w:rPr>
                <w:rFonts w:hint="eastAsia" w:ascii="宋体" w:hAnsi="宋体"/>
                <w:color w:val="auto"/>
                <w:szCs w:val="21"/>
                <w:highlight w:val="none"/>
              </w:rPr>
              <w:t>10030</w:t>
            </w:r>
            <w:r>
              <w:rPr>
                <w:rFonts w:hint="eastAsia" w:ascii="宋体" w:hAnsi="宋体"/>
                <w:color w:val="auto"/>
                <w:szCs w:val="21"/>
                <w:highlight w:val="none"/>
                <w:lang w:val="en-US" w:eastAsia="zh-CN"/>
              </w:rPr>
              <w:t>58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color w:val="auto"/>
                <w:szCs w:val="21"/>
                <w:highlight w:val="none"/>
              </w:rPr>
            </w:pPr>
            <w:r>
              <w:rPr>
                <w:rFonts w:hAnsi="宋体"/>
                <w:color w:val="auto"/>
                <w:szCs w:val="21"/>
                <w:highlight w:val="none"/>
              </w:rPr>
              <w:t>化工环境保护概论</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color w:val="auto"/>
                <w:kern w:val="0"/>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18"/>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22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rPr>
              <w:t>1</w:t>
            </w:r>
            <w:r>
              <w:rPr>
                <w:rFonts w:hint="eastAsia" w:ascii="楷体_GB2312" w:hAnsi="宋体" w:eastAsia="楷体_GB2312"/>
                <w:color w:val="auto"/>
                <w:sz w:val="18"/>
                <w:szCs w:val="18"/>
                <w:highlight w:val="none"/>
                <w:lang w:val="en-US" w:eastAsia="zh-CN"/>
              </w:rPr>
              <w:t>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hint="eastAsia" w:ascii="宋体" w:hAnsi="宋体"/>
                <w:color w:val="auto"/>
                <w:szCs w:val="21"/>
                <w:highlight w:val="none"/>
                <w:lang w:val="en-US" w:eastAsia="zh-CN"/>
              </w:rPr>
              <w:t>1003073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color w:val="auto"/>
                <w:szCs w:val="21"/>
                <w:highlight w:val="none"/>
              </w:rPr>
              <w:t>洁净煤技术</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right w:val="single" w:color="auto" w:sz="4" w:space="0"/>
            </w:tcBorders>
            <w:noWrap/>
            <w:vAlign w:val="center"/>
          </w:tcPr>
          <w:p>
            <w:pPr>
              <w:widowControl/>
              <w:spacing w:line="240" w:lineRule="atLeast"/>
              <w:jc w:val="center"/>
              <w:rPr>
                <w:rFonts w:ascii="楷体_GB2312" w:hAnsi="宋体" w:eastAsia="楷体_GB2312"/>
                <w:color w:val="auto"/>
                <w:sz w:val="18"/>
                <w:szCs w:val="18"/>
                <w:highlight w:val="none"/>
              </w:rPr>
            </w:pPr>
            <w:r>
              <w:rPr>
                <w:rFonts w:hint="eastAsia" w:ascii="楷体_GB2312" w:hAnsi="宋体" w:eastAsia="楷体_GB2312"/>
                <w:color w:val="auto"/>
                <w:sz w:val="18"/>
                <w:szCs w:val="18"/>
                <w:highlight w:val="none"/>
              </w:rPr>
              <w:t>1</w:t>
            </w:r>
            <w:r>
              <w:rPr>
                <w:rFonts w:hint="eastAsia" w:ascii="楷体_GB2312" w:hAnsi="宋体" w:eastAsia="楷体_GB2312"/>
                <w:color w:val="auto"/>
                <w:sz w:val="18"/>
                <w:szCs w:val="18"/>
                <w:highlight w:val="none"/>
                <w:lang w:val="en-US" w:eastAsia="zh-CN"/>
              </w:rPr>
              <w:t>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default" w:eastAsiaTheme="minorEastAsia"/>
                <w:color w:val="auto"/>
                <w:szCs w:val="21"/>
                <w:highlight w:val="none"/>
                <w:lang w:val="en-US" w:eastAsia="zh-CN"/>
              </w:rPr>
            </w:pPr>
            <w:r>
              <w:rPr>
                <w:rFonts w:hint="eastAsia" w:asciiTheme="majorEastAsia" w:hAnsiTheme="majorEastAsia" w:eastAsiaTheme="majorEastAsia" w:cstheme="majorEastAsia"/>
                <w:color w:val="auto"/>
                <w:szCs w:val="21"/>
                <w:highlight w:val="none"/>
                <w:lang w:val="en-US" w:eastAsia="zh-CN"/>
              </w:rPr>
              <w:t>1003071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color w:val="auto"/>
                <w:highlight w:val="none"/>
              </w:rPr>
              <w:t>煤质分析</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eastAsia="zh-CN"/>
              </w:rPr>
            </w:pPr>
            <w:r>
              <w:rPr>
                <w:rFonts w:hint="eastAsia" w:ascii="楷体_GB2312" w:hAnsi="宋体" w:eastAsia="楷体_GB2312"/>
                <w:color w:val="auto"/>
                <w:sz w:val="18"/>
                <w:szCs w:val="18"/>
                <w:highlight w:val="none"/>
              </w:rPr>
              <w:t>1</w:t>
            </w:r>
            <w:r>
              <w:rPr>
                <w:rFonts w:hint="eastAsia" w:ascii="楷体_GB2312" w:hAnsi="宋体" w:eastAsia="楷体_GB2312"/>
                <w:color w:val="auto"/>
                <w:sz w:val="18"/>
                <w:szCs w:val="18"/>
                <w:highlight w:val="none"/>
                <w:lang w:val="en-US" w:eastAsia="zh-CN"/>
              </w:rPr>
              <w:t>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default" w:asciiTheme="majorEastAsia" w:hAnsiTheme="majorEastAsia" w:eastAsiaTheme="majorEastAsia" w:cstheme="majorEastAsia"/>
                <w:color w:val="auto"/>
                <w:szCs w:val="21"/>
                <w:highlight w:val="none"/>
                <w:lang w:val="en-US" w:eastAsia="zh-CN"/>
              </w:rPr>
            </w:pPr>
            <w:r>
              <w:rPr>
                <w:rFonts w:hint="eastAsia" w:asciiTheme="majorEastAsia" w:hAnsiTheme="majorEastAsia" w:eastAsiaTheme="majorEastAsia" w:cstheme="majorEastAsia"/>
                <w:color w:val="auto"/>
                <w:szCs w:val="21"/>
                <w:highlight w:val="none"/>
                <w:lang w:val="en-US" w:eastAsia="zh-CN"/>
              </w:rPr>
              <w:t>1003075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color w:val="auto"/>
                <w:highlight w:val="none"/>
              </w:rPr>
              <w:t>煤气化工艺</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top w:val="single" w:color="auto" w:sz="4" w:space="0"/>
              <w:left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eastAsia="zh-CN"/>
              </w:rPr>
            </w:pPr>
            <w:r>
              <w:rPr>
                <w:rFonts w:ascii="楷体_GB2312" w:hAnsi="宋体" w:eastAsia="楷体_GB2312"/>
                <w:color w:val="auto"/>
                <w:sz w:val="18"/>
                <w:szCs w:val="18"/>
                <w:highlight w:val="none"/>
              </w:rPr>
              <w:t>1</w:t>
            </w:r>
            <w:r>
              <w:rPr>
                <w:rFonts w:hint="eastAsia" w:ascii="楷体_GB2312" w:hAnsi="宋体" w:eastAsia="楷体_GB2312"/>
                <w:color w:val="auto"/>
                <w:sz w:val="18"/>
                <w:szCs w:val="18"/>
                <w:highlight w:val="none"/>
                <w:lang w:val="en-US" w:eastAsia="zh-CN"/>
              </w:rPr>
              <w:t>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color w:val="auto"/>
                <w:szCs w:val="21"/>
                <w:highlight w:val="none"/>
              </w:rPr>
            </w:pPr>
            <w:r>
              <w:rPr>
                <w:rFonts w:hint="eastAsia" w:ascii="宋体" w:hAnsi="宋体"/>
                <w:color w:val="auto"/>
                <w:szCs w:val="21"/>
                <w:highlight w:val="none"/>
              </w:rPr>
              <w:t>1003048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rPr>
                <w:rFonts w:ascii="宋体" w:hAnsi="宋体"/>
                <w:color w:val="auto"/>
                <w:szCs w:val="21"/>
                <w:highlight w:val="none"/>
              </w:rPr>
            </w:pPr>
            <w:r>
              <w:rPr>
                <w:rFonts w:hint="eastAsia"/>
                <w:color w:val="auto"/>
                <w:highlight w:val="none"/>
              </w:rPr>
              <w:t>化工文献检索与处理</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left w:val="single" w:color="auto" w:sz="4" w:space="0"/>
              <w:right w:val="single" w:color="auto" w:sz="4" w:space="0"/>
            </w:tcBorders>
            <w:noWrap/>
            <w:vAlign w:val="center"/>
          </w:tcPr>
          <w:p>
            <w:pPr>
              <w:widowControl/>
              <w:spacing w:line="240" w:lineRule="atLeast"/>
              <w:jc w:val="center"/>
              <w:rPr>
                <w:rFonts w:hint="eastAsia" w:ascii="楷体_GB2312" w:hAnsi="宋体" w:eastAsia="楷体_GB2312"/>
                <w:color w:val="auto"/>
                <w:sz w:val="18"/>
                <w:szCs w:val="18"/>
                <w:highlight w:val="none"/>
                <w:lang w:eastAsia="zh-CN"/>
              </w:rPr>
            </w:pPr>
            <w:r>
              <w:rPr>
                <w:rFonts w:ascii="楷体_GB2312" w:hAnsi="宋体" w:eastAsia="楷体_GB2312"/>
                <w:color w:val="auto"/>
                <w:sz w:val="18"/>
                <w:szCs w:val="18"/>
                <w:highlight w:val="none"/>
              </w:rPr>
              <w:t>1</w:t>
            </w:r>
            <w:r>
              <w:rPr>
                <w:rFonts w:hint="eastAsia" w:ascii="楷体_GB2312" w:hAnsi="宋体" w:eastAsia="楷体_GB2312"/>
                <w:color w:val="auto"/>
                <w:sz w:val="18"/>
                <w:szCs w:val="18"/>
                <w:highlight w:val="none"/>
                <w:lang w:val="en-US" w:eastAsia="zh-CN"/>
              </w:rPr>
              <w:t>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default" w:eastAsiaTheme="minorEastAsia"/>
                <w:color w:val="auto"/>
                <w:szCs w:val="21"/>
                <w:highlight w:val="none"/>
                <w:lang w:val="en-US" w:eastAsia="zh-CN"/>
              </w:rPr>
            </w:pPr>
            <w:r>
              <w:rPr>
                <w:rFonts w:hint="eastAsia" w:ascii="宋体" w:hAnsi="宋体"/>
                <w:color w:val="auto"/>
                <w:szCs w:val="21"/>
                <w:highlight w:val="none"/>
              </w:rPr>
              <w:t>10030</w:t>
            </w:r>
            <w:r>
              <w:rPr>
                <w:rFonts w:hint="eastAsia" w:ascii="宋体" w:hAnsi="宋体"/>
                <w:color w:val="auto"/>
                <w:szCs w:val="21"/>
                <w:highlight w:val="none"/>
                <w:lang w:val="en-US" w:eastAsia="zh-CN"/>
              </w:rPr>
              <w:t>72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rPr>
                <w:rFonts w:ascii="宋体" w:hAnsi="宋体"/>
                <w:color w:val="auto"/>
                <w:szCs w:val="21"/>
                <w:highlight w:val="none"/>
              </w:rPr>
            </w:pPr>
            <w:r>
              <w:rPr>
                <w:rFonts w:hint="eastAsia"/>
                <w:color w:val="auto"/>
                <w:highlight w:val="none"/>
              </w:rPr>
              <w:t>现代煤化工技术</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color w:val="auto"/>
                <w:kern w:val="0"/>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47" w:type="dxa"/>
            <w:tcBorders>
              <w:left w:val="single" w:color="auto" w:sz="4" w:space="0"/>
              <w:right w:val="single" w:color="auto" w:sz="4" w:space="0"/>
            </w:tcBorders>
            <w:noWrap/>
            <w:vAlign w:val="center"/>
          </w:tcPr>
          <w:p>
            <w:pPr>
              <w:widowControl/>
              <w:spacing w:line="240" w:lineRule="atLeast"/>
              <w:jc w:val="center"/>
              <w:rPr>
                <w:rFonts w:ascii="楷体_GB2312" w:hAnsi="宋体" w:eastAsia="楷体_GB2312"/>
                <w:color w:val="auto"/>
                <w:sz w:val="18"/>
                <w:szCs w:val="18"/>
                <w:highlight w:val="none"/>
              </w:rPr>
            </w:pP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color w:val="auto"/>
                <w:szCs w:val="21"/>
                <w:highlight w:val="none"/>
              </w:rPr>
            </w:pP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18"/>
                <w:highlight w:val="none"/>
              </w:rPr>
            </w:pP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auto"/>
                <w:szCs w:val="21"/>
                <w:highlight w:val="none"/>
              </w:rPr>
            </w:pP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color w:val="auto"/>
                <w:kern w:val="0"/>
                <w:szCs w:val="21"/>
                <w:highlight w:val="none"/>
              </w:rPr>
            </w:pPr>
          </w:p>
        </w:tc>
        <w:tc>
          <w:tcPr>
            <w:tcW w:w="5524" w:type="dxa"/>
            <w:gridSpan w:val="7"/>
            <w:tcBorders>
              <w:left w:val="single" w:color="auto" w:sz="4" w:space="0"/>
              <w:right w:val="single" w:color="auto" w:sz="4" w:space="0"/>
            </w:tcBorders>
            <w:noWrap/>
            <w:vAlign w:val="center"/>
          </w:tcPr>
          <w:p>
            <w:pPr>
              <w:spacing w:line="240" w:lineRule="atLeast"/>
              <w:jc w:val="center"/>
              <w:rPr>
                <w:rFonts w:ascii="宋体" w:hAnsi="宋体"/>
                <w:color w:val="auto"/>
                <w:szCs w:val="18"/>
                <w:highlight w:val="none"/>
              </w:rPr>
            </w:pPr>
            <w:r>
              <w:rPr>
                <w:rFonts w:hint="eastAsia" w:ascii="宋体" w:hAnsi="宋体" w:cs="宋体"/>
                <w:color w:val="auto"/>
                <w:kern w:val="0"/>
                <w:szCs w:val="18"/>
                <w:highlight w:val="none"/>
              </w:rPr>
              <w:t>小计</w:t>
            </w:r>
          </w:p>
        </w:tc>
        <w:tc>
          <w:tcPr>
            <w:tcW w:w="550"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64</w:t>
            </w:r>
          </w:p>
        </w:tc>
        <w:tc>
          <w:tcPr>
            <w:tcW w:w="700"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108</w:t>
            </w:r>
            <w:r>
              <w:rPr>
                <w:rFonts w:hint="eastAsia" w:ascii="宋体" w:hAnsi="宋体"/>
                <w:color w:val="auto"/>
                <w:szCs w:val="21"/>
                <w:highlight w:val="none"/>
              </w:rPr>
              <w:t>8</w:t>
            </w:r>
          </w:p>
        </w:tc>
        <w:tc>
          <w:tcPr>
            <w:tcW w:w="576"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70</w:t>
            </w:r>
          </w:p>
        </w:tc>
        <w:tc>
          <w:tcPr>
            <w:tcW w:w="584"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auto"/>
                <w:szCs w:val="21"/>
                <w:highlight w:val="none"/>
              </w:rPr>
            </w:pPr>
            <w:r>
              <w:rPr>
                <w:rFonts w:ascii="宋体" w:hAnsi="宋体"/>
                <w:color w:val="auto"/>
                <w:szCs w:val="21"/>
                <w:highlight w:val="none"/>
              </w:rPr>
              <w:t>71</w:t>
            </w:r>
            <w:r>
              <w:rPr>
                <w:rFonts w:hint="eastAsia" w:ascii="宋体" w:hAnsi="宋体"/>
                <w:color w:val="auto"/>
                <w:szCs w:val="21"/>
                <w:highlight w:val="none"/>
              </w:rPr>
              <w:t>8</w:t>
            </w:r>
          </w:p>
        </w:tc>
        <w:tc>
          <w:tcPr>
            <w:tcW w:w="800" w:type="dxa"/>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10</w:t>
            </w:r>
          </w:p>
        </w:tc>
        <w:tc>
          <w:tcPr>
            <w:tcW w:w="567" w:type="dxa"/>
            <w:tcBorders>
              <w:top w:val="single" w:color="auto" w:sz="4" w:space="0"/>
              <w:left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12</w:t>
            </w:r>
          </w:p>
        </w:tc>
        <w:tc>
          <w:tcPr>
            <w:tcW w:w="600" w:type="dxa"/>
            <w:tcBorders>
              <w:top w:val="single" w:color="auto" w:sz="4" w:space="0"/>
              <w:left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22</w:t>
            </w:r>
          </w:p>
        </w:tc>
        <w:tc>
          <w:tcPr>
            <w:tcW w:w="583" w:type="dxa"/>
            <w:tcBorders>
              <w:top w:val="single" w:color="auto" w:sz="4" w:space="0"/>
              <w:left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20</w:t>
            </w:r>
          </w:p>
        </w:tc>
        <w:tc>
          <w:tcPr>
            <w:tcW w:w="533"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auto"/>
                <w:szCs w:val="21"/>
                <w:highlight w:val="none"/>
              </w:rPr>
            </w:pPr>
          </w:p>
        </w:tc>
        <w:tc>
          <w:tcPr>
            <w:tcW w:w="650" w:type="dxa"/>
            <w:tcBorders>
              <w:top w:val="single" w:color="auto" w:sz="4" w:space="0"/>
              <w:left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62" w:type="dxa"/>
            <w:tcBorders>
              <w:top w:val="single" w:color="auto" w:sz="4" w:space="0"/>
              <w:left w:val="single" w:color="auto" w:sz="4" w:space="0"/>
              <w:right w:val="single" w:color="auto" w:sz="4" w:space="0"/>
            </w:tcBorders>
            <w:noWrap/>
            <w:vAlign w:val="center"/>
          </w:tcPr>
          <w:p>
            <w:pPr>
              <w:widowControl/>
              <w:spacing w:line="240" w:lineRule="atLeast"/>
              <w:jc w:val="center"/>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restart"/>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ascii="黑体" w:hAnsi="宋体" w:eastAsia="黑体" w:cs="宋体"/>
                <w:color w:val="auto"/>
                <w:kern w:val="0"/>
                <w:szCs w:val="21"/>
                <w:highlight w:val="none"/>
              </w:rPr>
            </w:pPr>
            <w:r>
              <w:rPr>
                <w:rFonts w:hint="eastAsia" w:ascii="宋体" w:hAnsi="宋体"/>
                <w:b/>
                <w:color w:val="auto"/>
                <w:szCs w:val="18"/>
                <w:highlight w:val="none"/>
              </w:rPr>
              <w:t>专业限选课程</w:t>
            </w: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Theme="majorEastAsia" w:hAnsiTheme="majorEastAsia" w:eastAsiaTheme="majorEastAsia" w:cstheme="majorEastAsia"/>
                <w:color w:val="auto"/>
                <w:szCs w:val="21"/>
                <w:highlight w:val="none"/>
                <w:lang w:val="en-US" w:eastAsia="zh-CN"/>
              </w:rPr>
              <w:t>ZC01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rFonts w:hint="eastAsia" w:ascii="宋体" w:hAnsi="宋体" w:cs="宋体"/>
                <w:color w:val="auto"/>
                <w:kern w:val="0"/>
                <w:szCs w:val="18"/>
                <w:highlight w:val="none"/>
              </w:rPr>
              <w:t>艺术哲学：美是如何诞生的</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auto"/>
                <w:kern w:val="0"/>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cs="宋体" w:eastAsiaTheme="minorEastAsia"/>
                <w:color w:val="auto"/>
                <w:kern w:val="0"/>
                <w:szCs w:val="21"/>
                <w:highlight w:val="none"/>
                <w:lang w:val="en-US" w:eastAsia="zh-CN"/>
              </w:rPr>
            </w:pPr>
            <w:r>
              <w:rPr>
                <w:rFonts w:hint="eastAsia" w:ascii="宋体" w:hAnsi="宋体" w:cs="宋体"/>
                <w:color w:val="auto"/>
                <w:kern w:val="0"/>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lang w:val="en-US" w:eastAsia="zh-CN"/>
              </w:rPr>
              <w:t>在线考试</w:t>
            </w:r>
          </w:p>
        </w:tc>
        <w:tc>
          <w:tcPr>
            <w:tcW w:w="762" w:type="dxa"/>
            <w:vMerge w:val="restart"/>
            <w:tcBorders>
              <w:top w:val="single" w:color="auto" w:sz="4" w:space="0"/>
              <w:left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18"/>
                <w:highlight w:val="none"/>
              </w:rPr>
              <w:t>任选5门课程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Theme="majorEastAsia" w:hAnsiTheme="majorEastAsia" w:eastAsiaTheme="majorEastAsia" w:cstheme="majorEastAsia"/>
                <w:color w:val="auto"/>
                <w:szCs w:val="21"/>
                <w:highlight w:val="none"/>
                <w:lang w:val="en-US" w:eastAsia="zh-CN"/>
              </w:rPr>
              <w:t>G22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rFonts w:hint="eastAsia" w:ascii="宋体" w:hAnsi="宋体" w:cs="宋体"/>
                <w:color w:val="auto"/>
                <w:kern w:val="0"/>
                <w:szCs w:val="18"/>
                <w:highlight w:val="none"/>
              </w:rPr>
              <w:t>习近平新时代中国特色社会主义思想与当代中国</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lang w:val="en-US" w:eastAsia="zh-CN"/>
              </w:rPr>
              <w:t>在线考试</w:t>
            </w:r>
          </w:p>
        </w:tc>
        <w:tc>
          <w:tcPr>
            <w:tcW w:w="762"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Theme="majorEastAsia" w:hAnsiTheme="majorEastAsia" w:eastAsiaTheme="majorEastAsia" w:cstheme="majorEastAsia"/>
                <w:color w:val="auto"/>
                <w:szCs w:val="21"/>
                <w:highlight w:val="none"/>
                <w:lang w:val="en-US" w:eastAsia="zh-CN"/>
              </w:rPr>
              <w:t>ZD01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rFonts w:hint="eastAsia" w:ascii="宋体" w:hAnsi="宋体" w:cs="宋体"/>
                <w:color w:val="auto"/>
                <w:kern w:val="0"/>
                <w:szCs w:val="18"/>
                <w:highlight w:val="none"/>
              </w:rPr>
              <w:t>人工智能与信息社会</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在线考试</w:t>
            </w:r>
          </w:p>
        </w:tc>
        <w:tc>
          <w:tcPr>
            <w:tcW w:w="762"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Theme="majorEastAsia" w:hAnsiTheme="majorEastAsia" w:eastAsiaTheme="majorEastAsia" w:cstheme="majorEastAsia"/>
                <w:color w:val="auto"/>
                <w:szCs w:val="21"/>
                <w:highlight w:val="none"/>
                <w:lang w:val="en-US" w:eastAsia="zh-CN"/>
              </w:rPr>
              <w:t>ZD54</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s="宋体"/>
                <w:color w:val="auto"/>
                <w:kern w:val="0"/>
                <w:szCs w:val="18"/>
                <w:highlight w:val="none"/>
              </w:rPr>
              <w:t>化学与人类</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lang w:val="en-US" w:eastAsia="zh-CN"/>
              </w:rPr>
              <w:t>在线考试</w:t>
            </w:r>
          </w:p>
        </w:tc>
        <w:tc>
          <w:tcPr>
            <w:tcW w:w="762"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Theme="majorEastAsia" w:hAnsiTheme="majorEastAsia" w:eastAsiaTheme="majorEastAsia" w:cstheme="majorEastAsia"/>
                <w:color w:val="auto"/>
                <w:szCs w:val="21"/>
                <w:highlight w:val="none"/>
                <w:lang w:val="en-US" w:eastAsia="zh-CN"/>
              </w:rPr>
              <w:t>ZD48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s="宋体"/>
                <w:color w:val="auto"/>
                <w:kern w:val="0"/>
                <w:szCs w:val="18"/>
                <w:highlight w:val="none"/>
              </w:rPr>
              <w:t>家园的治理：环境科学概论</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lang w:val="en-US" w:eastAsia="zh-CN"/>
              </w:rPr>
              <w:t>在线考试</w:t>
            </w:r>
          </w:p>
        </w:tc>
        <w:tc>
          <w:tcPr>
            <w:tcW w:w="762"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color w:val="auto"/>
                <w:szCs w:val="21"/>
                <w:highlight w:val="none"/>
              </w:rPr>
            </w:pPr>
            <w:r>
              <w:rPr>
                <w:rFonts w:hint="eastAsia" w:asciiTheme="majorEastAsia" w:hAnsiTheme="majorEastAsia" w:eastAsiaTheme="majorEastAsia" w:cstheme="majorEastAsia"/>
                <w:color w:val="auto"/>
                <w:szCs w:val="21"/>
                <w:highlight w:val="none"/>
                <w:lang w:val="en-US" w:eastAsia="zh-CN"/>
              </w:rPr>
              <w:t>TA04</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color w:val="auto"/>
                <w:szCs w:val="21"/>
                <w:highlight w:val="none"/>
              </w:rPr>
            </w:pPr>
            <w:r>
              <w:rPr>
                <w:rFonts w:hint="eastAsia" w:ascii="宋体" w:hAnsi="宋体" w:cs="宋体"/>
                <w:color w:val="auto"/>
                <w:kern w:val="0"/>
                <w:szCs w:val="18"/>
                <w:highlight w:val="none"/>
              </w:rPr>
              <w:t>情绪管理</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18"/>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lang w:val="en-US" w:eastAsia="zh-CN"/>
              </w:rPr>
              <w:t>在线考试</w:t>
            </w:r>
          </w:p>
        </w:tc>
        <w:tc>
          <w:tcPr>
            <w:tcW w:w="762"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color w:val="auto"/>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Theme="majorEastAsia" w:hAnsiTheme="majorEastAsia" w:eastAsiaTheme="majorEastAsia" w:cstheme="majorEastAsia"/>
                <w:color w:val="auto"/>
                <w:szCs w:val="21"/>
                <w:highlight w:val="none"/>
                <w:lang w:val="en-US" w:eastAsia="zh-CN"/>
              </w:rPr>
              <w:t>TA03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ascii="宋体" w:hAnsi="宋体" w:cs="宋体"/>
                <w:color w:val="auto"/>
                <w:kern w:val="0"/>
                <w:szCs w:val="18"/>
                <w:highlight w:val="none"/>
              </w:rPr>
              <w:t>突发事件及自救互救</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r>
              <w:rPr>
                <w:rFonts w:hint="eastAsia" w:ascii="宋体" w:hAnsi="宋体"/>
                <w:color w:val="auto"/>
                <w:szCs w:val="21"/>
                <w:highlight w:val="none"/>
                <w:lang w:val="en-US" w:eastAsia="zh-CN"/>
              </w:rPr>
              <w:t>在线考试</w:t>
            </w:r>
          </w:p>
        </w:tc>
        <w:tc>
          <w:tcPr>
            <w:tcW w:w="762"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Theme="majorEastAsia" w:hAnsiTheme="majorEastAsia" w:eastAsiaTheme="majorEastAsia" w:cstheme="majorEastAsia"/>
                <w:color w:val="auto"/>
                <w:szCs w:val="21"/>
                <w:highlight w:val="none"/>
                <w:lang w:val="en-US" w:eastAsia="zh-CN"/>
              </w:rPr>
              <w:t>C07</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auto"/>
                <w:szCs w:val="21"/>
                <w:highlight w:val="none"/>
              </w:rPr>
            </w:pPr>
            <w:r>
              <w:rPr>
                <w:rFonts w:hint="eastAsia" w:ascii="宋体" w:hAnsi="宋体" w:cs="宋体"/>
                <w:color w:val="auto"/>
                <w:kern w:val="0"/>
                <w:szCs w:val="18"/>
                <w:highlight w:val="none"/>
              </w:rPr>
              <w:t>大学生恋爱与性教育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auto"/>
                <w:szCs w:val="21"/>
                <w:highlight w:val="none"/>
              </w:rPr>
            </w:pPr>
            <w:r>
              <w:rPr>
                <w:rFonts w:hint="eastAsia" w:ascii="宋体"/>
                <w:color w:val="auto"/>
                <w:szCs w:val="18"/>
                <w:highlight w:val="none"/>
              </w:rPr>
              <w:t>选修</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auto"/>
              <w:jc w:val="center"/>
              <w:rPr>
                <w:rFonts w:ascii="宋体" w:hAnsi="宋体"/>
                <w:color w:val="auto"/>
                <w:szCs w:val="18"/>
                <w:highlight w:val="none"/>
              </w:rPr>
            </w:pPr>
            <w:r>
              <w:rPr>
                <w:rFonts w:hint="eastAsia" w:ascii="宋体" w:hAnsi="宋体"/>
                <w:color w:val="auto"/>
                <w:szCs w:val="18"/>
                <w:highlight w:val="none"/>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18"/>
                <w:highlight w:val="none"/>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21"/>
                <w:highlight w:val="none"/>
                <w:lang w:val="en-US" w:eastAsia="zh-CN"/>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lang w:val="en-US" w:eastAsia="zh-CN"/>
              </w:rPr>
              <w:t>在线考试</w:t>
            </w:r>
          </w:p>
        </w:tc>
        <w:tc>
          <w:tcPr>
            <w:tcW w:w="762" w:type="dxa"/>
            <w:vMerge w:val="continue"/>
            <w:tcBorders>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524" w:type="dxa"/>
            <w:gridSpan w:val="7"/>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s="宋体"/>
                <w:color w:val="auto"/>
                <w:kern w:val="0"/>
                <w:szCs w:val="18"/>
                <w:highlight w:val="none"/>
              </w:rPr>
              <w:t>小计</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20</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360</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auto"/>
                <w:szCs w:val="21"/>
                <w:highlight w:val="none"/>
              </w:rPr>
            </w:pPr>
            <w:r>
              <w:rPr>
                <w:rFonts w:hint="eastAsia" w:ascii="宋体" w:hAnsi="宋体"/>
                <w:color w:val="auto"/>
                <w:szCs w:val="21"/>
                <w:highlight w:val="none"/>
              </w:rPr>
              <w:t>360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20</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restart"/>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ascii="黑体" w:hAnsi="宋体" w:eastAsia="黑体" w:cs="宋体"/>
                <w:color w:val="auto"/>
                <w:kern w:val="0"/>
                <w:szCs w:val="21"/>
                <w:highlight w:val="none"/>
              </w:rPr>
            </w:pPr>
            <w:r>
              <w:rPr>
                <w:rFonts w:hint="eastAsia" w:ascii="黑体" w:hAnsi="宋体" w:eastAsia="黑体" w:cs="宋体"/>
                <w:color w:val="auto"/>
                <w:kern w:val="0"/>
                <w:szCs w:val="21"/>
                <w:highlight w:val="none"/>
              </w:rPr>
              <w:t>实习实训</w:t>
            </w: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0804001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s="宋体"/>
                <w:color w:val="auto"/>
                <w:kern w:val="0"/>
                <w:szCs w:val="18"/>
                <w:highlight w:val="none"/>
              </w:rPr>
              <w:t>入学教育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18"/>
                <w:highlight w:val="none"/>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r>
              <w:rPr>
                <w:rFonts w:hint="eastAsia" w:ascii="宋体" w:hAnsi="宋体"/>
                <w:color w:val="auto"/>
                <w:szCs w:val="18"/>
                <w:highlight w:val="none"/>
              </w:rPr>
              <w:t>新生入学第1周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0804002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auto"/>
                <w:szCs w:val="21"/>
                <w:highlight w:val="none"/>
              </w:rPr>
            </w:pPr>
            <w:r>
              <w:rPr>
                <w:rFonts w:hint="eastAsia" w:ascii="宋体" w:hAnsi="宋体"/>
                <w:color w:val="auto"/>
                <w:szCs w:val="21"/>
                <w:highlight w:val="none"/>
              </w:rPr>
              <w:t>军事</w:t>
            </w:r>
            <w:r>
              <w:rPr>
                <w:rFonts w:hint="eastAsia" w:ascii="宋体" w:hAnsi="宋体" w:cs="宋体"/>
                <w:color w:val="auto"/>
                <w:kern w:val="0"/>
                <w:szCs w:val="18"/>
                <w:highlight w:val="none"/>
              </w:rPr>
              <w:t>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18"/>
                <w:highlight w:val="none"/>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r>
              <w:rPr>
                <w:rFonts w:hint="eastAsia" w:ascii="宋体" w:hAnsi="宋体"/>
                <w:color w:val="auto"/>
                <w:szCs w:val="18"/>
                <w:highlight w:val="none"/>
              </w:rPr>
              <w:t>入学第1—2周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eastAsiaTheme="minorEastAsia"/>
                <w:color w:val="auto"/>
                <w:szCs w:val="21"/>
                <w:highlight w:val="none"/>
                <w:lang w:eastAsia="zh-CN"/>
              </w:rPr>
            </w:pPr>
            <w:r>
              <w:rPr>
                <w:rFonts w:hint="eastAsia" w:ascii="宋体" w:hAnsi="宋体"/>
                <w:color w:val="auto"/>
                <w:szCs w:val="21"/>
                <w:highlight w:val="none"/>
              </w:rPr>
              <w:t>080400</w:t>
            </w:r>
            <w:r>
              <w:rPr>
                <w:rFonts w:hint="eastAsia" w:ascii="宋体" w:hAnsi="宋体"/>
                <w:color w:val="auto"/>
                <w:szCs w:val="21"/>
                <w:highlight w:val="none"/>
                <w:lang w:val="en-US" w:eastAsia="zh-CN"/>
              </w:rPr>
              <w:t>7</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hint="eastAsia" w:ascii="宋体" w:hAnsi="宋体" w:cs="宋体" w:eastAsiaTheme="minorEastAsia"/>
                <w:color w:val="auto"/>
                <w:kern w:val="0"/>
                <w:szCs w:val="18"/>
                <w:highlight w:val="none"/>
                <w:lang w:val="en-US" w:eastAsia="zh-CN"/>
              </w:rPr>
            </w:pPr>
            <w:r>
              <w:rPr>
                <w:rFonts w:hint="eastAsia" w:ascii="宋体" w:hAnsi="宋体" w:cs="宋体"/>
                <w:color w:val="auto"/>
                <w:kern w:val="0"/>
                <w:szCs w:val="18"/>
                <w:highlight w:val="none"/>
              </w:rPr>
              <w:t>社会实践</w:t>
            </w:r>
            <w:r>
              <w:rPr>
                <w:rFonts w:hint="eastAsia" w:ascii="宋体" w:hAnsi="宋体" w:cs="宋体"/>
                <w:color w:val="auto"/>
                <w:kern w:val="0"/>
                <w:szCs w:val="18"/>
                <w:highlight w:val="none"/>
                <w:lang w:val="en-US" w:eastAsia="zh-CN"/>
              </w:rPr>
              <w:t>（校内）</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18"/>
                <w:highlight w:val="none"/>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default" w:ascii="宋体" w:hAnsi="宋体" w:eastAsiaTheme="minorEastAsia"/>
                <w:color w:val="auto"/>
                <w:szCs w:val="21"/>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r>
              <w:rPr>
                <w:rFonts w:hint="eastAsia" w:ascii="宋体" w:hAnsi="宋体"/>
                <w:bCs/>
                <w:color w:val="auto"/>
                <w:szCs w:val="21"/>
                <w:highlight w:val="none"/>
              </w:rPr>
              <w:t>勤工助学、社会调查等活动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auto"/>
                <w:szCs w:val="21"/>
                <w:highlight w:val="none"/>
              </w:rPr>
            </w:pPr>
            <w:r>
              <w:rPr>
                <w:rFonts w:hint="eastAsia" w:ascii="宋体" w:hAnsi="宋体"/>
                <w:color w:val="auto"/>
                <w:szCs w:val="21"/>
                <w:highlight w:val="none"/>
              </w:rPr>
              <w:t>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0804004</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auto"/>
                <w:szCs w:val="21"/>
                <w:highlight w:val="none"/>
              </w:rPr>
            </w:pPr>
            <w:r>
              <w:rPr>
                <w:rFonts w:hint="eastAsia" w:ascii="宋体" w:hAnsi="宋体" w:cs="宋体"/>
                <w:color w:val="auto"/>
                <w:kern w:val="0"/>
                <w:szCs w:val="18"/>
                <w:highlight w:val="none"/>
              </w:rPr>
              <w:t>假期社会实践</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s="宋体"/>
                <w:color w:val="auto"/>
                <w:kern w:val="0"/>
                <w:szCs w:val="18"/>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olor w:val="auto"/>
                <w:szCs w:val="18"/>
                <w:highlight w:val="none"/>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eastAsia"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auto"/>
                <w:kern w:val="0"/>
                <w:szCs w:val="21"/>
                <w:highlight w:val="none"/>
              </w:rPr>
            </w:pPr>
            <w:r>
              <w:rPr>
                <w:rFonts w:hint="eastAsia" w:ascii="宋体" w:hAnsi="宋体"/>
                <w:color w:val="auto"/>
                <w:szCs w:val="18"/>
                <w:highlight w:val="none"/>
              </w:rPr>
              <w:t>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0804005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left"/>
              <w:rPr>
                <w:rFonts w:ascii="宋体" w:hAnsi="宋体"/>
                <w:color w:val="auto"/>
                <w:szCs w:val="21"/>
                <w:highlight w:val="none"/>
              </w:rPr>
            </w:pPr>
            <w:r>
              <w:rPr>
                <w:rFonts w:hint="eastAsia" w:ascii="宋体" w:hAnsi="宋体"/>
                <w:color w:val="auto"/>
                <w:szCs w:val="21"/>
                <w:highlight w:val="none"/>
              </w:rPr>
              <w:t>顶岗实习</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18"/>
                <w:highlight w:val="none"/>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ascii="宋体" w:hAnsi="宋体"/>
                <w:color w:val="auto"/>
                <w:szCs w:val="21"/>
                <w:highlight w:val="none"/>
              </w:rPr>
              <w:t>16</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288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288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r>
              <w:rPr>
                <w:rFonts w:hint="eastAsia" w:ascii="宋体" w:hAnsi="宋体"/>
                <w:color w:val="auto"/>
                <w:szCs w:val="21"/>
                <w:highlight w:val="none"/>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cs="宋体" w:eastAsiaTheme="minorEastAsia"/>
                <w:color w:val="auto"/>
                <w:kern w:val="0"/>
                <w:szCs w:val="21"/>
                <w:highlight w:val="none"/>
                <w:lang w:val="en-US" w:eastAsia="zh-CN"/>
              </w:rPr>
            </w:pPr>
            <w:r>
              <w:rPr>
                <w:rFonts w:hint="eastAsia" w:ascii="宋体" w:hAnsi="宋体" w:cs="宋体"/>
                <w:color w:val="auto"/>
                <w:kern w:val="0"/>
                <w:szCs w:val="21"/>
                <w:highlight w:val="none"/>
                <w:lang w:val="en-US" w:eastAsia="zh-CN"/>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ascii="宋体" w:hAnsi="宋体"/>
                <w:color w:val="auto"/>
                <w:szCs w:val="21"/>
                <w:highlight w:val="none"/>
              </w:rPr>
              <w:t>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0804006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left"/>
              <w:rPr>
                <w:rFonts w:ascii="宋体" w:hAnsi="宋体"/>
                <w:color w:val="auto"/>
                <w:szCs w:val="21"/>
                <w:highlight w:val="none"/>
              </w:rPr>
            </w:pPr>
            <w:r>
              <w:rPr>
                <w:rFonts w:hint="eastAsia" w:ascii="宋体" w:hAnsi="宋体"/>
                <w:color w:val="auto"/>
                <w:szCs w:val="21"/>
                <w:highlight w:val="none"/>
              </w:rPr>
              <w:t>毕业设计</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ascii="宋体" w:hAnsi="宋体"/>
                <w:color w:val="auto"/>
                <w:szCs w:val="21"/>
                <w:highlight w:val="none"/>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both"/>
              <w:rPr>
                <w:rFonts w:hint="default" w:ascii="宋体" w:hAnsi="宋体" w:eastAsiaTheme="minorEastAsia"/>
                <w:color w:val="auto"/>
                <w:szCs w:val="21"/>
                <w:highlight w:val="none"/>
                <w:lang w:val="en-US" w:eastAsia="zh-CN"/>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hint="eastAsia" w:ascii="宋体" w:hAnsi="宋体" w:cs="宋体" w:eastAsiaTheme="minorEastAsia"/>
                <w:color w:val="auto"/>
                <w:kern w:val="0"/>
                <w:szCs w:val="21"/>
                <w:highlight w:val="none"/>
                <w:lang w:val="en-US" w:eastAsia="zh-CN"/>
              </w:rPr>
            </w:pPr>
            <w:r>
              <w:rPr>
                <w:rFonts w:hint="eastAsia" w:ascii="宋体" w:hAnsi="宋体" w:cs="宋体"/>
                <w:color w:val="auto"/>
                <w:kern w:val="0"/>
                <w:szCs w:val="21"/>
                <w:highlight w:val="none"/>
                <w:lang w:val="en-US" w:eastAsia="zh-CN"/>
              </w:rPr>
              <w:t>两周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4575" w:type="dxa"/>
            <w:gridSpan w:val="5"/>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hint="eastAsia" w:ascii="宋体" w:hAnsi="宋体" w:cs="宋体"/>
                <w:color w:val="auto"/>
                <w:kern w:val="0"/>
                <w:szCs w:val="18"/>
                <w:highlight w:val="none"/>
              </w:rPr>
              <w:t>小计</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r>
              <w:rPr>
                <w:rFonts w:ascii="宋体" w:hAnsi="宋体"/>
                <w:color w:val="auto"/>
                <w:szCs w:val="21"/>
                <w:highlight w:val="none"/>
              </w:rPr>
              <w:t>25</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18"/>
                <w:highlight w:val="none"/>
                <w:lang w:val="en-US" w:eastAsia="zh-CN"/>
              </w:rPr>
              <w:t>450</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r>
              <w:rPr>
                <w:rFonts w:hint="eastAsia" w:ascii="宋体" w:hAnsi="宋体"/>
                <w:color w:val="auto"/>
                <w:szCs w:val="18"/>
                <w:highlight w:val="none"/>
                <w:lang w:val="en-US" w:eastAsia="zh-CN"/>
              </w:rPr>
              <w:t>438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default" w:ascii="宋体" w:hAnsi="宋体" w:eastAsiaTheme="minorEastAsia"/>
                <w:color w:val="auto"/>
                <w:szCs w:val="21"/>
                <w:highlight w:val="none"/>
                <w:lang w:val="en-US" w:eastAsia="zh-CN"/>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auto"/>
                <w:szCs w:val="21"/>
                <w:highlight w:val="none"/>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both"/>
              <w:rPr>
                <w:rFonts w:hint="default" w:ascii="宋体" w:hAnsi="宋体" w:eastAsiaTheme="minorEastAsia"/>
                <w:color w:val="auto"/>
                <w:szCs w:val="21"/>
                <w:highlight w:val="none"/>
                <w:lang w:val="en-US" w:eastAsia="zh-CN"/>
              </w:rPr>
            </w:pPr>
          </w:p>
        </w:tc>
        <w:tc>
          <w:tcPr>
            <w:tcW w:w="583" w:type="dxa"/>
            <w:tcBorders>
              <w:top w:val="single" w:color="auto" w:sz="4" w:space="0"/>
              <w:left w:val="single" w:color="auto" w:sz="4" w:space="0"/>
              <w:bottom w:val="single" w:color="auto" w:sz="4" w:space="0"/>
              <w:right w:val="single" w:color="auto" w:sz="4" w:space="0"/>
            </w:tcBorders>
            <w:noWrap/>
          </w:tcPr>
          <w:p>
            <w:pPr>
              <w:widowControl/>
              <w:spacing w:line="360" w:lineRule="exact"/>
              <w:jc w:val="both"/>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tcPr>
          <w:p>
            <w:pPr>
              <w:widowControl/>
              <w:spacing w:line="360" w:lineRule="exact"/>
              <w:jc w:val="center"/>
              <w:rPr>
                <w:rFonts w:ascii="宋体" w:hAnsi="宋体"/>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hint="default" w:ascii="宋体" w:hAnsi="宋体" w:eastAsiaTheme="minorEastAsia"/>
                <w:color w:val="auto"/>
                <w:szCs w:val="21"/>
                <w:highlight w:val="none"/>
                <w:lang w:val="en-US" w:eastAsia="zh-CN"/>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color w:val="auto"/>
                <w:kern w:val="0"/>
                <w:szCs w:val="21"/>
                <w:highlight w:val="none"/>
              </w:rPr>
            </w:pPr>
          </w:p>
        </w:tc>
        <w:tc>
          <w:tcPr>
            <w:tcW w:w="5122" w:type="dxa"/>
            <w:gridSpan w:val="6"/>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r>
              <w:rPr>
                <w:rFonts w:hint="eastAsia" w:ascii="宋体" w:hAnsi="宋体"/>
                <w:color w:val="auto"/>
                <w:szCs w:val="21"/>
                <w:highlight w:val="none"/>
              </w:rPr>
              <w:t>合    计</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exact"/>
              <w:jc w:val="center"/>
              <w:rPr>
                <w:rFonts w:ascii="宋体" w:hAnsi="宋体"/>
                <w:color w:val="auto"/>
                <w:szCs w:val="21"/>
                <w:highlight w:val="none"/>
              </w:rPr>
            </w:pP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宋体" w:hAnsi="宋体" w:eastAsiaTheme="minorEastAsia"/>
                <w:color w:val="auto"/>
                <w:szCs w:val="21"/>
                <w:highlight w:val="none"/>
                <w:lang w:eastAsia="zh-CN"/>
              </w:rPr>
            </w:pPr>
            <w:r>
              <w:rPr>
                <w:rFonts w:ascii="宋体" w:hAnsi="宋体"/>
                <w:color w:val="auto"/>
                <w:szCs w:val="21"/>
                <w:highlight w:val="none"/>
              </w:rPr>
              <w:t>15</w:t>
            </w:r>
            <w:r>
              <w:rPr>
                <w:rFonts w:hint="eastAsia" w:ascii="宋体" w:hAnsi="宋体"/>
                <w:color w:val="auto"/>
                <w:szCs w:val="21"/>
                <w:highlight w:val="none"/>
                <w:lang w:val="en-US" w:eastAsia="zh-CN"/>
              </w:rPr>
              <w:t>5</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 w:val="18"/>
                <w:szCs w:val="18"/>
                <w:highlight w:val="none"/>
                <w:lang w:val="en-US" w:eastAsia="zh-CN"/>
              </w:rPr>
              <w:t>2686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eastAsia" w:ascii="宋体" w:hAnsi="宋体" w:eastAsiaTheme="minorEastAsia"/>
                <w:color w:val="auto"/>
                <w:szCs w:val="21"/>
                <w:highlight w:val="none"/>
                <w:lang w:eastAsia="zh-CN"/>
              </w:rPr>
            </w:pPr>
            <w:r>
              <w:rPr>
                <w:rFonts w:hint="eastAsia" w:ascii="宋体" w:hAnsi="宋体"/>
                <w:color w:val="auto"/>
                <w:sz w:val="18"/>
                <w:szCs w:val="18"/>
                <w:highlight w:val="none"/>
              </w:rPr>
              <w:t>116</w:t>
            </w:r>
            <w:r>
              <w:rPr>
                <w:rFonts w:hint="eastAsia" w:ascii="宋体" w:hAnsi="宋体"/>
                <w:color w:val="auto"/>
                <w:sz w:val="18"/>
                <w:szCs w:val="18"/>
                <w:highlight w:val="none"/>
                <w:lang w:val="en-US" w:eastAsia="zh-CN"/>
              </w:rPr>
              <w:t>7</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 w:val="18"/>
                <w:szCs w:val="18"/>
                <w:highlight w:val="none"/>
              </w:rPr>
              <w:t>1</w:t>
            </w:r>
            <w:r>
              <w:rPr>
                <w:rFonts w:hint="eastAsia" w:ascii="宋体" w:hAnsi="宋体"/>
                <w:color w:val="auto"/>
                <w:sz w:val="18"/>
                <w:szCs w:val="18"/>
                <w:highlight w:val="none"/>
                <w:lang w:val="en-US" w:eastAsia="zh-CN"/>
              </w:rPr>
              <w:t>519</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auto"/>
                <w:szCs w:val="21"/>
                <w:highlight w:val="none"/>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26</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26</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26</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26</w:t>
            </w:r>
            <w:bookmarkStart w:id="166" w:name="_GoBack"/>
            <w:bookmarkEnd w:id="166"/>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r>
              <w:rPr>
                <w:rFonts w:hint="eastAsia" w:ascii="宋体" w:hAnsi="宋体"/>
                <w:color w:val="auto"/>
                <w:szCs w:val="21"/>
                <w:highlight w:val="none"/>
                <w:lang w:val="en-US" w:eastAsia="zh-CN"/>
              </w:rPr>
              <w:t>20</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hint="default" w:ascii="宋体" w:hAnsi="宋体" w:eastAsiaTheme="minorEastAsia"/>
                <w:color w:val="auto"/>
                <w:szCs w:val="21"/>
                <w:highlight w:val="none"/>
                <w:lang w:val="en-US" w:eastAsia="zh-CN"/>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auto"/>
                <w:szCs w:val="21"/>
                <w:highlight w:val="none"/>
              </w:rPr>
            </w:pP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color w:val="auto"/>
                <w:kern w:val="0"/>
                <w:szCs w:val="21"/>
                <w:highlight w:val="none"/>
              </w:rPr>
            </w:pPr>
          </w:p>
        </w:tc>
      </w:tr>
    </w:tbl>
    <w:p>
      <w:pPr>
        <w:spacing w:line="360" w:lineRule="auto"/>
        <w:rPr>
          <w:rFonts w:ascii="黑体" w:eastAsia="黑体"/>
          <w:color w:val="auto"/>
          <w:sz w:val="28"/>
          <w:szCs w:val="28"/>
          <w:highlight w:val="none"/>
        </w:rPr>
        <w:sectPr>
          <w:pgSz w:w="16838" w:h="11906" w:orient="landscape"/>
          <w:pgMar w:top="1797" w:right="1440" w:bottom="1797" w:left="1440" w:header="851" w:footer="992" w:gutter="0"/>
          <w:cols w:space="425" w:num="1"/>
          <w:docGrid w:type="lines" w:linePitch="312" w:charSpace="0"/>
        </w:sectPr>
      </w:pPr>
    </w:p>
    <w:p>
      <w:pPr>
        <w:spacing w:line="360" w:lineRule="auto"/>
        <w:ind w:firstLine="600" w:firstLineChars="200"/>
        <w:rPr>
          <w:rFonts w:hint="eastAsia"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（五）核心课程基本内容简介</w:t>
      </w:r>
    </w:p>
    <w:p>
      <w:pPr>
        <w:spacing w:line="360" w:lineRule="auto"/>
        <w:ind w:firstLine="480" w:firstLineChars="200"/>
        <w:rPr>
          <w:rFonts w:hint="eastAsia"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通过对化工行业企业标准和应用化工专业职业岗位群的典型工作任务及能力要求的分析，</w:t>
      </w:r>
      <w:r>
        <w:rPr>
          <w:rFonts w:hint="eastAsia" w:asciiTheme="majorEastAsia" w:hAnsiTheme="majorEastAsia" w:eastAsiaTheme="majorEastAsia" w:cstheme="majorEastAsia"/>
          <w:bCs/>
          <w:color w:val="auto"/>
          <w:sz w:val="24"/>
          <w:highlight w:val="none"/>
          <w:lang w:val="en-US" w:eastAsia="zh-CN"/>
        </w:rPr>
        <w:t>结合相近专业（煤化工技术专业）最新版的专业教学标准，</w:t>
      </w:r>
      <w:r>
        <w:rPr>
          <w:rFonts w:hint="eastAsia" w:asciiTheme="majorEastAsia" w:hAnsiTheme="majorEastAsia" w:eastAsiaTheme="majorEastAsia" w:cstheme="majorEastAsia"/>
          <w:bCs/>
          <w:color w:val="auto"/>
          <w:sz w:val="24"/>
          <w:highlight w:val="none"/>
        </w:rPr>
        <w:t>确立了6门核心课程，分别为《洁净煤技术》、《化工单元操作》、《煤化学》、《煤化工生产技术》、《煤气化工艺》和《化工安全技术》，其基本内容介绍见下。</w:t>
      </w:r>
    </w:p>
    <w:p>
      <w:pPr>
        <w:spacing w:line="360" w:lineRule="auto"/>
        <w:ind w:firstLine="480" w:firstLineChars="200"/>
        <w:rPr>
          <w:rFonts w:hint="eastAsia"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1</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洁净煤技术</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本课程是煤炭深加工与利用的专业必修课。课程从生产实际出发，通过典型的洁净煤技术工程示例，讲述了煤炭深加工与利用、选煤技术、煤质分析、洁净煤技术等和煤相关专业知识，同时也反映了反映了当前洁净煤技术的最新成果。</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针对本课程实践性及实用性强的特点，我们在充分对企业岗位设置及岗位能力需求进行调研的基础上，以工作过程为导向，以职业能力培养为重点，与行业企业合作进行基于工作过程系统化的课程开发与设计，充分体现职业性、实践性和开放性的要求。在课程设置中，按职业岗位工作过程的完整性配置课程、构建课程体系；按典型工作任务需求选择能反映职业标准课程内容。培养学生良好的职业道德和职业素质，理论联系实际解决实际生产问题的能力。</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2</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化工单元操作</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本课程是应用化工技术专业的一门专业核心课程。本课程以阐述化工生产的基本概念和基础理论为主，介绍典型的化工生产工艺过程，系统分析具有代表性的化工工艺及涉及的化工单元操作、化学反应工程、工艺过程优化、环境保护与三废处理和化工过程开发等。通过课程设计训练，培养学生将物理化学、传递过程、化学工艺等知识用于单元操作中原理掌握和问题分析的综合能力；使学生初步具备改进和强化现有反应技术和设备，开发新的技术和设备、解决操作过程中的工程放大问题以及实现反应过程中最优化的能力。</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3</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煤化学</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本课程为煤化工专业方向的技术基础课，其主要任务是使学生掌握煤的特征、生成、结构、分析和分类；煤的热解、煤的液化和气化等过程的机理及其理论基础；煤的各种加工产物的组成、性质和应用。目的在于深入了解煤的特性，解决煤炭利用中的各种问题，开发新的加工技术和开拓新的利用途径，使煤炭资源得到合理和有效的利用，同时为学习煤化学工程与工艺学、炼焦学、煤转化技术等课程打下扎实的理论基础。</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通过本门课程学习，掌握煤的生成过程及其对煤的性质的决定性影响；掌握利用煤岩学手段来分析和判断煤的可选性原理；熟练掌握煤的分子结构理论，并能够预测和分析煤的性质；熟练掌握煤的工业分析、元素分析、物理性质、化学性质、工艺性质等及其相互关系；掌握煤炭的分类以及常见煤类的基本性质及其应用途径。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4</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现代煤化工技术</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本课程是煤化工类专业的一门必修课。本课的任务是使学生掌握煤化工生产的基本概念，了解煤化工安全生产方面的知识，深化空气深冷液化分离、煤气化、煤液化、甲醇生产技术及煤化学产品加工工艺等方面知识；培养学生的煤化工生产操作方面的专业能力，如正确地确定生产的工艺条件的能力，在煤化工安全生产操作规程下解决生产过程中一般工艺技术问题的能力以及正确操作煤化工的重要设备等；同时注重培养学生的社会能力和方法能力。本课程是在学生完成化工原理、物理化学、有机化学、无机化学、煤化学等基础课的学习后开设的，并通过专业实训与仿真实训强化学生的专业技能。</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5</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煤气化工艺</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本课程是高职高专</w:t>
      </w:r>
      <w:r>
        <w:rPr>
          <w:rFonts w:hint="eastAsia" w:ascii="Times New Roman" w:hAnsi="Times New Roman"/>
          <w:bCs/>
          <w:color w:val="auto"/>
          <w:sz w:val="24"/>
          <w:highlight w:val="none"/>
          <w:lang w:val="en-US" w:eastAsia="zh-CN"/>
        </w:rPr>
        <w:t>煤炭深加工与利用专业</w:t>
      </w:r>
      <w:r>
        <w:rPr>
          <w:rFonts w:hint="eastAsia" w:asciiTheme="majorEastAsia" w:hAnsiTheme="majorEastAsia" w:eastAsiaTheme="majorEastAsia" w:cstheme="majorEastAsia"/>
          <w:bCs/>
          <w:color w:val="auto"/>
          <w:sz w:val="24"/>
          <w:highlight w:val="none"/>
        </w:rPr>
        <w:t>的一门专业核心课程。通过本门课程学习，了解中国煤炭气化生产应用情况；掌握煤气生产的典型流程；掌握煤炭气化的生产方法、基本原理、生产过程；掌握煤炭气化的操作条件、主要设备结构、岗位操作、生产故障排除等知识；培养学生具备准确的工艺计算能力；培养学生确定工流程和设备选型的能力；培养学生具备岗位安全操作能力； 培养学生严谨认真、实事求是、精益求精的科学态度；提高学生分析问题、解决问题的能力；培养学生遵守操作规程、安全生产的工作习惯；培养学生节约意识、质量意识、安全意识、创新意识、吃苦耐劳等良好的职业卫生习惯和职业道德。</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6</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化工安全技术</w:t>
      </w:r>
    </w:p>
    <w:p>
      <w:pPr>
        <w:spacing w:line="360" w:lineRule="auto"/>
        <w:ind w:firstLine="480" w:firstLineChars="200"/>
        <w:rPr>
          <w:rFonts w:ascii="仿宋_GB2312" w:hAnsi="宋体" w:eastAsia="仿宋_GB2312"/>
          <w:bCs/>
          <w:color w:val="auto"/>
          <w:sz w:val="30"/>
          <w:szCs w:val="30"/>
          <w:highlight w:val="none"/>
        </w:rPr>
      </w:pPr>
      <w:r>
        <w:rPr>
          <w:rFonts w:hint="eastAsia" w:asciiTheme="majorEastAsia" w:hAnsiTheme="majorEastAsia" w:eastAsiaTheme="majorEastAsia" w:cstheme="majorEastAsia"/>
          <w:bCs/>
          <w:color w:val="auto"/>
          <w:sz w:val="24"/>
          <w:highlight w:val="none"/>
        </w:rPr>
        <w:t>本课程是高等职业技术院校应用化工技术专业的一门必修课，是本专业重要的专业核心课之一。化工安全技术贯穿于化工生产全过程，从技术开发、工艺设计、厂房修建、设备安装、生产操作、设备管理、紧急预案、事故处理，直至“三废”处理等各个环节，它是一门涉及面广、内容丰富的综合性技术。因此，本课程同样贯穿于应用化工生产技术专业学习全过程，包括从各专业基础课到各专业课。本课程着眼于培养学生的化工安全技术专业知识和基本安全操作技能，着重培养学生分析、解决实际问题的能力，提高学生的职业素质。这些能力所涉及的知识与专业培养目标和现代化工行业人才所需知识结构相一致。化工安全技术与其它课程相辅相成，共同为学生将来进入化工企业进行安全生产操作、及基层管理工作打下坚实的基础。</w:t>
      </w:r>
    </w:p>
    <w:p>
      <w:pPr>
        <w:pStyle w:val="3"/>
        <w:spacing w:before="0" w:after="0" w:line="360" w:lineRule="auto"/>
        <w:rPr>
          <w:rFonts w:ascii="Times New Roman" w:hAnsi="Times New Roman"/>
          <w:b w:val="0"/>
          <w:bCs/>
          <w:color w:val="auto"/>
          <w:highlight w:val="none"/>
        </w:rPr>
      </w:pPr>
      <w:bookmarkStart w:id="8" w:name="_Toc2707"/>
      <w:r>
        <w:rPr>
          <w:rFonts w:hint="eastAsia" w:asciiTheme="minorEastAsia" w:hAnsiTheme="minorEastAsia" w:eastAsiaTheme="minorEastAsia" w:cstheme="minorEastAsia"/>
          <w:color w:val="auto"/>
          <w:sz w:val="30"/>
          <w:szCs w:val="30"/>
          <w:highlight w:val="none"/>
        </w:rPr>
        <w:t>八、教学方法、手段和教学评价</w:t>
      </w:r>
      <w:bookmarkEnd w:id="8"/>
    </w:p>
    <w:p>
      <w:pPr>
        <w:spacing w:line="360" w:lineRule="auto"/>
        <w:ind w:firstLine="600" w:firstLineChars="200"/>
        <w:rPr>
          <w:rFonts w:hint="eastAsia"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（一）教学方法、手段与教学组织形式</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要“以学生为中心”，根据学生特点，激发学生学习兴趣；实行任务驱动、项目导向等多种形式的“做中学、做中教”教学模式。</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1</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教学方法</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每个任务均按照“课前准备”、“典型实例分析”、“知识链接”、“任务实施”、“知识拓展”、“技能检测”六个步骤完成。在每一个步骤中，采用了项目教学法、任务驱动教学法、小组研讨法、角色扮演法等。</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（1）项目教学法</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按照企业的生产岗位要求，以任务驱动、项目导向的教学方法实施教学。在教学环境和氛围上营造工学结合场景，让学生感受到工作情境。在教学上突出“项目任务驱动”教学法，将“教、学、做”有机结合，采用“教师布置任务→学生了解任务→学生自主策划项目计划→师生共同分析计划→学生修订策划→投入实施训练→项目完成情况检查→教师评价、学生自评”的教学流程。</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（2）任务驱动教学法</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以学生为主体，教师引导，教师提出问题或设计出合理的学习情景，学生主动参与，整个教学过程以“导”为主而不是以“灌”为主，让学生主动解决难点问题，提高学生的积极性和主动性，增加对相关知识点的理解和掌握。</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（3）角色扮演法</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在角色扮演法的使用中，安排真实工作任务，教师统领全局，类似于车间管理人员，小组长管理各个岗位的具体工作，类似于企业里的班组长，教师下达任务书，再由小组长协调组内的具体分工、人员分配、工具设备使用、方案的确定等工作，使学生的实训过程与工厂的实际工作保持一致，通过不同的角色扮演，使适应企业不同的工作岗位，拓宽就业面。</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（4）案例教学法 </w:t>
      </w:r>
      <w:r>
        <w:rPr>
          <w:rFonts w:hint="eastAsia" w:asciiTheme="majorEastAsia" w:hAnsiTheme="majorEastAsia" w:eastAsiaTheme="majorEastAsia" w:cstheme="majorEastAsia"/>
          <w:bCs/>
          <w:color w:val="auto"/>
          <w:sz w:val="24"/>
          <w:highlight w:val="none"/>
        </w:rPr>
        <w:tab/>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针对工作典型案例进行教学，达到学习的内容更加贴近生产实际的目的。以学习小组为单位进行方案设计，教师对学生的设计方案进行分析、评价。通过案例分析法，可以激发学生的教师传授学中做、做中学、学生自主、育巧手、手脑并用学习，使学习任务和目标更加明确，提高了学生分析问题和解决问题的能力。</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（5）多媒体教学法</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采用电子教案、多媒体课件、仿真软件等手段充实了教学，特别是多媒体课件和仿真软件的应用，解决了在传统教学手段下很难表达的教学内容或无法观察到的现象，使其象能形象、生动、直观地显示出来，从而加深学生对问题的理解，提高学生学习的积极性。</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2</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教学手段</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（1）由仿真到真实、由简单到复杂的技能训练</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学生通过Auto CAD绘图软件掌握化工设备的基本结构，提高了学生学习兴趣和主动性，对学生职业素养的养成和专业技能的掌握效果明显。</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（2）现代教育技术的使用</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根据课程内容的特点，教师采用多媒体技术制作授课课件、动画、录像等，使教学直观，易于学生理解和复习。教师通过学生的实际绘图过程，可及时了解学生对知识、技能的掌握程度。</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3</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教学组织形式</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（1）在教学过程中，以任务驱动、项目导向的教学方法实施教学，选择实际岗位中的任务作为教学任务，按照能力培养目标的要求，突出学生的主导地位，进行教学过程的系统化设计并组织实施。</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（2）学生自主学习</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学生在教师的指导下，利用学校提供的多种媒体教学材料资源，以个别化自主学习为主。学生制定学习计划。</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（3）小组讨论</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将学生进行分组，在教师的引导下，学生积极参与课堂讨论，从而实现教与学的互动。比如在方案的确定、工艺的制定、故障原因中，学生通过讨论，可以从别人或别的小组获取不同的知识，有助于学生思考多方面的意见，增强学生思维的灵活性，使学生更容易理解他人，提高学生交流思想、看法和协作的能力。</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（4）多媒体途径学习</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在非集中学习期间，学生对自学中的问题可随时通过电话、信函、电子邮件等形式向责任教师进行咨询。学生亦可集中或分散收看中央电大的电视直播课堂、进行网上讨论等，以增强师生之间、同学之间的教学交流；最低限度要上网看该节目的文本内容。</w:t>
      </w:r>
    </w:p>
    <w:p>
      <w:pPr>
        <w:spacing w:line="360" w:lineRule="auto"/>
        <w:ind w:firstLine="600" w:firstLineChars="200"/>
        <w:rPr>
          <w:rFonts w:hint="eastAsia"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（二）教学评价、考核</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课程的考核方式注重综合评价。改革传统的由一次期末考试进行评价的考核方式，在“教学做”学习任务实施过程中，注重学生学习任务实施过程的评价。课程采用过程考核（任务考评）、阶段考核（情境考核）及期末考核（课程考核）相结合的考评方式，强调过程考核重要性。过程考核为开放性评价，由教师和学生共同参与考评，注重考核学生专业能力、方法能力和社会能力，鼓励同学间、小组间的相对评价和适度竞争：既着眼于对整个小组的评价，又要注意到个人在项目中所承担的角色、发挥的具体的作用及进步情况；终结考评由教师进行考评，注重考核学生专业知识掌握情况、综合技能水平和职业行动完整性。</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学生成绩组成=过程考核成绩60%+阶段考核20%+期末考核20%。过程考核由组员评价（占过程考核的40%）和小组评价（占过程考核60%）两部分组成。</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1</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工作任务评价（60%）</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每一个工作任务都以工作成果及完成的任务符合度进行考核，学生完成工作任务后提出自评成绩，小组成员进行互评，教师对工作任务的成果进行逐项分析，哪些工作可以进一步改进？如何改进？并将学生的出勤、课堂纪律、团队合作等纳入考核指标，具体权重可根据工作任务的特点、内容、难度确定，工作任务考评占总成绩的60%。</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2</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阶段评价（20%）</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针对工作任务中的知识点进行阶段性测试，通过提炼工作任务中的重要知识点，实现知识应用中由工作知识的针对性到知识应用的普适性之间的迁移，把握应用知识的深度和广度。阶段评价由理论考试及实践考试组成，各占50%。其中理论考试注重课程知识点的考核，实践考试包括实际动手能力，绘制化工设备图样。</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3</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期末考试综合评价（20%）</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学习任务过程评价中，确定了知识目标考核、技能目标考核和态度目标考核三项合一的综合能力考核评价体系。依据多项工作任务的《评分标准》及学生在工作过程中的工具使用、操作技能、存在问题、阶段性作业、结果展示、讲解交流、组织纪律等进行专业能力综合考核。</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4</w:t>
      </w:r>
      <w:r>
        <w:rPr>
          <w:rFonts w:hint="eastAsia" w:asciiTheme="majorEastAsia" w:hAnsiTheme="majorEastAsia" w:eastAsiaTheme="majorEastAsia" w:cstheme="majorEastAsia"/>
          <w:bCs/>
          <w:color w:val="auto"/>
          <w:sz w:val="24"/>
          <w:highlight w:val="none"/>
          <w:lang w:eastAsia="zh-CN"/>
        </w:rPr>
        <w:t>.</w:t>
      </w:r>
      <w:r>
        <w:rPr>
          <w:rFonts w:hint="eastAsia" w:asciiTheme="majorEastAsia" w:hAnsiTheme="majorEastAsia" w:eastAsiaTheme="majorEastAsia" w:cstheme="majorEastAsia"/>
          <w:bCs/>
          <w:color w:val="auto"/>
          <w:sz w:val="24"/>
          <w:highlight w:val="none"/>
        </w:rPr>
        <w:t>评价标准</w:t>
      </w:r>
    </w:p>
    <w:p>
      <w:pPr>
        <w:spacing w:line="360" w:lineRule="auto"/>
        <w:ind w:firstLine="2400" w:firstLineChars="1000"/>
        <w:rPr>
          <w:rFonts w:ascii="宋体" w:hAnsi="宋体"/>
          <w:color w:val="auto"/>
          <w:sz w:val="24"/>
          <w:highlight w:val="none"/>
        </w:rPr>
      </w:pPr>
      <w:r>
        <w:rPr>
          <w:rFonts w:hint="eastAsia" w:ascii="宋体" w:hAnsi="宋体"/>
          <w:bCs/>
          <w:color w:val="auto"/>
          <w:sz w:val="24"/>
          <w:highlight w:val="none"/>
        </w:rPr>
        <w:t>表6  学生成绩评价表</w:t>
      </w:r>
    </w:p>
    <w:tbl>
      <w:tblPr>
        <w:tblStyle w:val="15"/>
        <w:tblW w:w="8522"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065"/>
        <w:gridCol w:w="1065"/>
        <w:gridCol w:w="1065"/>
        <w:gridCol w:w="153"/>
        <w:gridCol w:w="912"/>
        <w:gridCol w:w="168"/>
        <w:gridCol w:w="897"/>
        <w:gridCol w:w="363"/>
        <w:gridCol w:w="702"/>
        <w:gridCol w:w="378"/>
        <w:gridCol w:w="688"/>
        <w:gridCol w:w="392"/>
        <w:gridCol w:w="67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学生姓名</w:t>
            </w:r>
          </w:p>
        </w:tc>
        <w:tc>
          <w:tcPr>
            <w:tcW w:w="1065" w:type="dxa"/>
            <w:noWrap/>
          </w:tcPr>
          <w:p>
            <w:pPr>
              <w:spacing w:line="360" w:lineRule="auto"/>
              <w:ind w:firstLine="420" w:firstLineChars="200"/>
              <w:rPr>
                <w:rFonts w:ascii="宋体" w:hAnsi="宋体" w:eastAsia="宋体"/>
                <w:color w:val="auto"/>
                <w:szCs w:val="21"/>
                <w:highlight w:val="none"/>
              </w:rPr>
            </w:pPr>
          </w:p>
        </w:tc>
        <w:tc>
          <w:tcPr>
            <w:tcW w:w="1065" w:type="dxa"/>
            <w:noWrap/>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学号</w:t>
            </w:r>
          </w:p>
        </w:tc>
        <w:tc>
          <w:tcPr>
            <w:tcW w:w="1065" w:type="dxa"/>
            <w:gridSpan w:val="2"/>
            <w:noWrap/>
          </w:tcPr>
          <w:p>
            <w:pPr>
              <w:spacing w:line="360" w:lineRule="auto"/>
              <w:ind w:firstLine="420" w:firstLineChars="200"/>
              <w:rPr>
                <w:rFonts w:ascii="宋体" w:hAnsi="宋体" w:eastAsia="宋体"/>
                <w:color w:val="auto"/>
                <w:szCs w:val="21"/>
                <w:highlight w:val="none"/>
              </w:rPr>
            </w:pPr>
          </w:p>
        </w:tc>
        <w:tc>
          <w:tcPr>
            <w:tcW w:w="1065" w:type="dxa"/>
            <w:gridSpan w:val="2"/>
            <w:noWrap/>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小组</w:t>
            </w:r>
          </w:p>
        </w:tc>
        <w:tc>
          <w:tcPr>
            <w:tcW w:w="1065" w:type="dxa"/>
            <w:gridSpan w:val="2"/>
            <w:noWrap/>
          </w:tcPr>
          <w:p>
            <w:pPr>
              <w:spacing w:line="360" w:lineRule="auto"/>
              <w:ind w:firstLine="420" w:firstLineChars="200"/>
              <w:rPr>
                <w:rFonts w:ascii="宋体" w:hAnsi="宋体" w:eastAsia="宋体"/>
                <w:color w:val="auto"/>
                <w:szCs w:val="21"/>
                <w:highlight w:val="none"/>
              </w:rPr>
            </w:pPr>
          </w:p>
        </w:tc>
        <w:tc>
          <w:tcPr>
            <w:tcW w:w="1066" w:type="dxa"/>
            <w:gridSpan w:val="2"/>
            <w:noWrap/>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班级</w:t>
            </w:r>
          </w:p>
        </w:tc>
        <w:tc>
          <w:tcPr>
            <w:tcW w:w="1066" w:type="dxa"/>
            <w:gridSpan w:val="2"/>
            <w:noWrap/>
          </w:tcPr>
          <w:p>
            <w:pPr>
              <w:spacing w:line="360" w:lineRule="auto"/>
              <w:ind w:firstLine="420" w:firstLineChars="200"/>
              <w:rPr>
                <w:rFonts w:ascii="宋体" w:hAnsi="宋体" w:eastAsia="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8522" w:type="dxa"/>
            <w:gridSpan w:val="13"/>
            <w:noWrap/>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工作任务评价（60%）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vAlign w:val="center"/>
          </w:tcPr>
          <w:p>
            <w:pPr>
              <w:rPr>
                <w:rFonts w:ascii="宋体" w:hAnsi="宋体" w:eastAsia="宋体"/>
                <w:color w:val="auto"/>
                <w:szCs w:val="21"/>
                <w:highlight w:val="none"/>
              </w:rPr>
            </w:pPr>
            <w:r>
              <w:rPr>
                <w:rFonts w:hint="eastAsia" w:ascii="宋体" w:hAnsi="宋体" w:eastAsia="宋体"/>
                <w:color w:val="auto"/>
                <w:szCs w:val="21"/>
                <w:highlight w:val="none"/>
              </w:rPr>
              <w:t>工作任务</w:t>
            </w:r>
          </w:p>
        </w:tc>
        <w:tc>
          <w:tcPr>
            <w:tcW w:w="1065" w:type="dxa"/>
            <w:noWrap/>
            <w:vAlign w:val="center"/>
          </w:tcPr>
          <w:p>
            <w:pPr>
              <w:rPr>
                <w:rFonts w:ascii="宋体" w:hAnsi="宋体" w:eastAsia="宋体"/>
                <w:color w:val="auto"/>
                <w:szCs w:val="21"/>
                <w:highlight w:val="none"/>
              </w:rPr>
            </w:pPr>
            <w:r>
              <w:rPr>
                <w:rFonts w:hint="eastAsia" w:ascii="宋体" w:hAnsi="宋体" w:eastAsia="宋体"/>
                <w:color w:val="auto"/>
                <w:szCs w:val="21"/>
                <w:highlight w:val="none"/>
              </w:rPr>
              <w:t>查阅资料</w:t>
            </w:r>
          </w:p>
          <w:p>
            <w:pPr>
              <w:rPr>
                <w:rFonts w:ascii="宋体" w:hAnsi="宋体" w:eastAsia="宋体"/>
                <w:color w:val="auto"/>
                <w:szCs w:val="21"/>
                <w:highlight w:val="none"/>
              </w:rPr>
            </w:pPr>
            <w:r>
              <w:rPr>
                <w:rFonts w:hint="eastAsia" w:ascii="宋体" w:hAnsi="宋体" w:eastAsia="宋体"/>
                <w:color w:val="auto"/>
                <w:szCs w:val="21"/>
                <w:highlight w:val="none"/>
              </w:rPr>
              <w:t>（10分）</w:t>
            </w:r>
          </w:p>
        </w:tc>
        <w:tc>
          <w:tcPr>
            <w:tcW w:w="1218" w:type="dxa"/>
            <w:gridSpan w:val="2"/>
            <w:noWrap/>
            <w:vAlign w:val="center"/>
          </w:tcPr>
          <w:p>
            <w:pPr>
              <w:rPr>
                <w:rFonts w:ascii="宋体" w:hAnsi="宋体" w:eastAsia="宋体"/>
                <w:color w:val="auto"/>
                <w:szCs w:val="21"/>
                <w:highlight w:val="none"/>
              </w:rPr>
            </w:pPr>
            <w:r>
              <w:rPr>
                <w:rFonts w:hint="eastAsia" w:ascii="宋体" w:hAnsi="宋体" w:eastAsia="宋体"/>
                <w:color w:val="auto"/>
                <w:szCs w:val="21"/>
                <w:highlight w:val="none"/>
              </w:rPr>
              <w:t>知识点</w:t>
            </w:r>
          </w:p>
          <w:p>
            <w:pPr>
              <w:rPr>
                <w:rFonts w:ascii="宋体" w:hAnsi="宋体" w:eastAsia="宋体"/>
                <w:color w:val="auto"/>
                <w:szCs w:val="21"/>
                <w:highlight w:val="none"/>
              </w:rPr>
            </w:pPr>
            <w:r>
              <w:rPr>
                <w:rFonts w:hint="eastAsia" w:ascii="宋体" w:hAnsi="宋体" w:eastAsia="宋体"/>
                <w:color w:val="auto"/>
                <w:szCs w:val="21"/>
                <w:highlight w:val="none"/>
              </w:rPr>
              <w:t>训练</w:t>
            </w:r>
          </w:p>
          <w:p>
            <w:pPr>
              <w:rPr>
                <w:rFonts w:ascii="宋体" w:hAnsi="宋体" w:eastAsia="宋体"/>
                <w:color w:val="auto"/>
                <w:szCs w:val="21"/>
                <w:highlight w:val="none"/>
              </w:rPr>
            </w:pPr>
            <w:r>
              <w:rPr>
                <w:rFonts w:hint="eastAsia" w:ascii="宋体" w:hAnsi="宋体" w:eastAsia="宋体"/>
                <w:color w:val="auto"/>
                <w:szCs w:val="21"/>
                <w:highlight w:val="none"/>
              </w:rPr>
              <w:t>（10分）</w:t>
            </w:r>
          </w:p>
        </w:tc>
        <w:tc>
          <w:tcPr>
            <w:tcW w:w="1080" w:type="dxa"/>
            <w:gridSpan w:val="2"/>
            <w:noWrap/>
            <w:vAlign w:val="center"/>
          </w:tcPr>
          <w:p>
            <w:pPr>
              <w:rPr>
                <w:rFonts w:ascii="宋体" w:hAnsi="宋体" w:eastAsia="宋体"/>
                <w:color w:val="auto"/>
                <w:szCs w:val="21"/>
                <w:highlight w:val="none"/>
              </w:rPr>
            </w:pPr>
            <w:r>
              <w:rPr>
                <w:rFonts w:hint="eastAsia" w:ascii="宋体" w:hAnsi="宋体" w:eastAsia="宋体"/>
                <w:color w:val="auto"/>
                <w:szCs w:val="21"/>
                <w:highlight w:val="none"/>
              </w:rPr>
              <w:t>计划</w:t>
            </w:r>
          </w:p>
          <w:p>
            <w:pPr>
              <w:rPr>
                <w:rFonts w:ascii="宋体" w:hAnsi="宋体" w:eastAsia="宋体"/>
                <w:color w:val="auto"/>
                <w:szCs w:val="21"/>
                <w:highlight w:val="none"/>
              </w:rPr>
            </w:pPr>
            <w:r>
              <w:rPr>
                <w:rFonts w:hint="eastAsia" w:ascii="宋体" w:hAnsi="宋体" w:eastAsia="宋体"/>
                <w:color w:val="auto"/>
                <w:szCs w:val="21"/>
                <w:highlight w:val="none"/>
              </w:rPr>
              <w:t>方案拟定</w:t>
            </w:r>
          </w:p>
          <w:p>
            <w:pPr>
              <w:rPr>
                <w:rFonts w:ascii="宋体" w:hAnsi="宋体" w:eastAsia="宋体"/>
                <w:color w:val="auto"/>
                <w:szCs w:val="21"/>
                <w:highlight w:val="none"/>
              </w:rPr>
            </w:pPr>
            <w:r>
              <w:rPr>
                <w:rFonts w:hint="eastAsia" w:ascii="宋体" w:hAnsi="宋体" w:eastAsia="宋体"/>
                <w:color w:val="auto"/>
                <w:szCs w:val="21"/>
                <w:highlight w:val="none"/>
              </w:rPr>
              <w:t>（10分）</w:t>
            </w:r>
          </w:p>
        </w:tc>
        <w:tc>
          <w:tcPr>
            <w:tcW w:w="1260" w:type="dxa"/>
            <w:gridSpan w:val="2"/>
            <w:noWrap/>
            <w:vAlign w:val="center"/>
          </w:tcPr>
          <w:p>
            <w:pPr>
              <w:rPr>
                <w:rFonts w:ascii="宋体" w:hAnsi="宋体" w:eastAsia="宋体"/>
                <w:color w:val="auto"/>
                <w:szCs w:val="21"/>
                <w:highlight w:val="none"/>
              </w:rPr>
            </w:pPr>
            <w:r>
              <w:rPr>
                <w:rFonts w:hint="eastAsia" w:ascii="宋体" w:hAnsi="宋体" w:eastAsia="宋体"/>
                <w:color w:val="auto"/>
                <w:szCs w:val="21"/>
                <w:highlight w:val="none"/>
              </w:rPr>
              <w:t>工作任务中承担的角色</w:t>
            </w:r>
          </w:p>
          <w:p>
            <w:pPr>
              <w:ind w:firstLine="105" w:firstLineChars="50"/>
              <w:rPr>
                <w:rFonts w:ascii="宋体" w:hAnsi="宋体" w:eastAsia="宋体"/>
                <w:color w:val="auto"/>
                <w:szCs w:val="21"/>
                <w:highlight w:val="none"/>
              </w:rPr>
            </w:pPr>
            <w:r>
              <w:rPr>
                <w:rFonts w:hint="eastAsia" w:ascii="宋体" w:hAnsi="宋体" w:eastAsia="宋体"/>
                <w:color w:val="auto"/>
                <w:szCs w:val="21"/>
                <w:highlight w:val="none"/>
              </w:rPr>
              <w:t>（10分）</w:t>
            </w:r>
          </w:p>
        </w:tc>
        <w:tc>
          <w:tcPr>
            <w:tcW w:w="1080" w:type="dxa"/>
            <w:gridSpan w:val="2"/>
            <w:noWrap/>
            <w:vAlign w:val="center"/>
          </w:tcPr>
          <w:p>
            <w:pPr>
              <w:rPr>
                <w:rFonts w:ascii="宋体" w:hAnsi="宋体" w:eastAsia="宋体"/>
                <w:color w:val="auto"/>
                <w:szCs w:val="21"/>
                <w:highlight w:val="none"/>
              </w:rPr>
            </w:pPr>
            <w:r>
              <w:rPr>
                <w:rFonts w:hint="eastAsia" w:ascii="宋体" w:hAnsi="宋体" w:eastAsia="宋体"/>
                <w:color w:val="auto"/>
                <w:szCs w:val="21"/>
                <w:highlight w:val="none"/>
              </w:rPr>
              <w:t>任务成果</w:t>
            </w:r>
          </w:p>
          <w:p>
            <w:pPr>
              <w:rPr>
                <w:rFonts w:ascii="宋体" w:hAnsi="宋体" w:eastAsia="宋体"/>
                <w:color w:val="auto"/>
                <w:szCs w:val="21"/>
                <w:highlight w:val="none"/>
              </w:rPr>
            </w:pPr>
            <w:r>
              <w:rPr>
                <w:rFonts w:hint="eastAsia" w:ascii="宋体" w:hAnsi="宋体" w:eastAsia="宋体"/>
                <w:color w:val="auto"/>
                <w:szCs w:val="21"/>
                <w:highlight w:val="none"/>
              </w:rPr>
              <w:t>（60分）</w:t>
            </w:r>
          </w:p>
        </w:tc>
        <w:tc>
          <w:tcPr>
            <w:tcW w:w="1080" w:type="dxa"/>
            <w:gridSpan w:val="2"/>
            <w:noWrap/>
            <w:vAlign w:val="center"/>
          </w:tcPr>
          <w:p>
            <w:pPr>
              <w:rPr>
                <w:rFonts w:ascii="宋体" w:hAnsi="宋体" w:eastAsia="宋体"/>
                <w:color w:val="auto"/>
                <w:szCs w:val="21"/>
                <w:highlight w:val="none"/>
              </w:rPr>
            </w:pPr>
            <w:r>
              <w:rPr>
                <w:rFonts w:hint="eastAsia" w:ascii="宋体" w:hAnsi="宋体" w:eastAsia="宋体"/>
                <w:color w:val="auto"/>
                <w:szCs w:val="21"/>
                <w:highlight w:val="none"/>
              </w:rPr>
              <w:t>评价人</w:t>
            </w:r>
          </w:p>
        </w:tc>
        <w:tc>
          <w:tcPr>
            <w:tcW w:w="674" w:type="dxa"/>
            <w:noWrap/>
            <w:vAlign w:val="center"/>
          </w:tcPr>
          <w:p>
            <w:pPr>
              <w:rPr>
                <w:rFonts w:ascii="宋体" w:hAnsi="宋体" w:eastAsia="宋体"/>
                <w:color w:val="auto"/>
                <w:szCs w:val="21"/>
                <w:highlight w:val="none"/>
              </w:rPr>
            </w:pPr>
            <w:r>
              <w:rPr>
                <w:rFonts w:hint="eastAsia" w:ascii="宋体" w:hAnsi="宋体" w:eastAsia="宋体"/>
                <w:color w:val="auto"/>
                <w:szCs w:val="21"/>
                <w:highlight w:val="none"/>
              </w:rPr>
              <w:t>得分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vAlign w:val="center"/>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任务1</w:t>
            </w:r>
          </w:p>
        </w:tc>
        <w:tc>
          <w:tcPr>
            <w:tcW w:w="1065" w:type="dxa"/>
            <w:noWrap/>
            <w:vAlign w:val="center"/>
          </w:tcPr>
          <w:p>
            <w:pPr>
              <w:spacing w:line="360" w:lineRule="auto"/>
              <w:ind w:firstLine="420" w:firstLineChars="200"/>
              <w:rPr>
                <w:rFonts w:ascii="宋体" w:hAnsi="宋体" w:eastAsia="宋体"/>
                <w:color w:val="auto"/>
                <w:szCs w:val="21"/>
                <w:highlight w:val="none"/>
              </w:rPr>
            </w:pPr>
          </w:p>
        </w:tc>
        <w:tc>
          <w:tcPr>
            <w:tcW w:w="1218"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1260"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674" w:type="dxa"/>
            <w:noWrap/>
            <w:vAlign w:val="center"/>
          </w:tcPr>
          <w:p>
            <w:pPr>
              <w:spacing w:line="360" w:lineRule="auto"/>
              <w:ind w:firstLine="420" w:firstLineChars="200"/>
              <w:rPr>
                <w:rFonts w:ascii="宋体" w:hAnsi="宋体" w:eastAsia="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vAlign w:val="center"/>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任务2</w:t>
            </w:r>
          </w:p>
        </w:tc>
        <w:tc>
          <w:tcPr>
            <w:tcW w:w="1065" w:type="dxa"/>
            <w:noWrap/>
            <w:vAlign w:val="center"/>
          </w:tcPr>
          <w:p>
            <w:pPr>
              <w:spacing w:line="360" w:lineRule="auto"/>
              <w:ind w:firstLine="420" w:firstLineChars="200"/>
              <w:rPr>
                <w:rFonts w:ascii="宋体" w:hAnsi="宋体" w:eastAsia="宋体"/>
                <w:color w:val="auto"/>
                <w:szCs w:val="21"/>
                <w:highlight w:val="none"/>
              </w:rPr>
            </w:pPr>
          </w:p>
        </w:tc>
        <w:tc>
          <w:tcPr>
            <w:tcW w:w="1218"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1260"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674" w:type="dxa"/>
            <w:noWrap/>
            <w:vAlign w:val="center"/>
          </w:tcPr>
          <w:p>
            <w:pPr>
              <w:spacing w:line="360" w:lineRule="auto"/>
              <w:ind w:firstLine="420" w:firstLineChars="200"/>
              <w:rPr>
                <w:rFonts w:ascii="宋体" w:hAnsi="宋体" w:eastAsia="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vAlign w:val="center"/>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任务3</w:t>
            </w:r>
          </w:p>
        </w:tc>
        <w:tc>
          <w:tcPr>
            <w:tcW w:w="1065" w:type="dxa"/>
            <w:noWrap/>
            <w:vAlign w:val="center"/>
          </w:tcPr>
          <w:p>
            <w:pPr>
              <w:spacing w:line="360" w:lineRule="auto"/>
              <w:ind w:firstLine="420" w:firstLineChars="200"/>
              <w:rPr>
                <w:rFonts w:ascii="宋体" w:hAnsi="宋体" w:eastAsia="宋体"/>
                <w:color w:val="auto"/>
                <w:szCs w:val="21"/>
                <w:highlight w:val="none"/>
              </w:rPr>
            </w:pPr>
          </w:p>
        </w:tc>
        <w:tc>
          <w:tcPr>
            <w:tcW w:w="1218"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1260"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674" w:type="dxa"/>
            <w:noWrap/>
            <w:vAlign w:val="center"/>
          </w:tcPr>
          <w:p>
            <w:pPr>
              <w:spacing w:line="360" w:lineRule="auto"/>
              <w:ind w:firstLine="420" w:firstLineChars="200"/>
              <w:rPr>
                <w:rFonts w:ascii="宋体" w:hAnsi="宋体" w:eastAsia="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vAlign w:val="center"/>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任务4</w:t>
            </w:r>
          </w:p>
        </w:tc>
        <w:tc>
          <w:tcPr>
            <w:tcW w:w="1065" w:type="dxa"/>
            <w:noWrap/>
            <w:vAlign w:val="center"/>
          </w:tcPr>
          <w:p>
            <w:pPr>
              <w:spacing w:line="360" w:lineRule="auto"/>
              <w:ind w:firstLine="420" w:firstLineChars="200"/>
              <w:rPr>
                <w:rFonts w:ascii="宋体" w:hAnsi="宋体" w:eastAsia="宋体"/>
                <w:color w:val="auto"/>
                <w:szCs w:val="21"/>
                <w:highlight w:val="none"/>
              </w:rPr>
            </w:pPr>
          </w:p>
        </w:tc>
        <w:tc>
          <w:tcPr>
            <w:tcW w:w="1218"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1260"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674" w:type="dxa"/>
            <w:noWrap/>
            <w:vAlign w:val="center"/>
          </w:tcPr>
          <w:p>
            <w:pPr>
              <w:spacing w:line="360" w:lineRule="auto"/>
              <w:ind w:firstLine="420" w:firstLineChars="200"/>
              <w:rPr>
                <w:rFonts w:ascii="宋体" w:hAnsi="宋体" w:eastAsia="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noWrap/>
            <w:vAlign w:val="center"/>
          </w:tcPr>
          <w:p>
            <w:pPr>
              <w:spacing w:line="360" w:lineRule="auto"/>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w:t>
            </w:r>
          </w:p>
        </w:tc>
        <w:tc>
          <w:tcPr>
            <w:tcW w:w="1065" w:type="dxa"/>
            <w:noWrap/>
            <w:vAlign w:val="center"/>
          </w:tcPr>
          <w:p>
            <w:pPr>
              <w:spacing w:line="360" w:lineRule="auto"/>
              <w:ind w:firstLine="420" w:firstLineChars="200"/>
              <w:rPr>
                <w:rFonts w:ascii="宋体" w:hAnsi="宋体" w:eastAsia="宋体"/>
                <w:color w:val="auto"/>
                <w:szCs w:val="21"/>
                <w:highlight w:val="none"/>
              </w:rPr>
            </w:pPr>
          </w:p>
        </w:tc>
        <w:tc>
          <w:tcPr>
            <w:tcW w:w="1218"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1260"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noWrap/>
            <w:vAlign w:val="center"/>
          </w:tcPr>
          <w:p>
            <w:pPr>
              <w:spacing w:line="360" w:lineRule="auto"/>
              <w:ind w:firstLine="420" w:firstLineChars="200"/>
              <w:rPr>
                <w:rFonts w:ascii="宋体" w:hAnsi="宋体" w:eastAsia="宋体"/>
                <w:color w:val="auto"/>
                <w:szCs w:val="21"/>
                <w:highlight w:val="none"/>
              </w:rPr>
            </w:pPr>
          </w:p>
        </w:tc>
        <w:tc>
          <w:tcPr>
            <w:tcW w:w="674" w:type="dxa"/>
            <w:noWrap/>
            <w:vAlign w:val="center"/>
          </w:tcPr>
          <w:p>
            <w:pPr>
              <w:spacing w:line="360" w:lineRule="auto"/>
              <w:ind w:firstLine="420" w:firstLineChars="200"/>
              <w:rPr>
                <w:rFonts w:ascii="宋体" w:hAnsi="宋体" w:eastAsia="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065" w:type="dxa"/>
            <w:tcBorders>
              <w:bottom w:val="single" w:color="auto" w:sz="2" w:space="0"/>
            </w:tcBorders>
            <w:noWrap/>
            <w:vAlign w:val="center"/>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任务18</w:t>
            </w:r>
          </w:p>
        </w:tc>
        <w:tc>
          <w:tcPr>
            <w:tcW w:w="1065" w:type="dxa"/>
            <w:tcBorders>
              <w:bottom w:val="single" w:color="auto" w:sz="2" w:space="0"/>
            </w:tcBorders>
            <w:noWrap/>
            <w:vAlign w:val="center"/>
          </w:tcPr>
          <w:p>
            <w:pPr>
              <w:spacing w:line="360" w:lineRule="auto"/>
              <w:ind w:firstLine="420" w:firstLineChars="200"/>
              <w:rPr>
                <w:rFonts w:ascii="宋体" w:hAnsi="宋体" w:eastAsia="宋体"/>
                <w:color w:val="auto"/>
                <w:szCs w:val="21"/>
                <w:highlight w:val="none"/>
              </w:rPr>
            </w:pPr>
          </w:p>
        </w:tc>
        <w:tc>
          <w:tcPr>
            <w:tcW w:w="1218" w:type="dxa"/>
            <w:gridSpan w:val="2"/>
            <w:tcBorders>
              <w:bottom w:val="single" w:color="auto" w:sz="2" w:space="0"/>
            </w:tcBorders>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tcBorders>
              <w:bottom w:val="single" w:color="auto" w:sz="2" w:space="0"/>
            </w:tcBorders>
            <w:noWrap/>
            <w:vAlign w:val="center"/>
          </w:tcPr>
          <w:p>
            <w:pPr>
              <w:spacing w:line="360" w:lineRule="auto"/>
              <w:ind w:firstLine="420" w:firstLineChars="200"/>
              <w:rPr>
                <w:rFonts w:ascii="宋体" w:hAnsi="宋体" w:eastAsia="宋体"/>
                <w:color w:val="auto"/>
                <w:szCs w:val="21"/>
                <w:highlight w:val="none"/>
              </w:rPr>
            </w:pPr>
          </w:p>
        </w:tc>
        <w:tc>
          <w:tcPr>
            <w:tcW w:w="1260" w:type="dxa"/>
            <w:gridSpan w:val="2"/>
            <w:tcBorders>
              <w:bottom w:val="single" w:color="auto" w:sz="2" w:space="0"/>
            </w:tcBorders>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tcBorders>
              <w:bottom w:val="single" w:color="auto" w:sz="2" w:space="0"/>
            </w:tcBorders>
            <w:noWrap/>
            <w:vAlign w:val="center"/>
          </w:tcPr>
          <w:p>
            <w:pPr>
              <w:spacing w:line="360" w:lineRule="auto"/>
              <w:ind w:firstLine="420" w:firstLineChars="200"/>
              <w:rPr>
                <w:rFonts w:ascii="宋体" w:hAnsi="宋体" w:eastAsia="宋体"/>
                <w:color w:val="auto"/>
                <w:szCs w:val="21"/>
                <w:highlight w:val="none"/>
              </w:rPr>
            </w:pPr>
          </w:p>
        </w:tc>
        <w:tc>
          <w:tcPr>
            <w:tcW w:w="1080" w:type="dxa"/>
            <w:gridSpan w:val="2"/>
            <w:tcBorders>
              <w:bottom w:val="single" w:color="auto" w:sz="2" w:space="0"/>
            </w:tcBorders>
            <w:noWrap/>
            <w:vAlign w:val="center"/>
          </w:tcPr>
          <w:p>
            <w:pPr>
              <w:spacing w:line="360" w:lineRule="auto"/>
              <w:ind w:firstLine="420" w:firstLineChars="200"/>
              <w:rPr>
                <w:rFonts w:ascii="宋体" w:hAnsi="宋体" w:eastAsia="宋体"/>
                <w:color w:val="auto"/>
                <w:szCs w:val="21"/>
                <w:highlight w:val="none"/>
              </w:rPr>
            </w:pPr>
          </w:p>
        </w:tc>
        <w:tc>
          <w:tcPr>
            <w:tcW w:w="674" w:type="dxa"/>
            <w:tcBorders>
              <w:bottom w:val="single" w:color="auto" w:sz="2" w:space="0"/>
            </w:tcBorders>
            <w:noWrap/>
            <w:vAlign w:val="center"/>
          </w:tcPr>
          <w:p>
            <w:pPr>
              <w:spacing w:line="360" w:lineRule="auto"/>
              <w:ind w:firstLine="420" w:firstLineChars="200"/>
              <w:rPr>
                <w:rFonts w:ascii="宋体" w:hAnsi="宋体" w:eastAsia="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8522" w:type="dxa"/>
            <w:gridSpan w:val="13"/>
            <w:tcBorders>
              <w:top w:val="single" w:color="auto" w:sz="2" w:space="0"/>
              <w:bottom w:val="single" w:color="auto" w:sz="2" w:space="0"/>
            </w:tcBorders>
            <w:noWrap/>
            <w:vAlign w:val="center"/>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阶段评价（20%）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130" w:type="dxa"/>
            <w:gridSpan w:val="2"/>
            <w:tcBorders>
              <w:top w:val="single" w:color="auto" w:sz="2" w:space="0"/>
              <w:bottom w:val="single" w:color="auto" w:sz="2" w:space="0"/>
            </w:tcBorders>
            <w:noWrap/>
            <w:vAlign w:val="center"/>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理论考试（50分）</w:t>
            </w:r>
          </w:p>
        </w:tc>
        <w:tc>
          <w:tcPr>
            <w:tcW w:w="2130" w:type="dxa"/>
            <w:gridSpan w:val="3"/>
            <w:tcBorders>
              <w:top w:val="single" w:color="auto" w:sz="2" w:space="0"/>
              <w:bottom w:val="single" w:color="auto" w:sz="2" w:space="0"/>
            </w:tcBorders>
            <w:noWrap/>
            <w:vAlign w:val="center"/>
          </w:tcPr>
          <w:p>
            <w:pPr>
              <w:spacing w:line="360" w:lineRule="auto"/>
              <w:ind w:firstLine="420" w:firstLineChars="200"/>
              <w:rPr>
                <w:rFonts w:ascii="宋体" w:hAnsi="宋体" w:eastAsia="宋体"/>
                <w:color w:val="auto"/>
                <w:szCs w:val="21"/>
                <w:highlight w:val="none"/>
              </w:rPr>
            </w:pPr>
          </w:p>
        </w:tc>
        <w:tc>
          <w:tcPr>
            <w:tcW w:w="2508" w:type="dxa"/>
            <w:gridSpan w:val="5"/>
            <w:tcBorders>
              <w:top w:val="single" w:color="auto" w:sz="2" w:space="0"/>
              <w:bottom w:val="single" w:color="auto" w:sz="2" w:space="0"/>
            </w:tcBorders>
            <w:noWrap/>
            <w:vAlign w:val="center"/>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实践考试（50分）</w:t>
            </w:r>
          </w:p>
        </w:tc>
        <w:tc>
          <w:tcPr>
            <w:tcW w:w="1754" w:type="dxa"/>
            <w:gridSpan w:val="3"/>
            <w:tcBorders>
              <w:top w:val="single" w:color="auto" w:sz="2" w:space="0"/>
              <w:bottom w:val="single" w:color="auto" w:sz="2" w:space="0"/>
            </w:tcBorders>
            <w:noWrap/>
            <w:vAlign w:val="center"/>
          </w:tcPr>
          <w:p>
            <w:pPr>
              <w:spacing w:line="360" w:lineRule="auto"/>
              <w:ind w:firstLine="420" w:firstLineChars="200"/>
              <w:rPr>
                <w:rFonts w:ascii="宋体" w:hAnsi="宋体" w:eastAsia="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8522" w:type="dxa"/>
            <w:gridSpan w:val="13"/>
            <w:tcBorders>
              <w:top w:val="single" w:color="auto" w:sz="2" w:space="0"/>
              <w:bottom w:val="single" w:color="auto" w:sz="2" w:space="0"/>
            </w:tcBorders>
            <w:noWrap/>
            <w:vAlign w:val="center"/>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期末考试综合评价（20%）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8522" w:type="dxa"/>
            <w:gridSpan w:val="13"/>
            <w:tcBorders>
              <w:bottom w:val="single" w:color="auto" w:sz="2" w:space="0"/>
            </w:tcBorders>
            <w:noWrap/>
            <w:vAlign w:val="center"/>
          </w:tcPr>
          <w:p>
            <w:pPr>
              <w:spacing w:line="360" w:lineRule="auto"/>
              <w:ind w:firstLine="420" w:firstLineChars="200"/>
              <w:rPr>
                <w:rFonts w:ascii="宋体" w:hAnsi="宋体" w:eastAsia="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8522" w:type="dxa"/>
            <w:gridSpan w:val="13"/>
            <w:tcBorders>
              <w:top w:val="single" w:color="auto" w:sz="2" w:space="0"/>
              <w:bottom w:val="single" w:color="auto" w:sz="2" w:space="0"/>
            </w:tcBorders>
            <w:noWrap/>
            <w:vAlign w:val="center"/>
          </w:tcPr>
          <w:p>
            <w:pPr>
              <w:spacing w:line="360" w:lineRule="auto"/>
              <w:rPr>
                <w:rFonts w:ascii="宋体" w:hAnsi="宋体" w:eastAsia="宋体"/>
                <w:color w:val="auto"/>
                <w:szCs w:val="21"/>
                <w:highlight w:val="none"/>
              </w:rPr>
            </w:pPr>
            <w:r>
              <w:rPr>
                <w:rFonts w:hint="eastAsia" w:ascii="宋体" w:hAnsi="宋体" w:eastAsia="宋体"/>
                <w:color w:val="auto"/>
                <w:szCs w:val="21"/>
                <w:highlight w:val="none"/>
              </w:rPr>
              <w:t>总分100分</w:t>
            </w:r>
          </w:p>
        </w:tc>
      </w:tr>
    </w:tbl>
    <w:p>
      <w:pPr>
        <w:spacing w:line="360" w:lineRule="auto"/>
        <w:ind w:firstLine="403" w:firstLineChars="168"/>
        <w:rPr>
          <w:rFonts w:ascii="宋体" w:hAnsi="宋体"/>
          <w:bCs/>
          <w:color w:val="auto"/>
          <w:sz w:val="24"/>
          <w:highlight w:val="none"/>
        </w:rPr>
      </w:pPr>
    </w:p>
    <w:p>
      <w:pPr>
        <w:pStyle w:val="3"/>
        <w:ind w:firstLine="480" w:firstLineChars="150"/>
        <w:rPr>
          <w:b w:val="0"/>
          <w:color w:val="auto"/>
          <w:highlight w:val="none"/>
        </w:rPr>
      </w:pPr>
      <w:bookmarkStart w:id="9" w:name="_Toc27622"/>
      <w:r>
        <w:rPr>
          <w:rFonts w:hint="eastAsia"/>
          <w:b w:val="0"/>
          <w:color w:val="auto"/>
          <w:highlight w:val="none"/>
        </w:rPr>
        <w:t>九、毕业要求</w:t>
      </w:r>
      <w:bookmarkEnd w:id="9"/>
    </w:p>
    <w:p>
      <w:pPr>
        <w:spacing w:line="360" w:lineRule="auto"/>
        <w:ind w:firstLine="600" w:firstLineChars="200"/>
        <w:rPr>
          <w:rFonts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（一）学分要求：</w:t>
      </w:r>
    </w:p>
    <w:p>
      <w:pPr>
        <w:spacing w:line="360" w:lineRule="auto"/>
        <w:ind w:firstLine="600" w:firstLineChars="200"/>
        <w:rPr>
          <w:rFonts w:ascii="黑体" w:hAnsi="黑体" w:eastAsia="黑体" w:cs="黑体"/>
          <w:bCs/>
          <w:color w:val="auto"/>
          <w:sz w:val="30"/>
          <w:szCs w:val="30"/>
          <w:highlight w:val="none"/>
        </w:rPr>
      </w:pPr>
    </w:p>
    <w:tbl>
      <w:tblPr>
        <w:tblStyle w:val="15"/>
        <w:tblW w:w="780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14"/>
        <w:gridCol w:w="705"/>
        <w:gridCol w:w="795"/>
        <w:gridCol w:w="506"/>
        <w:gridCol w:w="704"/>
        <w:gridCol w:w="540"/>
        <w:gridCol w:w="900"/>
        <w:gridCol w:w="900"/>
        <w:gridCol w:w="10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800" w:type="dxa"/>
            <w:gridSpan w:val="9"/>
            <w:tcBorders>
              <w:top w:val="nil"/>
              <w:left w:val="nil"/>
              <w:bottom w:val="single" w:color="000000" w:sz="6" w:space="0"/>
              <w:right w:val="nil"/>
            </w:tcBorders>
            <w:vAlign w:val="center"/>
          </w:tcPr>
          <w:p>
            <w:pPr>
              <w:spacing w:line="360" w:lineRule="auto"/>
              <w:jc w:val="center"/>
              <w:rPr>
                <w:rFonts w:ascii="宋体" w:hAnsi="宋体" w:eastAsia="宋体" w:cs="Times New Roman"/>
                <w:b/>
                <w:color w:val="auto"/>
                <w:sz w:val="28"/>
                <w:szCs w:val="28"/>
                <w:highlight w:val="none"/>
              </w:rPr>
            </w:pPr>
            <w:r>
              <w:rPr>
                <w:rFonts w:hint="eastAsia" w:ascii="宋体" w:hAnsi="宋体" w:eastAsia="宋体" w:cs="Times New Roman"/>
                <w:b/>
                <w:color w:val="auto"/>
                <w:sz w:val="28"/>
                <w:szCs w:val="28"/>
                <w:highlight w:val="none"/>
              </w:rPr>
              <w:t>毕业学分要求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33" w:hRule="atLeast"/>
          <w:jc w:val="center"/>
        </w:trPr>
        <w:tc>
          <w:tcPr>
            <w:tcW w:w="1714" w:type="dxa"/>
            <w:vMerge w:val="restart"/>
            <w:tcBorders>
              <w:top w:val="single" w:color="000000" w:sz="6" w:space="0"/>
              <w:left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cs="Times New Roman" w:asciiTheme="minorEastAsia" w:hAnsiTheme="minorEastAsia"/>
                <w:b/>
                <w:color w:val="auto"/>
                <w:szCs w:val="21"/>
                <w:highlight w:val="none"/>
              </w:rPr>
              <w:t>课程类别</w:t>
            </w:r>
          </w:p>
        </w:tc>
        <w:tc>
          <w:tcPr>
            <w:tcW w:w="705" w:type="dxa"/>
            <w:vMerge w:val="restart"/>
            <w:tcBorders>
              <w:top w:val="single" w:color="000000" w:sz="6" w:space="0"/>
              <w:left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cs="Times New Roman" w:asciiTheme="minorEastAsia" w:hAnsiTheme="minorEastAsia"/>
                <w:b/>
                <w:color w:val="auto"/>
                <w:szCs w:val="21"/>
                <w:highlight w:val="none"/>
              </w:rPr>
              <w:t>门数</w:t>
            </w:r>
          </w:p>
        </w:tc>
        <w:tc>
          <w:tcPr>
            <w:tcW w:w="2545" w:type="dxa"/>
            <w:gridSpan w:val="4"/>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cs="Times New Roman" w:asciiTheme="minorEastAsia" w:hAnsiTheme="minorEastAsia"/>
                <w:b/>
                <w:color w:val="auto"/>
                <w:szCs w:val="21"/>
                <w:highlight w:val="none"/>
              </w:rPr>
              <w:t>学分</w:t>
            </w:r>
          </w:p>
        </w:tc>
        <w:tc>
          <w:tcPr>
            <w:tcW w:w="2836" w:type="dxa"/>
            <w:gridSpan w:val="3"/>
            <w:tcBorders>
              <w:top w:val="single" w:color="000000" w:sz="6" w:space="0"/>
              <w:left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学分比例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32" w:hRule="atLeast"/>
          <w:jc w:val="center"/>
        </w:trPr>
        <w:tc>
          <w:tcPr>
            <w:tcW w:w="1714" w:type="dxa"/>
            <w:vMerge w:val="continue"/>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p>
        </w:tc>
        <w:tc>
          <w:tcPr>
            <w:tcW w:w="705" w:type="dxa"/>
            <w:vMerge w:val="continue"/>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p>
        </w:tc>
        <w:tc>
          <w:tcPr>
            <w:tcW w:w="795"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小计</w:t>
            </w:r>
          </w:p>
        </w:tc>
        <w:tc>
          <w:tcPr>
            <w:tcW w:w="506"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A</w:t>
            </w:r>
          </w:p>
        </w:tc>
        <w:tc>
          <w:tcPr>
            <w:tcW w:w="704"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B</w:t>
            </w:r>
          </w:p>
        </w:tc>
        <w:tc>
          <w:tcPr>
            <w:tcW w:w="540"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C</w:t>
            </w:r>
          </w:p>
        </w:tc>
        <w:tc>
          <w:tcPr>
            <w:tcW w:w="900" w:type="dxa"/>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A</w:t>
            </w:r>
          </w:p>
        </w:tc>
        <w:tc>
          <w:tcPr>
            <w:tcW w:w="900" w:type="dxa"/>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B</w:t>
            </w:r>
          </w:p>
        </w:tc>
        <w:tc>
          <w:tcPr>
            <w:tcW w:w="1036" w:type="dxa"/>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top w:val="single" w:color="000000" w:sz="6" w:space="0"/>
              <w:left w:val="single" w:color="auto" w:sz="4"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公共基础课程</w:t>
            </w:r>
          </w:p>
        </w:tc>
        <w:tc>
          <w:tcPr>
            <w:tcW w:w="705" w:type="dxa"/>
            <w:tcBorders>
              <w:top w:val="single" w:color="000000" w:sz="6" w:space="0"/>
            </w:tcBorders>
            <w:vAlign w:val="center"/>
          </w:tcPr>
          <w:p>
            <w:pPr>
              <w:spacing w:line="360" w:lineRule="auto"/>
              <w:jc w:val="center"/>
              <w:rPr>
                <w:rFonts w:hint="default"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color w:val="auto"/>
                <w:szCs w:val="21"/>
                <w:highlight w:val="none"/>
                <w:lang w:val="en-US" w:eastAsia="zh-CN"/>
              </w:rPr>
              <w:t>22</w:t>
            </w:r>
          </w:p>
        </w:tc>
        <w:tc>
          <w:tcPr>
            <w:tcW w:w="795" w:type="dxa"/>
            <w:tcBorders>
              <w:top w:val="single" w:color="000000" w:sz="6" w:space="0"/>
            </w:tcBorders>
            <w:vAlign w:val="center"/>
          </w:tcPr>
          <w:p>
            <w:pPr>
              <w:spacing w:line="360" w:lineRule="auto"/>
              <w:jc w:val="center"/>
              <w:rPr>
                <w:rFonts w:hint="eastAsia" w:cs="Times New Roman" w:asciiTheme="minorEastAsia" w:hAnsiTheme="minorEastAsia" w:eastAsiaTheme="minorEastAsia"/>
                <w:color w:val="auto"/>
                <w:szCs w:val="21"/>
                <w:highlight w:val="none"/>
                <w:lang w:eastAsia="zh-CN"/>
              </w:rPr>
            </w:pPr>
            <w:r>
              <w:rPr>
                <w:rFonts w:cs="Times New Roman" w:asciiTheme="minorEastAsia" w:hAnsiTheme="minorEastAsia"/>
                <w:color w:val="auto"/>
                <w:szCs w:val="21"/>
                <w:highlight w:val="none"/>
              </w:rPr>
              <w:t>4</w:t>
            </w:r>
            <w:r>
              <w:rPr>
                <w:rFonts w:hint="eastAsia" w:cs="Times New Roman" w:asciiTheme="minorEastAsia" w:hAnsiTheme="minorEastAsia"/>
                <w:color w:val="auto"/>
                <w:szCs w:val="21"/>
                <w:highlight w:val="none"/>
                <w:lang w:val="en-US" w:eastAsia="zh-CN"/>
              </w:rPr>
              <w:t>6</w:t>
            </w:r>
          </w:p>
        </w:tc>
        <w:tc>
          <w:tcPr>
            <w:tcW w:w="506" w:type="dxa"/>
            <w:tcBorders>
              <w:top w:val="single" w:color="000000" w:sz="6" w:space="0"/>
            </w:tcBorders>
            <w:vAlign w:val="center"/>
          </w:tcPr>
          <w:p>
            <w:pPr>
              <w:spacing w:line="360" w:lineRule="auto"/>
              <w:jc w:val="center"/>
              <w:rPr>
                <w:rFonts w:cs="Times New Roman" w:asciiTheme="minorEastAsia" w:hAnsiTheme="minorEastAsia"/>
                <w:color w:val="auto"/>
                <w:szCs w:val="21"/>
                <w:highlight w:val="none"/>
              </w:rPr>
            </w:pPr>
          </w:p>
        </w:tc>
        <w:tc>
          <w:tcPr>
            <w:tcW w:w="704" w:type="dxa"/>
            <w:tcBorders>
              <w:top w:val="single" w:color="000000" w:sz="6" w:space="0"/>
            </w:tcBorders>
            <w:vAlign w:val="center"/>
          </w:tcPr>
          <w:p>
            <w:pPr>
              <w:spacing w:line="360" w:lineRule="auto"/>
              <w:jc w:val="center"/>
              <w:rPr>
                <w:rFonts w:hint="eastAsia" w:cs="Times New Roman" w:asciiTheme="minorEastAsia" w:hAnsiTheme="minorEastAsia" w:eastAsiaTheme="minorEastAsia"/>
                <w:color w:val="auto"/>
                <w:szCs w:val="21"/>
                <w:highlight w:val="none"/>
                <w:lang w:eastAsia="zh-CN"/>
              </w:rPr>
            </w:pPr>
            <w:r>
              <w:rPr>
                <w:rFonts w:cs="Times New Roman" w:asciiTheme="minorEastAsia" w:hAnsiTheme="minorEastAsia"/>
                <w:color w:val="auto"/>
                <w:szCs w:val="21"/>
                <w:highlight w:val="none"/>
              </w:rPr>
              <w:t>4</w:t>
            </w:r>
            <w:r>
              <w:rPr>
                <w:rFonts w:hint="eastAsia" w:cs="Times New Roman" w:asciiTheme="minorEastAsia" w:hAnsiTheme="minorEastAsia"/>
                <w:color w:val="auto"/>
                <w:szCs w:val="21"/>
                <w:highlight w:val="none"/>
                <w:lang w:val="en-US" w:eastAsia="zh-CN"/>
              </w:rPr>
              <w:t>6</w:t>
            </w:r>
          </w:p>
        </w:tc>
        <w:tc>
          <w:tcPr>
            <w:tcW w:w="540" w:type="dxa"/>
            <w:tcBorders>
              <w:top w:val="single" w:color="000000" w:sz="6" w:space="0"/>
            </w:tcBorders>
            <w:vAlign w:val="center"/>
          </w:tcPr>
          <w:p>
            <w:pPr>
              <w:spacing w:line="360" w:lineRule="auto"/>
              <w:jc w:val="center"/>
              <w:rPr>
                <w:rFonts w:cs="Times New Roman" w:asciiTheme="minorEastAsia" w:hAnsiTheme="minorEastAsia"/>
                <w:color w:val="auto"/>
                <w:szCs w:val="21"/>
                <w:highlight w:val="none"/>
              </w:rPr>
            </w:pPr>
          </w:p>
        </w:tc>
        <w:tc>
          <w:tcPr>
            <w:tcW w:w="900" w:type="dxa"/>
            <w:tcBorders>
              <w:top w:val="single" w:color="000000" w:sz="6" w:space="0"/>
            </w:tcBorders>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0</w:t>
            </w:r>
          </w:p>
        </w:tc>
        <w:tc>
          <w:tcPr>
            <w:tcW w:w="900" w:type="dxa"/>
            <w:tcBorders>
              <w:top w:val="single" w:color="000000" w:sz="6" w:space="0"/>
            </w:tcBorders>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100</w:t>
            </w:r>
            <w:r>
              <w:rPr>
                <w:rFonts w:hint="eastAsia" w:cs="Times New Roman" w:asciiTheme="minorEastAsia" w:hAnsiTheme="minorEastAsia"/>
                <w:color w:val="auto"/>
                <w:szCs w:val="21"/>
                <w:highlight w:val="none"/>
              </w:rPr>
              <w:t>%</w:t>
            </w:r>
          </w:p>
        </w:tc>
        <w:tc>
          <w:tcPr>
            <w:tcW w:w="1036" w:type="dxa"/>
            <w:tcBorders>
              <w:top w:val="single" w:color="000000" w:sz="6" w:space="0"/>
            </w:tcBorders>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left w:val="single" w:color="auto" w:sz="4"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专业（技能）课程</w:t>
            </w:r>
          </w:p>
        </w:tc>
        <w:tc>
          <w:tcPr>
            <w:tcW w:w="705" w:type="dxa"/>
            <w:vAlign w:val="center"/>
          </w:tcPr>
          <w:p>
            <w:pPr>
              <w:spacing w:line="360" w:lineRule="auto"/>
              <w:jc w:val="center"/>
              <w:rPr>
                <w:rFonts w:hint="eastAsia" w:cs="Times New Roman" w:asciiTheme="minorEastAsia" w:hAnsiTheme="minorEastAsia" w:eastAsiaTheme="minorEastAsia"/>
                <w:color w:val="auto"/>
                <w:szCs w:val="21"/>
                <w:highlight w:val="none"/>
                <w:lang w:eastAsia="zh-CN"/>
              </w:rPr>
            </w:pPr>
            <w:r>
              <w:rPr>
                <w:rFonts w:hint="eastAsia" w:cs="Times New Roman" w:asciiTheme="minorEastAsia" w:hAnsiTheme="minorEastAsia"/>
                <w:color w:val="auto"/>
                <w:szCs w:val="21"/>
                <w:highlight w:val="none"/>
              </w:rPr>
              <w:t>1</w:t>
            </w:r>
            <w:r>
              <w:rPr>
                <w:rFonts w:hint="eastAsia" w:cs="Times New Roman" w:asciiTheme="minorEastAsia" w:hAnsiTheme="minorEastAsia"/>
                <w:color w:val="auto"/>
                <w:szCs w:val="21"/>
                <w:highlight w:val="none"/>
                <w:lang w:val="en-US" w:eastAsia="zh-CN"/>
              </w:rPr>
              <w:t>8</w:t>
            </w:r>
          </w:p>
        </w:tc>
        <w:tc>
          <w:tcPr>
            <w:tcW w:w="795"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64</w:t>
            </w:r>
          </w:p>
        </w:tc>
        <w:tc>
          <w:tcPr>
            <w:tcW w:w="506" w:type="dxa"/>
            <w:vAlign w:val="center"/>
          </w:tcPr>
          <w:p>
            <w:pPr>
              <w:spacing w:line="360" w:lineRule="auto"/>
              <w:jc w:val="center"/>
              <w:rPr>
                <w:rFonts w:cs="Times New Roman" w:asciiTheme="minorEastAsia" w:hAnsiTheme="minorEastAsia"/>
                <w:color w:val="auto"/>
                <w:szCs w:val="21"/>
                <w:highlight w:val="none"/>
              </w:rPr>
            </w:pPr>
          </w:p>
        </w:tc>
        <w:tc>
          <w:tcPr>
            <w:tcW w:w="704"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64</w:t>
            </w:r>
          </w:p>
        </w:tc>
        <w:tc>
          <w:tcPr>
            <w:tcW w:w="540" w:type="dxa"/>
            <w:vAlign w:val="center"/>
          </w:tcPr>
          <w:p>
            <w:pPr>
              <w:spacing w:line="360" w:lineRule="auto"/>
              <w:jc w:val="center"/>
              <w:rPr>
                <w:rFonts w:cs="Times New Roman" w:asciiTheme="minorEastAsia" w:hAnsiTheme="minorEastAsia"/>
                <w:color w:val="auto"/>
                <w:szCs w:val="21"/>
                <w:highlight w:val="none"/>
              </w:rPr>
            </w:pPr>
          </w:p>
        </w:tc>
        <w:tc>
          <w:tcPr>
            <w:tcW w:w="90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0</w:t>
            </w:r>
          </w:p>
        </w:tc>
        <w:tc>
          <w:tcPr>
            <w:tcW w:w="90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100%</w:t>
            </w:r>
          </w:p>
        </w:tc>
        <w:tc>
          <w:tcPr>
            <w:tcW w:w="1036"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left w:val="single" w:color="auto" w:sz="4" w:space="0"/>
              <w:bottom w:val="single" w:color="auto" w:sz="4"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专业限选课程</w:t>
            </w:r>
          </w:p>
        </w:tc>
        <w:tc>
          <w:tcPr>
            <w:tcW w:w="705"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5</w:t>
            </w:r>
          </w:p>
        </w:tc>
        <w:tc>
          <w:tcPr>
            <w:tcW w:w="795"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20</w:t>
            </w:r>
          </w:p>
        </w:tc>
        <w:tc>
          <w:tcPr>
            <w:tcW w:w="506"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20</w:t>
            </w:r>
          </w:p>
        </w:tc>
        <w:tc>
          <w:tcPr>
            <w:tcW w:w="704" w:type="dxa"/>
            <w:vAlign w:val="center"/>
          </w:tcPr>
          <w:p>
            <w:pPr>
              <w:spacing w:line="360" w:lineRule="auto"/>
              <w:jc w:val="center"/>
              <w:rPr>
                <w:rFonts w:cs="Times New Roman" w:asciiTheme="minorEastAsia" w:hAnsiTheme="minorEastAsia"/>
                <w:color w:val="auto"/>
                <w:szCs w:val="21"/>
                <w:highlight w:val="none"/>
              </w:rPr>
            </w:pPr>
          </w:p>
        </w:tc>
        <w:tc>
          <w:tcPr>
            <w:tcW w:w="540" w:type="dxa"/>
            <w:vAlign w:val="center"/>
          </w:tcPr>
          <w:p>
            <w:pPr>
              <w:spacing w:line="360" w:lineRule="auto"/>
              <w:jc w:val="center"/>
              <w:rPr>
                <w:rFonts w:cs="Times New Roman" w:asciiTheme="minorEastAsia" w:hAnsiTheme="minorEastAsia"/>
                <w:color w:val="auto"/>
                <w:szCs w:val="21"/>
                <w:highlight w:val="none"/>
              </w:rPr>
            </w:pPr>
          </w:p>
        </w:tc>
        <w:tc>
          <w:tcPr>
            <w:tcW w:w="90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100%</w:t>
            </w:r>
          </w:p>
        </w:tc>
        <w:tc>
          <w:tcPr>
            <w:tcW w:w="90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0</w:t>
            </w:r>
          </w:p>
        </w:tc>
        <w:tc>
          <w:tcPr>
            <w:tcW w:w="1036"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left w:val="single" w:color="auto" w:sz="4" w:space="0"/>
            </w:tcBorders>
            <w:vAlign w:val="center"/>
          </w:tcPr>
          <w:p>
            <w:pPr>
              <w:spacing w:line="360" w:lineRule="auto"/>
              <w:jc w:val="center"/>
              <w:rPr>
                <w:rFonts w:cs="Times New Roman" w:asciiTheme="minorEastAsia" w:hAnsiTheme="minorEastAsia"/>
                <w:b/>
                <w:color w:val="auto"/>
                <w:szCs w:val="21"/>
                <w:highlight w:val="none"/>
              </w:rPr>
            </w:pPr>
            <w:r>
              <w:rPr>
                <w:rFonts w:hint="eastAsia" w:cs="Times New Roman" w:asciiTheme="minorEastAsia" w:hAnsiTheme="minorEastAsia"/>
                <w:b/>
                <w:color w:val="auto"/>
                <w:szCs w:val="21"/>
                <w:highlight w:val="none"/>
              </w:rPr>
              <w:t>实习实训</w:t>
            </w:r>
          </w:p>
        </w:tc>
        <w:tc>
          <w:tcPr>
            <w:tcW w:w="705"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6</w:t>
            </w:r>
          </w:p>
        </w:tc>
        <w:tc>
          <w:tcPr>
            <w:tcW w:w="795"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2</w:t>
            </w:r>
            <w:r>
              <w:rPr>
                <w:rFonts w:cs="Times New Roman" w:asciiTheme="minorEastAsia" w:hAnsiTheme="minorEastAsia"/>
                <w:color w:val="auto"/>
                <w:szCs w:val="21"/>
                <w:highlight w:val="none"/>
              </w:rPr>
              <w:t>5</w:t>
            </w:r>
          </w:p>
        </w:tc>
        <w:tc>
          <w:tcPr>
            <w:tcW w:w="506" w:type="dxa"/>
            <w:vAlign w:val="center"/>
          </w:tcPr>
          <w:p>
            <w:pPr>
              <w:spacing w:line="360" w:lineRule="auto"/>
              <w:jc w:val="center"/>
              <w:rPr>
                <w:rFonts w:cs="Times New Roman" w:asciiTheme="minorEastAsia" w:hAnsiTheme="minorEastAsia"/>
                <w:color w:val="auto"/>
                <w:szCs w:val="21"/>
                <w:highlight w:val="none"/>
              </w:rPr>
            </w:pPr>
          </w:p>
        </w:tc>
        <w:tc>
          <w:tcPr>
            <w:tcW w:w="704"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2</w:t>
            </w:r>
          </w:p>
        </w:tc>
        <w:tc>
          <w:tcPr>
            <w:tcW w:w="54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2</w:t>
            </w:r>
            <w:r>
              <w:rPr>
                <w:rFonts w:cs="Times New Roman" w:asciiTheme="minorEastAsia" w:hAnsiTheme="minorEastAsia"/>
                <w:color w:val="auto"/>
                <w:szCs w:val="21"/>
                <w:highlight w:val="none"/>
              </w:rPr>
              <w:t>3</w:t>
            </w:r>
          </w:p>
        </w:tc>
        <w:tc>
          <w:tcPr>
            <w:tcW w:w="90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0</w:t>
            </w:r>
          </w:p>
        </w:tc>
        <w:tc>
          <w:tcPr>
            <w:tcW w:w="900"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8%</w:t>
            </w:r>
          </w:p>
        </w:tc>
        <w:tc>
          <w:tcPr>
            <w:tcW w:w="1036"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92</w:t>
            </w:r>
            <w:r>
              <w:rPr>
                <w:rFonts w:hint="eastAsia" w:cs="Times New Roman" w:asciiTheme="minorEastAsia" w:hAnsiTheme="minorEastAsia"/>
                <w:color w:val="auto"/>
                <w:szCs w:val="21"/>
                <w:highlight w:val="none"/>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left w:val="single" w:color="auto" w:sz="4" w:space="0"/>
            </w:tcBorders>
            <w:vAlign w:val="center"/>
          </w:tcPr>
          <w:p>
            <w:pPr>
              <w:spacing w:line="360" w:lineRule="auto"/>
              <w:jc w:val="center"/>
              <w:rPr>
                <w:rFonts w:cs="Times New Roman" w:asciiTheme="minorEastAsia" w:hAnsiTheme="minorEastAsia"/>
                <w:b/>
                <w:color w:val="auto"/>
                <w:szCs w:val="21"/>
                <w:highlight w:val="none"/>
              </w:rPr>
            </w:pPr>
            <w:r>
              <w:rPr>
                <w:rFonts w:cs="Times New Roman" w:asciiTheme="minorEastAsia" w:hAnsiTheme="minorEastAsia"/>
                <w:b/>
                <w:color w:val="auto"/>
                <w:szCs w:val="21"/>
                <w:highlight w:val="none"/>
              </w:rPr>
              <w:t>合  计</w:t>
            </w:r>
          </w:p>
        </w:tc>
        <w:tc>
          <w:tcPr>
            <w:tcW w:w="705" w:type="dxa"/>
            <w:vAlign w:val="center"/>
          </w:tcPr>
          <w:p>
            <w:pPr>
              <w:spacing w:line="360" w:lineRule="auto"/>
              <w:jc w:val="center"/>
              <w:rPr>
                <w:rFonts w:hint="default"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color w:val="auto"/>
                <w:szCs w:val="21"/>
                <w:highlight w:val="none"/>
                <w:lang w:val="en-US" w:eastAsia="zh-CN"/>
              </w:rPr>
              <w:t>51</w:t>
            </w:r>
          </w:p>
        </w:tc>
        <w:tc>
          <w:tcPr>
            <w:tcW w:w="795" w:type="dxa"/>
            <w:vAlign w:val="center"/>
          </w:tcPr>
          <w:p>
            <w:pPr>
              <w:spacing w:line="360" w:lineRule="auto"/>
              <w:jc w:val="center"/>
              <w:rPr>
                <w:rFonts w:hint="eastAsia" w:cs="Times New Roman" w:asciiTheme="minorEastAsia" w:hAnsiTheme="minorEastAsia" w:eastAsiaTheme="minorEastAsia"/>
                <w:color w:val="auto"/>
                <w:szCs w:val="21"/>
                <w:highlight w:val="none"/>
                <w:lang w:eastAsia="zh-CN"/>
              </w:rPr>
            </w:pPr>
            <w:r>
              <w:rPr>
                <w:rFonts w:hint="eastAsia" w:cs="Times New Roman" w:asciiTheme="minorEastAsia" w:hAnsiTheme="minorEastAsia"/>
                <w:color w:val="auto"/>
                <w:szCs w:val="21"/>
                <w:highlight w:val="none"/>
              </w:rPr>
              <w:t>1</w:t>
            </w:r>
            <w:r>
              <w:rPr>
                <w:rFonts w:cs="Times New Roman" w:asciiTheme="minorEastAsia" w:hAnsiTheme="minorEastAsia"/>
                <w:color w:val="auto"/>
                <w:szCs w:val="21"/>
                <w:highlight w:val="none"/>
              </w:rPr>
              <w:t>5</w:t>
            </w:r>
            <w:r>
              <w:rPr>
                <w:rFonts w:hint="eastAsia" w:cs="Times New Roman" w:asciiTheme="minorEastAsia" w:hAnsiTheme="minorEastAsia"/>
                <w:color w:val="auto"/>
                <w:szCs w:val="21"/>
                <w:highlight w:val="none"/>
                <w:lang w:val="en-US" w:eastAsia="zh-CN"/>
              </w:rPr>
              <w:t>5</w:t>
            </w:r>
          </w:p>
        </w:tc>
        <w:tc>
          <w:tcPr>
            <w:tcW w:w="506"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20</w:t>
            </w:r>
          </w:p>
        </w:tc>
        <w:tc>
          <w:tcPr>
            <w:tcW w:w="704" w:type="dxa"/>
            <w:vAlign w:val="center"/>
          </w:tcPr>
          <w:p>
            <w:pPr>
              <w:spacing w:line="360" w:lineRule="auto"/>
              <w:jc w:val="center"/>
              <w:rPr>
                <w:rFonts w:hint="eastAsia" w:cs="Times New Roman" w:asciiTheme="minorEastAsia" w:hAnsiTheme="minorEastAsia" w:eastAsiaTheme="minorEastAsia"/>
                <w:color w:val="auto"/>
                <w:szCs w:val="21"/>
                <w:highlight w:val="none"/>
                <w:lang w:eastAsia="zh-CN"/>
              </w:rPr>
            </w:pPr>
            <w:r>
              <w:rPr>
                <w:rFonts w:cs="Times New Roman" w:asciiTheme="minorEastAsia" w:hAnsiTheme="minorEastAsia"/>
                <w:color w:val="auto"/>
                <w:szCs w:val="21"/>
                <w:highlight w:val="none"/>
              </w:rPr>
              <w:t>1</w:t>
            </w:r>
            <w:r>
              <w:rPr>
                <w:rFonts w:hint="eastAsia" w:cs="Times New Roman" w:asciiTheme="minorEastAsia" w:hAnsiTheme="minorEastAsia"/>
                <w:color w:val="auto"/>
                <w:szCs w:val="21"/>
                <w:highlight w:val="none"/>
              </w:rPr>
              <w:t>1</w:t>
            </w:r>
            <w:r>
              <w:rPr>
                <w:rFonts w:hint="eastAsia" w:cs="Times New Roman" w:asciiTheme="minorEastAsia" w:hAnsiTheme="minorEastAsia"/>
                <w:color w:val="auto"/>
                <w:szCs w:val="21"/>
                <w:highlight w:val="none"/>
                <w:lang w:val="en-US" w:eastAsia="zh-CN"/>
              </w:rPr>
              <w:t>2</w:t>
            </w:r>
          </w:p>
        </w:tc>
        <w:tc>
          <w:tcPr>
            <w:tcW w:w="540" w:type="dxa"/>
            <w:vAlign w:val="center"/>
          </w:tcPr>
          <w:p>
            <w:pPr>
              <w:spacing w:line="360" w:lineRule="auto"/>
              <w:jc w:val="center"/>
              <w:rPr>
                <w:rFonts w:cs="Times New Roman" w:asciiTheme="minorEastAsia" w:hAnsiTheme="minorEastAsia"/>
                <w:color w:val="auto"/>
                <w:szCs w:val="21"/>
                <w:highlight w:val="none"/>
              </w:rPr>
            </w:pPr>
            <w:r>
              <w:rPr>
                <w:rFonts w:cs="Times New Roman" w:asciiTheme="minorEastAsia" w:hAnsiTheme="minorEastAsia"/>
                <w:color w:val="auto"/>
                <w:szCs w:val="21"/>
                <w:highlight w:val="none"/>
              </w:rPr>
              <w:t>23</w:t>
            </w:r>
          </w:p>
        </w:tc>
        <w:tc>
          <w:tcPr>
            <w:tcW w:w="900" w:type="dxa"/>
            <w:vAlign w:val="center"/>
          </w:tcPr>
          <w:p>
            <w:pPr>
              <w:spacing w:line="360" w:lineRule="auto"/>
              <w:jc w:val="center"/>
              <w:rPr>
                <w:rFonts w:hint="eastAsia" w:cs="Times New Roman" w:asciiTheme="minorEastAsia" w:hAnsiTheme="minorEastAsia" w:eastAsiaTheme="minorEastAsia"/>
                <w:color w:val="auto"/>
                <w:szCs w:val="21"/>
                <w:highlight w:val="none"/>
                <w:lang w:eastAsia="zh-CN"/>
              </w:rPr>
            </w:pPr>
            <w:r>
              <w:rPr>
                <w:rFonts w:hint="eastAsia" w:cs="Times New Roman" w:asciiTheme="minorEastAsia" w:hAnsiTheme="minorEastAsia"/>
                <w:color w:val="auto"/>
                <w:szCs w:val="21"/>
                <w:highlight w:val="none"/>
              </w:rPr>
              <w:t>1</w:t>
            </w:r>
            <w:r>
              <w:rPr>
                <w:rFonts w:hint="eastAsia" w:cs="Times New Roman" w:asciiTheme="minorEastAsia" w:hAnsiTheme="minorEastAsia"/>
                <w:color w:val="auto"/>
                <w:szCs w:val="21"/>
                <w:highlight w:val="none"/>
                <w:lang w:val="en-US" w:eastAsia="zh-CN"/>
              </w:rPr>
              <w:t>2</w:t>
            </w:r>
            <w:r>
              <w:rPr>
                <w:rFonts w:hint="eastAsia" w:cs="Times New Roman" w:asciiTheme="minorEastAsia" w:hAnsiTheme="minorEastAsia"/>
                <w:color w:val="auto"/>
                <w:szCs w:val="21"/>
                <w:highlight w:val="none"/>
              </w:rPr>
              <w:t>.</w:t>
            </w:r>
            <w:r>
              <w:rPr>
                <w:rFonts w:hint="eastAsia" w:cs="Times New Roman" w:asciiTheme="minorEastAsia" w:hAnsiTheme="minorEastAsia"/>
                <w:color w:val="auto"/>
                <w:szCs w:val="21"/>
                <w:highlight w:val="none"/>
                <w:lang w:val="en-US" w:eastAsia="zh-CN"/>
              </w:rPr>
              <w:t>9</w:t>
            </w:r>
          </w:p>
        </w:tc>
        <w:tc>
          <w:tcPr>
            <w:tcW w:w="900"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7</w:t>
            </w:r>
            <w:r>
              <w:rPr>
                <w:rFonts w:hint="eastAsia" w:cs="Times New Roman" w:asciiTheme="minorEastAsia" w:hAnsiTheme="minorEastAsia"/>
                <w:color w:val="auto"/>
                <w:szCs w:val="21"/>
                <w:highlight w:val="none"/>
                <w:lang w:val="en-US" w:eastAsia="zh-CN"/>
              </w:rPr>
              <w:t>2</w:t>
            </w:r>
            <w:r>
              <w:rPr>
                <w:rFonts w:hint="eastAsia" w:cs="Times New Roman" w:asciiTheme="minorEastAsia" w:hAnsiTheme="minorEastAsia"/>
                <w:color w:val="auto"/>
                <w:szCs w:val="21"/>
                <w:highlight w:val="none"/>
              </w:rPr>
              <w:t>.</w:t>
            </w:r>
            <w:r>
              <w:rPr>
                <w:rFonts w:hint="eastAsia" w:cs="Times New Roman" w:asciiTheme="minorEastAsia" w:hAnsiTheme="minorEastAsia"/>
                <w:color w:val="auto"/>
                <w:szCs w:val="21"/>
                <w:highlight w:val="none"/>
                <w:lang w:val="en-US" w:eastAsia="zh-CN"/>
              </w:rPr>
              <w:t>3</w:t>
            </w:r>
            <w:r>
              <w:rPr>
                <w:rFonts w:hint="eastAsia" w:cs="Times New Roman" w:asciiTheme="minorEastAsia" w:hAnsiTheme="minorEastAsia"/>
                <w:color w:val="auto"/>
                <w:szCs w:val="21"/>
                <w:highlight w:val="none"/>
              </w:rPr>
              <w:t>%</w:t>
            </w:r>
          </w:p>
        </w:tc>
        <w:tc>
          <w:tcPr>
            <w:tcW w:w="1036" w:type="dxa"/>
            <w:vAlign w:val="center"/>
          </w:tcPr>
          <w:p>
            <w:pPr>
              <w:spacing w:line="360" w:lineRule="auto"/>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lang w:val="en-US" w:eastAsia="zh-CN"/>
              </w:rPr>
              <w:t>14.8</w:t>
            </w:r>
            <w:r>
              <w:rPr>
                <w:rFonts w:hint="eastAsia" w:cs="Times New Roman" w:asciiTheme="minorEastAsia" w:hAnsiTheme="minorEastAsia"/>
                <w:color w:val="auto"/>
                <w:szCs w:val="21"/>
                <w:highlight w:val="none"/>
              </w:rPr>
              <w:t>%</w:t>
            </w:r>
          </w:p>
        </w:tc>
      </w:tr>
    </w:tbl>
    <w:p>
      <w:pPr>
        <w:spacing w:line="360" w:lineRule="auto"/>
        <w:rPr>
          <w:rFonts w:ascii="黑体" w:hAnsi="黑体" w:eastAsia="黑体" w:cs="黑体"/>
          <w:bCs/>
          <w:color w:val="auto"/>
          <w:sz w:val="30"/>
          <w:szCs w:val="30"/>
          <w:highlight w:val="none"/>
        </w:rPr>
      </w:pPr>
    </w:p>
    <w:p>
      <w:pPr>
        <w:numPr>
          <w:ilvl w:val="0"/>
          <w:numId w:val="1"/>
        </w:numPr>
        <w:spacing w:line="360" w:lineRule="auto"/>
        <w:ind w:firstLine="600" w:firstLineChars="200"/>
        <w:rPr>
          <w:rFonts w:hint="eastAsia" w:ascii="黑体" w:hAnsi="黑体" w:eastAsia="黑体" w:cs="黑体"/>
          <w:bCs/>
          <w:color w:val="auto"/>
          <w:sz w:val="30"/>
          <w:szCs w:val="30"/>
          <w:highlight w:val="none"/>
        </w:rPr>
      </w:pPr>
      <w:r>
        <w:rPr>
          <w:rFonts w:hint="eastAsia" w:ascii="黑体" w:hAnsi="黑体" w:eastAsia="黑体" w:cs="黑体"/>
          <w:bCs/>
          <w:color w:val="auto"/>
          <w:sz w:val="30"/>
          <w:szCs w:val="30"/>
          <w:highlight w:val="none"/>
        </w:rPr>
        <w:t>取证要求：</w:t>
      </w:r>
    </w:p>
    <w:p>
      <w:pPr>
        <w:numPr>
          <w:ilvl w:val="0"/>
          <w:numId w:val="0"/>
        </w:numPr>
        <w:spacing w:line="360" w:lineRule="auto"/>
        <w:ind w:firstLine="480" w:firstLineChars="200"/>
        <w:rPr>
          <w:rFonts w:ascii="黑体" w:hAnsi="黑体" w:eastAsia="黑体" w:cs="黑体"/>
          <w:bCs/>
          <w:color w:val="auto"/>
          <w:sz w:val="30"/>
          <w:szCs w:val="30"/>
          <w:highlight w:val="none"/>
        </w:rPr>
      </w:pPr>
      <w:r>
        <w:rPr>
          <w:rFonts w:hint="eastAsia" w:asciiTheme="majorEastAsia" w:hAnsiTheme="majorEastAsia" w:eastAsiaTheme="majorEastAsia" w:cstheme="majorEastAsia"/>
          <w:i w:val="0"/>
          <w:caps w:val="0"/>
          <w:color w:val="auto"/>
          <w:spacing w:val="0"/>
          <w:sz w:val="24"/>
          <w:szCs w:val="24"/>
          <w:highlight w:val="none"/>
          <w:shd w:val="clear" w:fill="FFFFFF"/>
          <w:lang w:val="en-US" w:eastAsia="zh-CN"/>
        </w:rPr>
        <w:t>依据</w:t>
      </w:r>
      <w:r>
        <w:rPr>
          <w:rFonts w:hint="eastAsia" w:asciiTheme="majorEastAsia" w:hAnsiTheme="majorEastAsia" w:eastAsiaTheme="majorEastAsia" w:cstheme="majorEastAsia"/>
          <w:i w:val="0"/>
          <w:caps w:val="0"/>
          <w:color w:val="auto"/>
          <w:spacing w:val="0"/>
          <w:sz w:val="24"/>
          <w:szCs w:val="24"/>
          <w:highlight w:val="none"/>
          <w:shd w:val="clear" w:fill="FFFFFF"/>
        </w:rPr>
        <w:t>《国家职业教育改革实施方案》</w:t>
      </w:r>
      <w:r>
        <w:rPr>
          <w:rFonts w:hint="eastAsia" w:asciiTheme="majorEastAsia" w:hAnsiTheme="majorEastAsia" w:eastAsiaTheme="majorEastAsia" w:cstheme="majorEastAsia"/>
          <w:i w:val="0"/>
          <w:caps w:val="0"/>
          <w:color w:val="auto"/>
          <w:spacing w:val="0"/>
          <w:sz w:val="24"/>
          <w:szCs w:val="24"/>
          <w:highlight w:val="none"/>
          <w:shd w:val="clear" w:fill="FFFFFF"/>
          <w:lang w:eastAsia="zh-CN"/>
        </w:rPr>
        <w:t>，</w:t>
      </w:r>
      <w:r>
        <w:rPr>
          <w:rFonts w:hint="eastAsia" w:asciiTheme="majorEastAsia" w:hAnsiTheme="majorEastAsia" w:eastAsiaTheme="majorEastAsia" w:cstheme="majorEastAsia"/>
          <w:i w:val="0"/>
          <w:caps w:val="0"/>
          <w:color w:val="auto"/>
          <w:spacing w:val="0"/>
          <w:sz w:val="24"/>
          <w:szCs w:val="24"/>
          <w:highlight w:val="none"/>
          <w:shd w:val="clear" w:fill="FFFFFF"/>
          <w:lang w:val="en-US" w:eastAsia="zh-CN"/>
        </w:rPr>
        <w:t>本专业</w:t>
      </w:r>
      <w:r>
        <w:rPr>
          <w:rFonts w:hint="eastAsia" w:asciiTheme="majorEastAsia" w:hAnsiTheme="majorEastAsia" w:eastAsiaTheme="majorEastAsia" w:cstheme="majorEastAsia"/>
          <w:i w:val="0"/>
          <w:caps w:val="0"/>
          <w:color w:val="auto"/>
          <w:spacing w:val="0"/>
          <w:sz w:val="24"/>
          <w:szCs w:val="24"/>
          <w:highlight w:val="none"/>
          <w:shd w:val="clear" w:fill="FFFFFF"/>
        </w:rPr>
        <w:t>启动1+X证书制度</w:t>
      </w:r>
      <w:r>
        <w:rPr>
          <w:rFonts w:hint="eastAsia" w:asciiTheme="majorEastAsia" w:hAnsiTheme="majorEastAsia" w:eastAsiaTheme="majorEastAsia" w:cstheme="majorEastAsia"/>
          <w:i w:val="0"/>
          <w:caps w:val="0"/>
          <w:color w:val="auto"/>
          <w:spacing w:val="0"/>
          <w:sz w:val="24"/>
          <w:szCs w:val="24"/>
          <w:highlight w:val="none"/>
          <w:shd w:val="clear" w:fill="FFFFFF"/>
          <w:lang w:eastAsia="zh-CN"/>
        </w:rPr>
        <w:t>，</w:t>
      </w:r>
      <w:r>
        <w:rPr>
          <w:rFonts w:hint="eastAsia" w:asciiTheme="majorEastAsia" w:hAnsiTheme="majorEastAsia" w:eastAsiaTheme="majorEastAsia" w:cstheme="majorEastAsia"/>
          <w:i w:val="0"/>
          <w:caps w:val="0"/>
          <w:color w:val="auto"/>
          <w:spacing w:val="0"/>
          <w:sz w:val="24"/>
          <w:szCs w:val="24"/>
          <w:highlight w:val="none"/>
          <w:shd w:val="clear" w:fill="FFFFFF"/>
          <w:lang w:val="en-US" w:eastAsia="zh-CN"/>
        </w:rPr>
        <w:t>鼓</w:t>
      </w:r>
      <w:r>
        <w:rPr>
          <w:rFonts w:hint="eastAsia" w:asciiTheme="majorEastAsia" w:hAnsiTheme="majorEastAsia" w:eastAsiaTheme="majorEastAsia" w:cstheme="majorEastAsia"/>
          <w:i w:val="0"/>
          <w:caps w:val="0"/>
          <w:color w:val="auto"/>
          <w:spacing w:val="0"/>
          <w:sz w:val="24"/>
          <w:szCs w:val="24"/>
          <w:highlight w:val="none"/>
          <w:shd w:val="clear" w:fill="FFFFFF"/>
        </w:rPr>
        <w:t>励学生在获得学历证书的同时，积极取得</w:t>
      </w:r>
      <w:r>
        <w:rPr>
          <w:rFonts w:hint="eastAsia" w:asciiTheme="majorEastAsia" w:hAnsiTheme="majorEastAsia" w:eastAsiaTheme="majorEastAsia" w:cstheme="majorEastAsia"/>
          <w:i w:val="0"/>
          <w:caps w:val="0"/>
          <w:color w:val="auto"/>
          <w:spacing w:val="0"/>
          <w:sz w:val="24"/>
          <w:szCs w:val="24"/>
          <w:highlight w:val="none"/>
          <w:shd w:val="clear" w:fill="FFFFFF"/>
          <w:lang w:val="en-US" w:eastAsia="zh-CN"/>
        </w:rPr>
        <w:t>诸如普通话证书、计算机等级证等</w:t>
      </w:r>
      <w:r>
        <w:rPr>
          <w:rFonts w:hint="eastAsia" w:asciiTheme="majorEastAsia" w:hAnsiTheme="majorEastAsia" w:eastAsiaTheme="majorEastAsia" w:cstheme="majorEastAsia"/>
          <w:i w:val="0"/>
          <w:caps w:val="0"/>
          <w:color w:val="auto"/>
          <w:spacing w:val="0"/>
          <w:sz w:val="24"/>
          <w:szCs w:val="24"/>
          <w:highlight w:val="none"/>
          <w:shd w:val="clear" w:fill="FFFFFF"/>
        </w:rPr>
        <w:t>多类职业技能等级证书，拓展就业创业本领，缓解就业矛盾。</w:t>
      </w:r>
    </w:p>
    <w:p>
      <w:pPr>
        <w:pStyle w:val="3"/>
        <w:ind w:firstLine="480" w:firstLineChars="150"/>
        <w:rPr>
          <w:b w:val="0"/>
          <w:color w:val="auto"/>
          <w:highlight w:val="none"/>
        </w:rPr>
      </w:pPr>
      <w:bookmarkStart w:id="10" w:name="_Toc17017"/>
      <w:r>
        <w:rPr>
          <w:rFonts w:hint="eastAsia"/>
          <w:b w:val="0"/>
          <w:color w:val="auto"/>
          <w:highlight w:val="none"/>
        </w:rPr>
        <w:t>十、学习深造建议</w:t>
      </w:r>
      <w:bookmarkEnd w:id="10"/>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本专业毕业后，可以采用以下渠道接受更高层次教育：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 xml:space="preserve">1．专转本：升大二、大三后，经由学校和教学系推荐，可进入省规定的本科学校续读，并取得相应的学历学位。  </w:t>
      </w:r>
    </w:p>
    <w:p>
      <w:pPr>
        <w:spacing w:line="360" w:lineRule="auto"/>
        <w:ind w:firstLine="480" w:firstLineChars="200"/>
        <w:rPr>
          <w:rFonts w:asciiTheme="majorEastAsia" w:hAnsiTheme="majorEastAsia" w:eastAsiaTheme="majorEastAsia" w:cstheme="majorEastAsia"/>
          <w:bCs/>
          <w:color w:val="auto"/>
          <w:sz w:val="24"/>
          <w:highlight w:val="none"/>
        </w:rPr>
      </w:pPr>
      <w:r>
        <w:rPr>
          <w:rFonts w:hint="eastAsia" w:asciiTheme="majorEastAsia" w:hAnsiTheme="majorEastAsia" w:eastAsiaTheme="majorEastAsia" w:cstheme="majorEastAsia"/>
          <w:bCs/>
          <w:color w:val="auto"/>
          <w:sz w:val="24"/>
          <w:highlight w:val="none"/>
        </w:rPr>
        <w:t>2．专升本：取得专科文凭，参加对口升学考试，取得学籍，考核合格可取得相应的学历学位。</w:t>
      </w:r>
    </w:p>
    <w:p>
      <w:pPr>
        <w:spacing w:line="360" w:lineRule="auto"/>
        <w:rPr>
          <w:rFonts w:ascii="黑体" w:hAnsi="宋体" w:eastAsia="黑体"/>
          <w:bCs/>
          <w:color w:val="auto"/>
          <w:sz w:val="32"/>
          <w:szCs w:val="32"/>
          <w:highlight w:val="none"/>
        </w:rPr>
      </w:pPr>
    </w:p>
    <w:p>
      <w:pPr>
        <w:spacing w:line="360" w:lineRule="auto"/>
        <w:rPr>
          <w:rFonts w:ascii="黑体" w:hAnsi="宋体" w:eastAsia="黑体"/>
          <w:bCs/>
          <w:color w:val="auto"/>
          <w:sz w:val="32"/>
          <w:szCs w:val="32"/>
          <w:highlight w:val="none"/>
        </w:rPr>
      </w:pPr>
    </w:p>
    <w:p>
      <w:pPr>
        <w:spacing w:line="360" w:lineRule="auto"/>
        <w:rPr>
          <w:rFonts w:ascii="黑体" w:hAnsi="宋体" w:eastAsia="黑体"/>
          <w:bCs/>
          <w:color w:val="auto"/>
          <w:sz w:val="32"/>
          <w:szCs w:val="32"/>
          <w:highlight w:val="none"/>
        </w:rPr>
      </w:pPr>
    </w:p>
    <w:p>
      <w:pPr>
        <w:pStyle w:val="2"/>
        <w:spacing w:before="0" w:after="0" w:line="360" w:lineRule="auto"/>
        <w:jc w:val="center"/>
        <w:rPr>
          <w:rFonts w:ascii="Times New Roman" w:hAnsi="Times New Roman" w:eastAsia="黑体" w:cs="黑体"/>
          <w:b w:val="0"/>
          <w:bCs w:val="0"/>
          <w:color w:val="auto"/>
          <w:sz w:val="36"/>
          <w:szCs w:val="36"/>
          <w:highlight w:val="none"/>
        </w:rPr>
      </w:pPr>
      <w:bookmarkStart w:id="11" w:name="_Toc4432"/>
      <w:r>
        <w:rPr>
          <w:rFonts w:hint="eastAsia" w:ascii="Times New Roman" w:hAnsi="Times New Roman" w:eastAsia="黑体" w:cs="黑体"/>
          <w:b w:val="0"/>
          <w:bCs w:val="0"/>
          <w:color w:val="auto"/>
          <w:sz w:val="36"/>
          <w:szCs w:val="36"/>
          <w:highlight w:val="none"/>
        </w:rPr>
        <w:t>第二部分 煤</w:t>
      </w:r>
      <w:r>
        <w:rPr>
          <w:rFonts w:hint="eastAsia" w:ascii="Times New Roman" w:hAnsi="Times New Roman" w:eastAsia="黑体" w:cs="黑体"/>
          <w:b w:val="0"/>
          <w:bCs w:val="0"/>
          <w:color w:val="auto"/>
          <w:sz w:val="36"/>
          <w:szCs w:val="36"/>
          <w:highlight w:val="none"/>
          <w:lang w:val="en-US" w:eastAsia="zh-CN"/>
        </w:rPr>
        <w:t>炭深加工与利用</w:t>
      </w:r>
      <w:r>
        <w:rPr>
          <w:rFonts w:hint="eastAsia" w:ascii="Times New Roman" w:hAnsi="Times New Roman" w:eastAsia="黑体" w:cs="黑体"/>
          <w:b w:val="0"/>
          <w:bCs w:val="0"/>
          <w:color w:val="auto"/>
          <w:sz w:val="36"/>
          <w:szCs w:val="36"/>
          <w:highlight w:val="none"/>
        </w:rPr>
        <w:t>专业人才需求</w:t>
      </w:r>
      <w:bookmarkEnd w:id="11"/>
    </w:p>
    <w:p>
      <w:pPr>
        <w:pStyle w:val="2"/>
        <w:spacing w:before="0" w:after="0" w:line="360" w:lineRule="auto"/>
        <w:jc w:val="center"/>
        <w:rPr>
          <w:rFonts w:ascii="Times New Roman" w:hAnsi="Times New Roman" w:eastAsia="黑体" w:cs="黑体"/>
          <w:b w:val="0"/>
          <w:bCs w:val="0"/>
          <w:color w:val="auto"/>
          <w:sz w:val="36"/>
          <w:szCs w:val="36"/>
          <w:highlight w:val="none"/>
        </w:rPr>
      </w:pPr>
      <w:bookmarkStart w:id="12" w:name="_Toc9867"/>
      <w:r>
        <w:rPr>
          <w:rFonts w:hint="eastAsia" w:ascii="Times New Roman" w:hAnsi="Times New Roman" w:eastAsia="黑体" w:cs="黑体"/>
          <w:b w:val="0"/>
          <w:bCs w:val="0"/>
          <w:color w:val="auto"/>
          <w:sz w:val="36"/>
          <w:szCs w:val="36"/>
          <w:highlight w:val="none"/>
        </w:rPr>
        <w:t>与专业建设调研报告</w:t>
      </w:r>
      <w:bookmarkEnd w:id="12"/>
    </w:p>
    <w:p>
      <w:pPr>
        <w:pStyle w:val="3"/>
        <w:spacing w:before="0" w:after="0" w:line="360" w:lineRule="auto"/>
        <w:ind w:firstLine="640" w:firstLineChars="200"/>
        <w:rPr>
          <w:rFonts w:ascii="Times New Roman" w:hAnsi="Times New Roman"/>
          <w:b w:val="0"/>
          <w:bCs/>
          <w:color w:val="auto"/>
          <w:highlight w:val="none"/>
        </w:rPr>
      </w:pPr>
      <w:bookmarkStart w:id="13" w:name="_Toc339985608"/>
      <w:bookmarkStart w:id="14" w:name="_Toc13638"/>
      <w:bookmarkStart w:id="15" w:name="_Toc339913807"/>
      <w:bookmarkStart w:id="16" w:name="_Toc341338637"/>
      <w:r>
        <w:rPr>
          <w:rFonts w:hint="eastAsia" w:ascii="Times New Roman" w:hAnsi="Times New Roman"/>
          <w:b w:val="0"/>
          <w:bCs/>
          <w:color w:val="auto"/>
          <w:highlight w:val="none"/>
        </w:rPr>
        <w:t>一、专业人才需求与专业建设调研基本思路与方法</w:t>
      </w:r>
      <w:bookmarkEnd w:id="13"/>
      <w:bookmarkEnd w:id="14"/>
      <w:bookmarkEnd w:id="15"/>
      <w:bookmarkEnd w:id="16"/>
    </w:p>
    <w:p>
      <w:pPr>
        <w:spacing w:line="360" w:lineRule="auto"/>
        <w:ind w:firstLine="600" w:firstLineChars="200"/>
        <w:rPr>
          <w:rFonts w:ascii="Times New Roman" w:hAnsi="Times New Roman" w:eastAsia="黑体" w:cs="黑体"/>
          <w:bCs/>
          <w:color w:val="auto"/>
          <w:sz w:val="30"/>
          <w:szCs w:val="30"/>
          <w:highlight w:val="none"/>
        </w:rPr>
      </w:pPr>
      <w:r>
        <w:rPr>
          <w:rFonts w:hint="eastAsia" w:ascii="Times New Roman" w:hAnsi="Times New Roman" w:eastAsia="黑体" w:cs="黑体"/>
          <w:bCs/>
          <w:color w:val="auto"/>
          <w:sz w:val="30"/>
          <w:szCs w:val="30"/>
          <w:highlight w:val="none"/>
        </w:rPr>
        <w:t xml:space="preserve">（一）指导思想 </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高职教育的发展要主动适应区域经济社会发展需求，服务地方经济转型，培养出面向生产、建设、服务、管理第一线的高素质技术技能人才。以《教育部关于职业院校专业人才培养方案制订与实施工作的指导意见》（教职成〔2019〕13号）为依据，以就业为导向，以能力为本位，以岗位群的能力需要为依据，把握用人单位对本专业的需求，明确专业培养目标，为煤炭深加工与利用专业人才培养方案的修订提供依据，为煤炭深加工与利用专业的长久发展提供思路与方案。</w:t>
      </w:r>
    </w:p>
    <w:p>
      <w:pPr>
        <w:spacing w:line="360" w:lineRule="auto"/>
        <w:ind w:firstLine="600" w:firstLineChars="200"/>
        <w:rPr>
          <w:rFonts w:ascii="Times New Roman" w:hAnsi="Times New Roman" w:eastAsia="黑体" w:cs="黑体"/>
          <w:bCs/>
          <w:color w:val="auto"/>
          <w:sz w:val="30"/>
          <w:szCs w:val="30"/>
          <w:highlight w:val="none"/>
        </w:rPr>
      </w:pPr>
      <w:r>
        <w:rPr>
          <w:rFonts w:hint="eastAsia" w:ascii="Times New Roman" w:hAnsi="Times New Roman" w:eastAsia="黑体" w:cs="黑体"/>
          <w:bCs/>
          <w:color w:val="auto"/>
          <w:sz w:val="30"/>
          <w:szCs w:val="30"/>
          <w:highlight w:val="none"/>
        </w:rPr>
        <w:t xml:space="preserve">（二）基本思路 </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以区域产业发展对人才需求的变化为依据，明晰人才培养目标。通过对用人单位对人才的反馈意见,学员毕业的就业岗位状况和岗位典型工作任务确定专业岗位群。分析工作岗位群的岗位能力，根据岗位能力分析确定教学内容、按岗位工作过程的完整性序化课程，建立基于工作过程的课程体系。实现以专业与产业对接、课程内容与职业标准对接、教学过程与生产过程对接，提出专业改革与专业建设的思路与方案。</w:t>
      </w:r>
    </w:p>
    <w:p>
      <w:pPr>
        <w:spacing w:line="360" w:lineRule="auto"/>
        <w:ind w:firstLine="600" w:firstLineChars="200"/>
        <w:rPr>
          <w:rFonts w:ascii="Times New Roman" w:hAnsi="Times New Roman" w:eastAsia="黑体" w:cs="黑体"/>
          <w:bCs/>
          <w:color w:val="auto"/>
          <w:sz w:val="30"/>
          <w:szCs w:val="30"/>
          <w:highlight w:val="none"/>
        </w:rPr>
      </w:pPr>
      <w:r>
        <w:rPr>
          <w:rFonts w:hint="eastAsia" w:ascii="Times New Roman" w:hAnsi="Times New Roman" w:eastAsia="黑体" w:cs="黑体"/>
          <w:bCs/>
          <w:color w:val="auto"/>
          <w:sz w:val="30"/>
          <w:szCs w:val="30"/>
          <w:highlight w:val="none"/>
        </w:rPr>
        <w:t xml:space="preserve">（三）调研方法 </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行业调研：掌握行业发展现况、方向以及存在问题和人才需求情况；</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企业调研：筛选部分有代表性的煤化工企业，调查企业发展状况和人才需求情况，搞清楚对人才质量及规格的要求；</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走访毕业生就业单位：了解初始就业岗位、岗位变化情况、企业对毕业生的评价、毕业生对学校与专业教学的意见与建议；</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兄弟院校调研：了解应用煤炭深加工与利用专业设置、学生人数、教学情况、就业方向。</w:t>
      </w:r>
    </w:p>
    <w:p>
      <w:pPr>
        <w:spacing w:line="360" w:lineRule="auto"/>
        <w:ind w:firstLine="480" w:firstLineChars="200"/>
        <w:rPr>
          <w:rFonts w:ascii="Times New Roman" w:hAnsi="Times New Roman" w:eastAsiaTheme="majorEastAsia" w:cstheme="majorEastAsia"/>
          <w:bCs/>
          <w:color w:val="auto"/>
          <w:sz w:val="24"/>
          <w:highlight w:val="none"/>
        </w:rPr>
      </w:pPr>
      <w:r>
        <w:rPr>
          <w:rFonts w:hint="eastAsia" w:ascii="Times New Roman" w:hAnsi="Times New Roman" w:eastAsiaTheme="majorEastAsia" w:cstheme="majorEastAsia"/>
          <w:bCs/>
          <w:color w:val="auto"/>
          <w:sz w:val="24"/>
          <w:highlight w:val="none"/>
        </w:rPr>
        <w:t>调研方法主要有问卷调查、走访调查、专题座谈、信息查询、专题研讨等行式。通过对我市及周边地区煤化工企业走访，与企业相关人员座谈，与职业资格鉴定部门、职业教育研究机构咨询，与我院煤炭深加工与利用专业毕业生座谈，了解企业需求和企业对毕业生专业知识与技能的要求。</w:t>
      </w:r>
    </w:p>
    <w:p>
      <w:pPr>
        <w:pStyle w:val="3"/>
        <w:snapToGrid w:val="0"/>
        <w:spacing w:before="0" w:after="0" w:line="360" w:lineRule="auto"/>
        <w:ind w:firstLine="640" w:firstLineChars="200"/>
        <w:rPr>
          <w:rFonts w:ascii="Times New Roman" w:hAnsi="Times New Roman"/>
          <w:b w:val="0"/>
          <w:color w:val="auto"/>
          <w:szCs w:val="32"/>
          <w:highlight w:val="none"/>
        </w:rPr>
      </w:pPr>
      <w:bookmarkStart w:id="17" w:name="_Toc25281"/>
      <w:r>
        <w:rPr>
          <w:rFonts w:hint="eastAsia" w:ascii="Times New Roman" w:hAnsi="Times New Roman"/>
          <w:b w:val="0"/>
          <w:bCs/>
          <w:color w:val="auto"/>
          <w:highlight w:val="none"/>
        </w:rPr>
        <w:t>二、专业人才需求调研</w:t>
      </w:r>
      <w:bookmarkEnd w:id="17"/>
    </w:p>
    <w:p>
      <w:pPr>
        <w:spacing w:line="360" w:lineRule="auto"/>
        <w:ind w:firstLine="600" w:firstLineChars="200"/>
        <w:rPr>
          <w:rFonts w:ascii="Times New Roman" w:hAnsi="Times New Roman" w:eastAsia="黑体" w:cs="黑体"/>
          <w:bCs/>
          <w:color w:val="auto"/>
          <w:sz w:val="30"/>
          <w:szCs w:val="30"/>
          <w:highlight w:val="none"/>
        </w:rPr>
      </w:pPr>
      <w:r>
        <w:rPr>
          <w:rFonts w:hint="eastAsia" w:ascii="Times New Roman" w:hAnsi="Times New Roman" w:eastAsia="黑体" w:cs="黑体"/>
          <w:bCs/>
          <w:color w:val="auto"/>
          <w:sz w:val="30"/>
          <w:szCs w:val="30"/>
          <w:highlight w:val="none"/>
        </w:rPr>
        <w:t>（一）行业发展社会背景与政策</w:t>
      </w:r>
    </w:p>
    <w:p>
      <w:pPr>
        <w:spacing w:line="360" w:lineRule="auto"/>
        <w:ind w:firstLine="420" w:firstLineChars="200"/>
        <w:rPr>
          <w:rFonts w:ascii="Times New Roman" w:hAnsi="Times New Roman"/>
          <w:color w:val="auto"/>
          <w:sz w:val="24"/>
          <w:highlight w:val="none"/>
        </w:rPr>
      </w:pPr>
      <w:r>
        <w:rPr>
          <w:color w:val="auto"/>
          <w:highlight w:val="none"/>
        </w:rPr>
        <w:fldChar w:fldCharType="begin"/>
      </w:r>
      <w:r>
        <w:rPr>
          <w:color w:val="auto"/>
          <w:highlight w:val="none"/>
        </w:rPr>
        <w:instrText xml:space="preserve"> HYPERLINK "http://www.cir.cn/5/88/MeiTanXianZhuangYuFaZhanQuShi.html" \t "_blank" \o "煤炭现状与发展趋势" </w:instrText>
      </w:r>
      <w:r>
        <w:rPr>
          <w:color w:val="auto"/>
          <w:highlight w:val="none"/>
        </w:rPr>
        <w:fldChar w:fldCharType="separate"/>
      </w:r>
      <w:r>
        <w:rPr>
          <w:rStyle w:val="20"/>
          <w:rFonts w:hint="eastAsia" w:ascii="Times New Roman" w:hAnsi="Times New Roman"/>
          <w:color w:val="auto"/>
          <w:sz w:val="24"/>
          <w:highlight w:val="none"/>
          <w:u w:val="none"/>
        </w:rPr>
        <w:t>煤炭</w:t>
      </w:r>
      <w:r>
        <w:rPr>
          <w:rStyle w:val="20"/>
          <w:rFonts w:hint="eastAsia" w:ascii="Times New Roman" w:hAnsi="Times New Roman"/>
          <w:color w:val="auto"/>
          <w:sz w:val="24"/>
          <w:highlight w:val="none"/>
          <w:u w:val="none"/>
        </w:rPr>
        <w:fldChar w:fldCharType="end"/>
      </w:r>
      <w:r>
        <w:rPr>
          <w:rFonts w:hint="eastAsia" w:ascii="Times New Roman" w:hAnsi="Times New Roman"/>
          <w:color w:val="auto"/>
          <w:sz w:val="24"/>
          <w:highlight w:val="none"/>
        </w:rPr>
        <w:t>是我国最主要的能源资源和重要的化工原料。近年来，在国际油价急剧震荡和对替代化工原料、替代能源的需求越发迫切的背景下，节能减排已成大势所趋。在已经上报国务院待批的新兴能源产业规划中，洁净煤利用成为十个新兴能源产业之一，在诸多上市公司积极介入煤化工领域的背景下，煤化工产业发展前景备受关注。</w:t>
      </w:r>
    </w:p>
    <w:p>
      <w:pPr>
        <w:widowControl/>
        <w:snapToGrid w:val="0"/>
        <w:spacing w:line="360" w:lineRule="auto"/>
        <w:ind w:firstLine="480" w:firstLineChars="200"/>
        <w:jc w:val="left"/>
        <w:rPr>
          <w:rFonts w:ascii="Times New Roman" w:hAnsi="Times New Roman"/>
          <w:color w:val="auto"/>
          <w:kern w:val="0"/>
          <w:sz w:val="24"/>
          <w:highlight w:val="none"/>
        </w:rPr>
      </w:pPr>
      <w:r>
        <w:rPr>
          <w:rFonts w:ascii="Times New Roman" w:hAnsi="Times New Roman"/>
          <w:color w:val="auto"/>
          <w:kern w:val="0"/>
          <w:sz w:val="24"/>
          <w:highlight w:val="none"/>
        </w:rPr>
        <w:t>为贯彻落实《国务院关于支持山西省进一步深化改革促进资源型经济转型发展的意见》（国发〔2017〕42号）、《山西省“十三五”化学工业发展规划》、《山西省现代煤化工产业发展实施方案》等文件精神，推进我省煤炭资源清洁高效利用，加快我省煤化工行业转型升级</w:t>
      </w:r>
      <w:r>
        <w:rPr>
          <w:rFonts w:hint="eastAsia" w:ascii="Times New Roman" w:hAnsi="Times New Roman"/>
          <w:color w:val="auto"/>
          <w:kern w:val="0"/>
          <w:sz w:val="24"/>
          <w:highlight w:val="none"/>
        </w:rPr>
        <w:t>，</w:t>
      </w:r>
      <w:r>
        <w:rPr>
          <w:rFonts w:ascii="Times New Roman" w:hAnsi="Times New Roman"/>
          <w:color w:val="auto"/>
          <w:kern w:val="0"/>
          <w:sz w:val="24"/>
          <w:highlight w:val="none"/>
        </w:rPr>
        <w:t>山西省</w:t>
      </w:r>
      <w:r>
        <w:rPr>
          <w:rFonts w:hint="eastAsia" w:ascii="Times New Roman" w:hAnsi="Times New Roman"/>
          <w:color w:val="auto"/>
          <w:kern w:val="0"/>
          <w:sz w:val="24"/>
          <w:highlight w:val="none"/>
        </w:rPr>
        <w:t>制定了</w:t>
      </w:r>
      <w:r>
        <w:rPr>
          <w:rFonts w:ascii="Times New Roman" w:hAnsi="Times New Roman"/>
          <w:color w:val="auto"/>
          <w:kern w:val="0"/>
          <w:sz w:val="24"/>
          <w:highlight w:val="none"/>
        </w:rPr>
        <w:t>现代煤化工产业发展</w:t>
      </w:r>
      <w:r>
        <w:rPr>
          <w:rFonts w:hint="eastAsia" w:ascii="Times New Roman" w:hAnsi="Times New Roman"/>
          <w:color w:val="auto"/>
          <w:kern w:val="0"/>
          <w:sz w:val="24"/>
          <w:highlight w:val="none"/>
        </w:rPr>
        <w:t>行动计划。</w:t>
      </w:r>
      <w:r>
        <w:rPr>
          <w:rFonts w:ascii="Times New Roman" w:hAnsi="Times New Roman"/>
          <w:color w:val="auto"/>
          <w:kern w:val="0"/>
          <w:sz w:val="24"/>
          <w:highlight w:val="none"/>
        </w:rPr>
        <w:t>立足资源优势和产业基础，按照“企业、项目、产品、技术、园区（基地）”五位一体推进思路，实施现代煤化工示范工程，积极发展化工新材料和精细化工，加快化肥、甲醇、氯碱等传统煤化工提质升级，实现产业高端化、产品差异化、生产集约化，构建山西特色煤化工产业体系，实现由原料制造向材料制造转变。</w:t>
      </w:r>
    </w:p>
    <w:p>
      <w:pPr>
        <w:widowControl/>
        <w:snapToGrid w:val="0"/>
        <w:spacing w:line="360" w:lineRule="auto"/>
        <w:ind w:firstLine="480" w:firstLineChars="200"/>
        <w:jc w:val="left"/>
        <w:rPr>
          <w:rFonts w:ascii="Times New Roman" w:hAnsi="Times New Roman"/>
          <w:color w:val="auto"/>
          <w:kern w:val="0"/>
          <w:sz w:val="24"/>
          <w:highlight w:val="none"/>
        </w:rPr>
      </w:pPr>
      <w:r>
        <w:rPr>
          <w:rFonts w:ascii="Times New Roman" w:hAnsi="Times New Roman"/>
          <w:color w:val="auto"/>
          <w:kern w:val="0"/>
          <w:sz w:val="24"/>
          <w:highlight w:val="none"/>
        </w:rPr>
        <w:t>晋城市以天泽、兰花等大企业大集团为龙头，以巴公、高平西部、北留周村等化工园区为载体，围绕</w:t>
      </w:r>
      <w:r>
        <w:rPr>
          <w:rFonts w:hint="eastAsia" w:ascii="Times New Roman" w:hAnsi="Times New Roman"/>
          <w:color w:val="auto"/>
          <w:kern w:val="0"/>
          <w:sz w:val="24"/>
          <w:highlight w:val="none"/>
        </w:rPr>
        <w:t>“</w:t>
      </w:r>
      <w:r>
        <w:rPr>
          <w:rFonts w:ascii="Times New Roman" w:hAnsi="Times New Roman"/>
          <w:color w:val="auto"/>
          <w:kern w:val="0"/>
          <w:sz w:val="24"/>
          <w:highlight w:val="none"/>
        </w:rPr>
        <w:t>肥、醇、醚、烃、油</w:t>
      </w:r>
      <w:r>
        <w:rPr>
          <w:rFonts w:hint="eastAsia" w:ascii="Times New Roman" w:hAnsi="Times New Roman"/>
          <w:color w:val="auto"/>
          <w:kern w:val="0"/>
          <w:sz w:val="24"/>
          <w:highlight w:val="none"/>
        </w:rPr>
        <w:t>”</w:t>
      </w:r>
      <w:r>
        <w:rPr>
          <w:rFonts w:ascii="Times New Roman" w:hAnsi="Times New Roman"/>
          <w:color w:val="auto"/>
          <w:kern w:val="0"/>
          <w:sz w:val="24"/>
          <w:highlight w:val="none"/>
        </w:rPr>
        <w:t>五条发展主线，拉长产业链条，增加附加值，形成</w:t>
      </w:r>
      <w:r>
        <w:rPr>
          <w:rFonts w:hint="eastAsia" w:ascii="Times New Roman" w:hAnsi="Times New Roman"/>
          <w:color w:val="auto"/>
          <w:kern w:val="0"/>
          <w:sz w:val="24"/>
          <w:highlight w:val="none"/>
        </w:rPr>
        <w:t>了</w:t>
      </w:r>
      <w:r>
        <w:rPr>
          <w:rFonts w:ascii="Times New Roman" w:hAnsi="Times New Roman"/>
          <w:color w:val="auto"/>
          <w:kern w:val="0"/>
          <w:sz w:val="24"/>
          <w:highlight w:val="none"/>
        </w:rPr>
        <w:t>煤、肥、电和醇、醚、烃及精细化工并举的格局。</w:t>
      </w:r>
      <w:r>
        <w:rPr>
          <w:rFonts w:hint="eastAsia" w:ascii="宋体" w:hAnsi="宋体" w:eastAsia="宋体" w:cs="宋体"/>
          <w:i w:val="0"/>
          <w:caps w:val="0"/>
          <w:color w:val="auto"/>
          <w:spacing w:val="0"/>
          <w:sz w:val="24"/>
          <w:szCs w:val="24"/>
          <w:highlight w:val="none"/>
          <w:shd w:val="clear" w:fill="FFFFFF"/>
        </w:rPr>
        <w:t>目前，晋城市煤化工产业已形成年产400万吨合成氨、600万吨尿素的产能，在全国有了举足轻重的地位。从产业链延伸方面看，随着一批新型煤化工产品相继推出，已建成年产200万吨甲醇、60万吨煤制油、25万吨二甲醚、12万吨甲醛、10万吨己内酰胺、1.5万吨三聚氰胺、1万吨乌洛托品生产能力，形成了以合成氨、尿素为主体，包括甲醇、煤制油、甲醛、己内酰胺、二甲醚、乌洛托品等产品的新格局。</w:t>
      </w:r>
    </w:p>
    <w:p>
      <w:pPr>
        <w:numPr>
          <w:ilvl w:val="0"/>
          <w:numId w:val="0"/>
        </w:numPr>
        <w:spacing w:line="360" w:lineRule="auto"/>
        <w:ind w:firstLine="600" w:firstLineChars="200"/>
        <w:rPr>
          <w:rFonts w:hint="eastAsia" w:ascii="Times New Roman" w:hAnsi="Times New Roman" w:eastAsia="黑体" w:cs="黑体"/>
          <w:bCs/>
          <w:color w:val="auto"/>
          <w:sz w:val="30"/>
          <w:szCs w:val="30"/>
          <w:highlight w:val="none"/>
        </w:rPr>
      </w:pPr>
      <w:r>
        <w:rPr>
          <w:rFonts w:hint="eastAsia" w:ascii="Times New Roman" w:hAnsi="Times New Roman" w:eastAsia="黑体" w:cs="黑体"/>
          <w:bCs/>
          <w:color w:val="auto"/>
          <w:sz w:val="30"/>
          <w:szCs w:val="30"/>
          <w:highlight w:val="none"/>
          <w:lang w:eastAsia="zh-CN"/>
        </w:rPr>
        <w:t>（</w:t>
      </w:r>
      <w:r>
        <w:rPr>
          <w:rFonts w:hint="eastAsia" w:ascii="Times New Roman" w:hAnsi="Times New Roman" w:eastAsia="黑体" w:cs="黑体"/>
          <w:bCs/>
          <w:color w:val="auto"/>
          <w:sz w:val="30"/>
          <w:szCs w:val="30"/>
          <w:highlight w:val="none"/>
          <w:lang w:val="en-US" w:eastAsia="zh-CN"/>
        </w:rPr>
        <w:t>二</w:t>
      </w:r>
      <w:r>
        <w:rPr>
          <w:rFonts w:hint="eastAsia" w:ascii="Times New Roman" w:hAnsi="Times New Roman" w:eastAsia="黑体" w:cs="黑体"/>
          <w:bCs/>
          <w:color w:val="auto"/>
          <w:sz w:val="30"/>
          <w:szCs w:val="30"/>
          <w:highlight w:val="none"/>
          <w:lang w:eastAsia="zh-CN"/>
        </w:rPr>
        <w:t>）</w:t>
      </w:r>
      <w:r>
        <w:rPr>
          <w:rFonts w:hint="eastAsia" w:ascii="Times New Roman" w:hAnsi="Times New Roman" w:eastAsia="黑体" w:cs="黑体"/>
          <w:bCs/>
          <w:color w:val="auto"/>
          <w:sz w:val="30"/>
          <w:szCs w:val="30"/>
          <w:highlight w:val="none"/>
        </w:rPr>
        <w:t>行业发展与人才需求</w:t>
      </w:r>
    </w:p>
    <w:p>
      <w:pPr>
        <w:numPr>
          <w:ilvl w:val="0"/>
          <w:numId w:val="0"/>
        </w:numPr>
        <w:spacing w:line="360" w:lineRule="auto"/>
        <w:ind w:firstLine="480" w:firstLineChars="200"/>
        <w:rPr>
          <w:rFonts w:hint="eastAsia" w:ascii="宋体" w:hAnsi="宋体" w:eastAsia="宋体" w:cs="宋体"/>
          <w:i w:val="0"/>
          <w:caps w:val="0"/>
          <w:color w:val="auto"/>
          <w:spacing w:val="0"/>
          <w:sz w:val="24"/>
          <w:szCs w:val="24"/>
          <w:highlight w:val="none"/>
          <w:shd w:val="clear" w:fill="FFFFFF"/>
          <w:lang w:val="en-US" w:eastAsia="zh-CN"/>
        </w:rPr>
      </w:pPr>
      <w:r>
        <w:rPr>
          <w:rFonts w:hint="eastAsia" w:ascii="宋体" w:hAnsi="宋体" w:eastAsia="宋体" w:cs="宋体"/>
          <w:i w:val="0"/>
          <w:caps w:val="0"/>
          <w:color w:val="auto"/>
          <w:spacing w:val="0"/>
          <w:sz w:val="24"/>
          <w:szCs w:val="24"/>
          <w:highlight w:val="none"/>
          <w:shd w:val="clear" w:fill="FFFFFF"/>
        </w:rPr>
        <w:t>合成氨、尿素</w:t>
      </w:r>
      <w:r>
        <w:rPr>
          <w:rFonts w:hint="eastAsia" w:ascii="宋体" w:hAnsi="宋体" w:eastAsia="宋体" w:cs="宋体"/>
          <w:i w:val="0"/>
          <w:caps w:val="0"/>
          <w:color w:val="auto"/>
          <w:spacing w:val="0"/>
          <w:sz w:val="24"/>
          <w:szCs w:val="24"/>
          <w:highlight w:val="none"/>
          <w:shd w:val="clear" w:fill="FFFFFF"/>
          <w:lang w:val="en-US" w:eastAsia="zh-CN"/>
        </w:rPr>
        <w:t>系列</w:t>
      </w:r>
      <w:r>
        <w:rPr>
          <w:rFonts w:hint="eastAsia" w:ascii="宋体" w:hAnsi="宋体" w:eastAsia="宋体" w:cs="宋体"/>
          <w:i w:val="0"/>
          <w:caps w:val="0"/>
          <w:color w:val="auto"/>
          <w:spacing w:val="0"/>
          <w:sz w:val="24"/>
          <w:szCs w:val="24"/>
          <w:highlight w:val="none"/>
          <w:shd w:val="clear" w:fill="FFFFFF"/>
        </w:rPr>
        <w:t>产品经过“十一五”的快速发展，到十二五期间的后两年，合成氨、尿素产量开始下降。尤其是2017年和2018年，受环保政策的限产影响，合成氨、尿素、甲醇产品产量下降速度更快。到2018年底，全市行业规模以上企业有13户，营业收入111.7亿元，占全市规模以上企业营业收入的7.2%，排在煤炭、冶铸、装备制造之后，位列第四</w:t>
      </w:r>
      <w:r>
        <w:rPr>
          <w:rFonts w:hint="eastAsia" w:ascii="宋体" w:hAnsi="宋体" w:eastAsia="宋体" w:cs="宋体"/>
          <w:i w:val="0"/>
          <w:caps w:val="0"/>
          <w:color w:val="auto"/>
          <w:spacing w:val="0"/>
          <w:sz w:val="24"/>
          <w:szCs w:val="24"/>
          <w:highlight w:val="none"/>
          <w:shd w:val="clear" w:fill="FFFFFF"/>
          <w:lang w:eastAsia="zh-CN"/>
        </w:rPr>
        <w:t>，</w:t>
      </w:r>
      <w:r>
        <w:rPr>
          <w:rFonts w:hint="eastAsia" w:ascii="宋体" w:hAnsi="宋体" w:eastAsia="宋体" w:cs="宋体"/>
          <w:i w:val="0"/>
          <w:caps w:val="0"/>
          <w:color w:val="auto"/>
          <w:spacing w:val="0"/>
          <w:sz w:val="24"/>
          <w:szCs w:val="24"/>
          <w:highlight w:val="none"/>
          <w:shd w:val="clear" w:fill="FFFFFF"/>
          <w:lang w:val="en-US" w:eastAsia="zh-CN"/>
        </w:rPr>
        <w:t>但是</w:t>
      </w:r>
      <w:r>
        <w:rPr>
          <w:rFonts w:hint="eastAsia" w:ascii="宋体" w:hAnsi="宋体" w:eastAsia="宋体" w:cs="宋体"/>
          <w:i w:val="0"/>
          <w:caps w:val="0"/>
          <w:color w:val="auto"/>
          <w:spacing w:val="0"/>
          <w:sz w:val="24"/>
          <w:szCs w:val="24"/>
          <w:highlight w:val="none"/>
          <w:shd w:val="clear" w:fill="FFFFFF"/>
        </w:rPr>
        <w:t>煤化工产业仍是晋城的一个支柱产业</w:t>
      </w:r>
      <w:r>
        <w:rPr>
          <w:rFonts w:hint="eastAsia" w:ascii="宋体" w:hAnsi="宋体" w:eastAsia="宋体" w:cs="宋体"/>
          <w:i w:val="0"/>
          <w:caps w:val="0"/>
          <w:color w:val="auto"/>
          <w:spacing w:val="0"/>
          <w:sz w:val="24"/>
          <w:szCs w:val="24"/>
          <w:highlight w:val="none"/>
          <w:shd w:val="clear" w:fill="FFFFFF"/>
          <w:lang w:val="en-US" w:eastAsia="zh-CN"/>
        </w:rPr>
        <w:t>之一。</w:t>
      </w:r>
    </w:p>
    <w:p>
      <w:pPr>
        <w:numPr>
          <w:ilvl w:val="0"/>
          <w:numId w:val="0"/>
        </w:numPr>
        <w:spacing w:line="360" w:lineRule="auto"/>
        <w:ind w:firstLine="480" w:firstLineChars="200"/>
        <w:rPr>
          <w:rFonts w:hint="default" w:ascii="Times New Roman" w:hAnsi="Times New Roman"/>
          <w:b/>
          <w:bCs/>
          <w:color w:val="auto"/>
          <w:sz w:val="24"/>
          <w:highlight w:val="none"/>
          <w:lang w:val="en-US"/>
        </w:rPr>
      </w:pPr>
      <w:r>
        <w:rPr>
          <w:rFonts w:hint="eastAsia" w:ascii="Times New Roman" w:hAnsi="Times New Roman"/>
          <w:color w:val="auto"/>
          <w:sz w:val="24"/>
          <w:highlight w:val="none"/>
          <w:lang w:val="en-US" w:eastAsia="zh-CN"/>
        </w:rPr>
        <w:t>在晋城职业技术学院领导支持下，借助中德合作办学的平台，组织专业教师</w:t>
      </w:r>
      <w:r>
        <w:rPr>
          <w:rFonts w:hint="eastAsia" w:ascii="Times New Roman" w:hAnsi="Times New Roman"/>
          <w:color w:val="auto"/>
          <w:sz w:val="24"/>
          <w:highlight w:val="none"/>
        </w:rPr>
        <w:t>对晋城市</w:t>
      </w:r>
      <w:r>
        <w:rPr>
          <w:rFonts w:hint="eastAsia" w:ascii="Times New Roman" w:hAnsi="Times New Roman"/>
          <w:color w:val="auto"/>
          <w:sz w:val="24"/>
          <w:highlight w:val="none"/>
          <w:lang w:val="en-US" w:eastAsia="zh-CN"/>
        </w:rPr>
        <w:t>兰花集团人力资源部，晋煤集团华昱煤化工等</w:t>
      </w:r>
      <w:r>
        <w:rPr>
          <w:rFonts w:hint="eastAsia" w:ascii="Times New Roman" w:hAnsi="Times New Roman"/>
          <w:color w:val="auto"/>
          <w:sz w:val="24"/>
          <w:highlight w:val="none"/>
        </w:rPr>
        <w:t>相关企业</w:t>
      </w:r>
      <w:r>
        <w:rPr>
          <w:rFonts w:hint="eastAsia" w:ascii="Times New Roman" w:hAnsi="Times New Roman"/>
          <w:color w:val="auto"/>
          <w:sz w:val="24"/>
          <w:highlight w:val="none"/>
          <w:lang w:val="en-US" w:eastAsia="zh-CN"/>
        </w:rPr>
        <w:t>进行走访调研，</w:t>
      </w:r>
      <w:r>
        <w:rPr>
          <w:rFonts w:hint="eastAsia" w:ascii="Times New Roman" w:hAnsi="Times New Roman"/>
          <w:color w:val="auto"/>
          <w:sz w:val="24"/>
          <w:highlight w:val="none"/>
        </w:rPr>
        <w:t>了解到晋城煤化工</w:t>
      </w:r>
      <w:r>
        <w:rPr>
          <w:rFonts w:hint="eastAsia" w:ascii="Times New Roman" w:hAnsi="Times New Roman"/>
          <w:color w:val="auto"/>
          <w:sz w:val="24"/>
          <w:highlight w:val="none"/>
          <w:lang w:val="en-US" w:eastAsia="zh-CN"/>
        </w:rPr>
        <w:t>行业以环境保护倒逼落后产能退出、转型传统产业升级，正紧锣密鼓上马诸如“气化岛”这样的推动高质量转型发展的新项目，这些新项目目前处于专题探讨阶段，等开工之后</w:t>
      </w:r>
      <w:r>
        <w:rPr>
          <w:rFonts w:hint="eastAsia" w:ascii="Times New Roman" w:hAnsi="Times New Roman"/>
          <w:color w:val="auto"/>
          <w:sz w:val="24"/>
          <w:highlight w:val="none"/>
        </w:rPr>
        <w:t>仍需要高技能人才担任</w:t>
      </w:r>
      <w:r>
        <w:rPr>
          <w:rFonts w:hint="eastAsia" w:ascii="Times New Roman" w:hAnsi="Times New Roman"/>
          <w:color w:val="auto"/>
          <w:sz w:val="24"/>
          <w:highlight w:val="none"/>
          <w:lang w:val="en-US" w:eastAsia="zh-CN"/>
        </w:rPr>
        <w:t>设备操作和</w:t>
      </w:r>
      <w:r>
        <w:rPr>
          <w:rFonts w:hint="eastAsia" w:ascii="Times New Roman" w:hAnsi="Times New Roman"/>
          <w:color w:val="auto"/>
          <w:sz w:val="24"/>
          <w:highlight w:val="none"/>
        </w:rPr>
        <w:t>技改</w:t>
      </w:r>
      <w:r>
        <w:rPr>
          <w:rFonts w:hint="eastAsia" w:ascii="Times New Roman" w:hAnsi="Times New Roman"/>
          <w:color w:val="auto"/>
          <w:sz w:val="24"/>
          <w:highlight w:val="none"/>
          <w:lang w:val="en-US" w:eastAsia="zh-CN"/>
        </w:rPr>
        <w:t>的</w:t>
      </w:r>
      <w:r>
        <w:rPr>
          <w:rFonts w:hint="eastAsia" w:ascii="Times New Roman" w:hAnsi="Times New Roman"/>
          <w:color w:val="auto"/>
          <w:sz w:val="24"/>
          <w:highlight w:val="none"/>
        </w:rPr>
        <w:t>重任</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lang w:val="en-US" w:eastAsia="zh-CN"/>
        </w:rPr>
        <w:t>兰花</w:t>
      </w:r>
      <w:r>
        <w:rPr>
          <w:rFonts w:hint="eastAsia" w:ascii="Times New Roman" w:hAnsi="Times New Roman"/>
          <w:color w:val="auto"/>
          <w:sz w:val="24"/>
          <w:highlight w:val="none"/>
        </w:rPr>
        <w:t>人力资源部负责人提到</w:t>
      </w:r>
      <w:r>
        <w:rPr>
          <w:rFonts w:hint="eastAsia" w:ascii="Times New Roman" w:hAnsi="Times New Roman"/>
          <w:color w:val="auto"/>
          <w:sz w:val="24"/>
          <w:highlight w:val="none"/>
          <w:lang w:val="en-US" w:eastAsia="zh-CN"/>
        </w:rPr>
        <w:t>这些高技能人才一部分从在集团内部进行招考，有能力者居之，一部分从院校招聘，校园招聘对于新进</w:t>
      </w:r>
      <w:r>
        <w:rPr>
          <w:rFonts w:hint="eastAsia" w:ascii="Times New Roman" w:hAnsi="Times New Roman"/>
          <w:color w:val="auto"/>
          <w:sz w:val="24"/>
          <w:highlight w:val="none"/>
        </w:rPr>
        <w:t>高技能人才具体有四点要求：讲奉献精神、快速融入企业文化；动手能力强，不需要企业花费二、三年的时间进行培养；安全意识强，要把安全意识融入到点滴工作中。</w:t>
      </w:r>
      <w:r>
        <w:rPr>
          <w:rFonts w:hint="eastAsia" w:ascii="Times New Roman" w:hAnsi="Times New Roman"/>
          <w:color w:val="auto"/>
          <w:sz w:val="24"/>
          <w:highlight w:val="none"/>
          <w:lang w:val="en-US" w:eastAsia="zh-CN"/>
        </w:rPr>
        <w:t>晋煤集团华昱煤化工的负责人表示华昱煤化工是晋煤集团“高硫煤洁净利用循环经济工业园”项目的一个子项目，分三期实施建设，其中一期为高硫煤洁净利用年产百万吨清洁燃料项目。华昱作为一个年轻的企业</w:t>
      </w:r>
      <w:r>
        <w:rPr>
          <w:rFonts w:hint="eastAsia" w:ascii="Times New Roman" w:hAnsi="Times New Roman"/>
          <w:color w:val="auto"/>
          <w:sz w:val="24"/>
          <w:highlight w:val="none"/>
        </w:rPr>
        <w:t>需要大量高、初级技术人才和销售人才。</w:t>
      </w:r>
      <w:r>
        <w:rPr>
          <w:rFonts w:hint="eastAsia" w:ascii="Times New Roman" w:hAnsi="Times New Roman"/>
          <w:color w:val="auto"/>
          <w:sz w:val="24"/>
          <w:highlight w:val="none"/>
          <w:lang w:val="en-US" w:eastAsia="zh-CN"/>
        </w:rPr>
        <w:t>针对职业院校培养的初级技术人才要求在掌握基础知识和实操经验的前提下，必须有很高的安全意识、基本职业素养，要能踏实肯干，坚守枯燥的技术岗位。</w:t>
      </w:r>
    </w:p>
    <w:p>
      <w:pPr>
        <w:spacing w:line="360" w:lineRule="auto"/>
        <w:ind w:firstLine="600" w:firstLineChars="200"/>
        <w:rPr>
          <w:rFonts w:ascii="Times New Roman" w:hAnsi="Times New Roman" w:eastAsia="黑体" w:cs="黑体"/>
          <w:bCs/>
          <w:color w:val="auto"/>
          <w:sz w:val="30"/>
          <w:szCs w:val="30"/>
          <w:highlight w:val="none"/>
        </w:rPr>
      </w:pPr>
      <w:r>
        <w:rPr>
          <w:rFonts w:hint="eastAsia" w:ascii="Times New Roman" w:hAnsi="Times New Roman" w:eastAsia="黑体" w:cs="黑体"/>
          <w:bCs/>
          <w:color w:val="auto"/>
          <w:sz w:val="30"/>
          <w:szCs w:val="30"/>
          <w:highlight w:val="none"/>
        </w:rPr>
        <w:t>（三）区域专业对应的职业岗位分析</w:t>
      </w:r>
    </w:p>
    <w:p>
      <w:pPr>
        <w:spacing w:line="360" w:lineRule="auto"/>
        <w:ind w:left="120" w:leftChars="57" w:firstLine="480" w:firstLineChars="200"/>
        <w:rPr>
          <w:rFonts w:ascii="Times New Roman" w:hAnsi="Times New Roman"/>
          <w:color w:val="auto"/>
          <w:sz w:val="24"/>
          <w:highlight w:val="none"/>
        </w:rPr>
      </w:pPr>
      <w:r>
        <w:rPr>
          <w:rFonts w:hint="eastAsia" w:ascii="Times New Roman" w:hAnsi="Times New Roman"/>
          <w:color w:val="auto"/>
          <w:sz w:val="24"/>
          <w:highlight w:val="none"/>
        </w:rPr>
        <w:t>通过采取现场调研、问卷调查、与企业管理人员、技术骨干、一线工人及往届毕业生座谈讨论等形式，对晋城周边典型的大型化工企业进行调研，确定煤炭深加工与利用专业毕业生面向的职业岗位主要包括：化工生产操作（工艺运行控制）、化工产品检验（化工分析）、化工设备操作与维护、化工电器与自动化、化工产品营销、车间管理等岗位（图2.1、图2.2）。其中化工生产操作（工艺运行控制）、化工产品检验（化工分析）和化工设备操作与维护是目前企业的急需岗位。</w:t>
      </w:r>
    </w:p>
    <w:p>
      <w:pPr>
        <w:spacing w:line="360" w:lineRule="auto"/>
        <w:ind w:firstLine="480" w:firstLineChars="200"/>
        <w:rPr>
          <w:rFonts w:ascii="Times New Roman" w:hAnsi="Times New Roman" w:eastAsia="黑体"/>
          <w:color w:val="auto"/>
          <w:sz w:val="32"/>
          <w:szCs w:val="32"/>
          <w:highlight w:val="none"/>
        </w:rPr>
      </w:pPr>
      <w:r>
        <w:rPr>
          <w:rFonts w:hint="eastAsia" w:ascii="Times New Roman" w:hAnsi="Times New Roman"/>
          <w:color w:val="auto"/>
          <w:sz w:val="24"/>
          <w:highlight w:val="none"/>
        </w:rPr>
        <w:t>企业对于员工职业技能主要包括生产的操作技能、分析仪器的使用操作能力、设备的使用和维修能力。需要的职业素养包括职业规范、质量意识、安全意识和环保意识，还包括团队合作能力和交流沟通能力。</w:t>
      </w:r>
    </w:p>
    <w:p>
      <w:pPr>
        <w:spacing w:line="360" w:lineRule="auto"/>
        <w:ind w:left="120" w:leftChars="57" w:firstLine="480" w:firstLineChars="200"/>
        <w:rPr>
          <w:rFonts w:ascii="Times New Roman" w:hAnsi="Times New Roman"/>
          <w:color w:val="auto"/>
          <w:sz w:val="24"/>
          <w:highlight w:val="none"/>
        </w:rPr>
      </w:pPr>
    </w:p>
    <w:p>
      <w:pPr>
        <w:spacing w:line="360" w:lineRule="auto"/>
        <w:ind w:left="120" w:leftChars="57" w:firstLine="480" w:firstLineChars="200"/>
        <w:rPr>
          <w:rFonts w:ascii="Times New Roman" w:hAnsi="Times New Roman"/>
          <w:color w:val="auto"/>
          <w:sz w:val="24"/>
          <w:highlight w:val="none"/>
        </w:rPr>
      </w:pPr>
      <w:r>
        <w:rPr>
          <w:rFonts w:ascii="Times New Roman" w:hAnsi="Times New Roman"/>
          <w:color w:val="auto"/>
          <w:sz w:val="24"/>
          <w:highlight w:val="none"/>
        </w:rPr>
        <w:drawing>
          <wp:inline distT="0" distB="0" distL="0" distR="0">
            <wp:extent cx="4572000" cy="2743200"/>
            <wp:effectExtent l="4445" t="4445" r="14605" b="14605"/>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pPr>
        <w:spacing w:line="360" w:lineRule="auto"/>
        <w:ind w:firstLine="2400" w:firstLineChars="1000"/>
        <w:rPr>
          <w:rFonts w:ascii="Times New Roman" w:hAnsi="Times New Roman"/>
          <w:color w:val="auto"/>
          <w:sz w:val="24"/>
          <w:highlight w:val="none"/>
        </w:rPr>
      </w:pPr>
      <w:r>
        <w:rPr>
          <w:rFonts w:hint="eastAsia" w:ascii="Times New Roman" w:hAnsi="Times New Roman"/>
          <w:color w:val="auto"/>
          <w:sz w:val="24"/>
          <w:highlight w:val="none"/>
        </w:rPr>
        <w:t>图2.1</w:t>
      </w:r>
      <w:r>
        <w:rPr>
          <w:rFonts w:hint="eastAsia" w:ascii="Times New Roman" w:hAnsi="Times New Roman"/>
          <w:color w:val="auto"/>
          <w:kern w:val="0"/>
          <w:sz w:val="24"/>
          <w:highlight w:val="none"/>
        </w:rPr>
        <w:t>化工企业岗位设置结构图</w:t>
      </w:r>
    </w:p>
    <w:p>
      <w:pPr>
        <w:spacing w:line="360" w:lineRule="auto"/>
        <w:rPr>
          <w:rFonts w:ascii="Times New Roman" w:hAnsi="Times New Roman"/>
          <w:color w:val="auto"/>
          <w:sz w:val="24"/>
          <w:highlight w:val="none"/>
        </w:rPr>
      </w:pPr>
    </w:p>
    <w:p>
      <w:pPr>
        <w:spacing w:line="360" w:lineRule="auto"/>
        <w:ind w:left="120" w:leftChars="57" w:firstLine="420" w:firstLineChars="200"/>
        <w:rPr>
          <w:rFonts w:ascii="Times New Roman" w:hAnsi="Times New Roman"/>
          <w:color w:val="auto"/>
          <w:sz w:val="24"/>
          <w:highlight w:val="none"/>
        </w:rPr>
      </w:pPr>
      <w:r>
        <w:rPr>
          <w:rFonts w:ascii="Times New Roman" w:hAnsi="Times New Roman"/>
          <w:color w:val="auto"/>
          <w:highlight w:val="none"/>
        </w:rPr>
        <w:drawing>
          <wp:inline distT="0" distB="0" distL="0" distR="0">
            <wp:extent cx="4572000" cy="2743200"/>
            <wp:effectExtent l="4445" t="4445" r="14605" b="14605"/>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pPr>
        <w:spacing w:line="360" w:lineRule="auto"/>
        <w:ind w:left="120" w:leftChars="57" w:firstLine="480" w:firstLineChars="200"/>
        <w:rPr>
          <w:rFonts w:ascii="Times New Roman" w:hAnsi="Times New Roman"/>
          <w:color w:val="auto"/>
          <w:sz w:val="24"/>
          <w:highlight w:val="none"/>
        </w:rPr>
      </w:pPr>
      <w:r>
        <w:rPr>
          <w:rFonts w:hint="eastAsia" w:ascii="Times New Roman" w:hAnsi="Times New Roman"/>
          <w:color w:val="auto"/>
          <w:sz w:val="24"/>
          <w:highlight w:val="none"/>
        </w:rPr>
        <w:t xml:space="preserve">       图2.2   </w:t>
      </w:r>
      <w:r>
        <w:rPr>
          <w:rFonts w:ascii="Times New Roman" w:hAnsi="Times New Roman"/>
          <w:color w:val="auto"/>
          <w:sz w:val="24"/>
          <w:highlight w:val="none"/>
        </w:rPr>
        <w:t>化工企业生产岗位人员配置比例图</w:t>
      </w:r>
    </w:p>
    <w:p>
      <w:pPr>
        <w:spacing w:line="360" w:lineRule="auto"/>
        <w:ind w:firstLine="600" w:firstLineChars="200"/>
        <w:rPr>
          <w:rFonts w:ascii="Times New Roman" w:hAnsi="Times New Roman" w:eastAsia="黑体" w:cs="黑体"/>
          <w:bCs/>
          <w:color w:val="auto"/>
          <w:sz w:val="30"/>
          <w:szCs w:val="30"/>
          <w:highlight w:val="none"/>
        </w:rPr>
      </w:pPr>
      <w:r>
        <w:rPr>
          <w:rFonts w:hint="eastAsia" w:ascii="Times New Roman" w:hAnsi="Times New Roman" w:eastAsia="黑体" w:cs="黑体"/>
          <w:bCs/>
          <w:color w:val="auto"/>
          <w:sz w:val="30"/>
          <w:szCs w:val="30"/>
          <w:highlight w:val="none"/>
        </w:rPr>
        <w:t>（四）人才结构分析</w:t>
      </w:r>
    </w:p>
    <w:p>
      <w:pPr>
        <w:spacing w:line="360" w:lineRule="auto"/>
        <w:ind w:firstLine="480" w:firstLineChars="200"/>
        <w:rPr>
          <w:rFonts w:ascii="Times New Roman" w:hAnsi="Times New Roman"/>
          <w:color w:val="auto"/>
          <w:sz w:val="24"/>
          <w:highlight w:val="none"/>
        </w:rPr>
      </w:pPr>
      <w:bookmarkStart w:id="18" w:name="_Toc339985610"/>
      <w:bookmarkStart w:id="19" w:name="_Toc341338639"/>
      <w:bookmarkStart w:id="20" w:name="_Toc339913809"/>
      <w:r>
        <w:rPr>
          <w:rFonts w:hint="eastAsia" w:ascii="Times New Roman" w:hAnsi="Times New Roman"/>
          <w:color w:val="auto"/>
          <w:sz w:val="24"/>
          <w:highlight w:val="none"/>
        </w:rPr>
        <w:t>在学术委员会的支持下，对晋城市洗煤厂、化工厂相关企业职业结构进行调查，调查情况包括：就业前最高学历、是否受过培训、目前具有的专业技术职称和岗位资格证书等。在目前的人才结构分析中存在以下问题：</w:t>
      </w:r>
    </w:p>
    <w:p>
      <w:pPr>
        <w:spacing w:line="360" w:lineRule="auto"/>
        <w:ind w:firstLine="360" w:firstLineChars="150"/>
        <w:rPr>
          <w:rFonts w:ascii="Times New Roman" w:hAnsi="Times New Roman"/>
          <w:color w:val="auto"/>
          <w:sz w:val="24"/>
          <w:highlight w:val="none"/>
        </w:rPr>
      </w:pPr>
      <w:r>
        <w:rPr>
          <w:rFonts w:hint="eastAsia" w:ascii="Times New Roman" w:hAnsi="Times New Roman"/>
          <w:color w:val="auto"/>
          <w:sz w:val="24"/>
          <w:highlight w:val="none"/>
        </w:rPr>
        <w:t>1</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从业人员整体文化素质水平不容乐观；</w:t>
      </w:r>
    </w:p>
    <w:p>
      <w:pPr>
        <w:spacing w:line="360" w:lineRule="auto"/>
        <w:ind w:firstLine="360" w:firstLineChars="150"/>
        <w:rPr>
          <w:rFonts w:ascii="Times New Roman" w:hAnsi="Times New Roman"/>
          <w:color w:val="auto"/>
          <w:sz w:val="24"/>
          <w:highlight w:val="none"/>
        </w:rPr>
      </w:pPr>
      <w:r>
        <w:rPr>
          <w:rFonts w:hint="eastAsia" w:ascii="Times New Roman" w:hAnsi="Times New Roman"/>
          <w:color w:val="auto"/>
          <w:sz w:val="24"/>
          <w:highlight w:val="none"/>
        </w:rPr>
        <w:t>2</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行业员工结构有待改善；</w:t>
      </w:r>
    </w:p>
    <w:p>
      <w:pPr>
        <w:spacing w:line="360" w:lineRule="auto"/>
        <w:ind w:firstLine="360" w:firstLineChars="150"/>
        <w:rPr>
          <w:rFonts w:ascii="Times New Roman" w:hAnsi="Times New Roman"/>
          <w:color w:val="auto"/>
          <w:sz w:val="24"/>
          <w:highlight w:val="none"/>
        </w:rPr>
      </w:pPr>
      <w:r>
        <w:rPr>
          <w:rFonts w:hint="eastAsia" w:ascii="Times New Roman" w:hAnsi="Times New Roman"/>
          <w:color w:val="auto"/>
          <w:sz w:val="24"/>
          <w:highlight w:val="none"/>
        </w:rPr>
        <w:t>3</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高级技能人员严重不足；</w:t>
      </w:r>
    </w:p>
    <w:p>
      <w:pPr>
        <w:spacing w:line="360" w:lineRule="auto"/>
        <w:ind w:firstLine="360" w:firstLineChars="150"/>
        <w:rPr>
          <w:rFonts w:ascii="Times New Roman" w:hAnsi="Times New Roman"/>
          <w:color w:val="auto"/>
          <w:sz w:val="24"/>
          <w:highlight w:val="none"/>
        </w:rPr>
      </w:pPr>
      <w:r>
        <w:rPr>
          <w:rFonts w:hint="eastAsia" w:ascii="Times New Roman" w:hAnsi="Times New Roman"/>
          <w:color w:val="auto"/>
          <w:sz w:val="24"/>
          <w:highlight w:val="none"/>
        </w:rPr>
        <w:t>4</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从业人员中对口毕业的煤炭深加工与利用专业人才所占比例不高；</w:t>
      </w:r>
    </w:p>
    <w:p>
      <w:pPr>
        <w:spacing w:line="360" w:lineRule="auto"/>
        <w:ind w:firstLine="360" w:firstLineChars="150"/>
        <w:rPr>
          <w:rFonts w:ascii="Times New Roman" w:hAnsi="Times New Roman"/>
          <w:color w:val="auto"/>
          <w:sz w:val="24"/>
          <w:highlight w:val="none"/>
        </w:rPr>
      </w:pPr>
      <w:r>
        <w:rPr>
          <w:rFonts w:hint="eastAsia" w:ascii="Times New Roman" w:hAnsi="Times New Roman"/>
          <w:color w:val="auto"/>
          <w:sz w:val="24"/>
          <w:highlight w:val="none"/>
        </w:rPr>
        <w:t>5</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从业人员培训欠佳，有待于加强。</w:t>
      </w:r>
    </w:p>
    <w:p>
      <w:pPr>
        <w:pStyle w:val="3"/>
        <w:snapToGrid w:val="0"/>
        <w:spacing w:before="0" w:after="0" w:line="360" w:lineRule="auto"/>
        <w:ind w:firstLine="640" w:firstLineChars="200"/>
        <w:rPr>
          <w:rFonts w:ascii="Times New Roman" w:hAnsi="Times New Roman"/>
          <w:b w:val="0"/>
          <w:bCs/>
          <w:color w:val="auto"/>
          <w:highlight w:val="none"/>
        </w:rPr>
      </w:pPr>
      <w:bookmarkStart w:id="21" w:name="_Toc16000"/>
      <w:r>
        <w:rPr>
          <w:rFonts w:hint="eastAsia" w:ascii="Times New Roman" w:hAnsi="Times New Roman"/>
          <w:b w:val="0"/>
          <w:bCs/>
          <w:color w:val="auto"/>
          <w:highlight w:val="none"/>
        </w:rPr>
        <w:t>三、专业现状调研</w:t>
      </w:r>
      <w:bookmarkEnd w:id="18"/>
      <w:bookmarkEnd w:id="19"/>
      <w:bookmarkEnd w:id="20"/>
      <w:bookmarkEnd w:id="21"/>
    </w:p>
    <w:p>
      <w:pPr>
        <w:spacing w:line="360" w:lineRule="auto"/>
        <w:ind w:firstLine="480" w:firstLineChars="200"/>
        <w:rPr>
          <w:rFonts w:ascii="Times New Roman" w:hAnsi="Times New Roman"/>
          <w:color w:val="auto"/>
          <w:sz w:val="24"/>
          <w:highlight w:val="none"/>
        </w:rPr>
      </w:pPr>
      <w:r>
        <w:rPr>
          <w:rFonts w:ascii="Times New Roman" w:hAnsi="Times New Roman"/>
          <w:color w:val="auto"/>
          <w:sz w:val="24"/>
          <w:highlight w:val="none"/>
        </w:rPr>
        <w:t>根据教育部2017年教育金秋系列发布会</w:t>
      </w:r>
      <w:r>
        <w:rPr>
          <w:rFonts w:hint="eastAsia" w:ascii="Times New Roman" w:hAnsi="Times New Roman"/>
          <w:color w:val="auto"/>
          <w:sz w:val="24"/>
          <w:highlight w:val="none"/>
        </w:rPr>
        <w:t>上</w:t>
      </w:r>
      <w:r>
        <w:rPr>
          <w:rFonts w:ascii="Times New Roman" w:hAnsi="Times New Roman"/>
          <w:color w:val="auto"/>
          <w:sz w:val="24"/>
          <w:highlight w:val="none"/>
        </w:rPr>
        <w:t>教育部职成司司长王继平介绍了职业教育国家教学标准体系建设总体情况，全国共有职业院校</w:t>
      </w:r>
      <w:r>
        <w:rPr>
          <w:rFonts w:ascii="Times New Roman" w:hAnsi="Times New Roman"/>
          <w:bCs/>
          <w:color w:val="auto"/>
          <w:sz w:val="24"/>
          <w:highlight w:val="none"/>
        </w:rPr>
        <w:t>1.23万所</w:t>
      </w:r>
      <w:r>
        <w:rPr>
          <w:rFonts w:ascii="Times New Roman" w:hAnsi="Times New Roman"/>
          <w:color w:val="auto"/>
          <w:sz w:val="24"/>
          <w:highlight w:val="none"/>
        </w:rPr>
        <w:t>，年招生</w:t>
      </w:r>
      <w:r>
        <w:rPr>
          <w:rFonts w:ascii="Times New Roman" w:hAnsi="Times New Roman"/>
          <w:bCs/>
          <w:color w:val="auto"/>
          <w:sz w:val="24"/>
          <w:highlight w:val="none"/>
        </w:rPr>
        <w:t>930.78万人</w:t>
      </w:r>
      <w:r>
        <w:rPr>
          <w:rFonts w:ascii="Times New Roman" w:hAnsi="Times New Roman"/>
          <w:color w:val="auto"/>
          <w:sz w:val="24"/>
          <w:highlight w:val="none"/>
        </w:rPr>
        <w:t>，在校生</w:t>
      </w:r>
      <w:r>
        <w:rPr>
          <w:rFonts w:ascii="Times New Roman" w:hAnsi="Times New Roman"/>
          <w:bCs/>
          <w:color w:val="auto"/>
          <w:sz w:val="24"/>
          <w:highlight w:val="none"/>
        </w:rPr>
        <w:t>2680.21万人</w:t>
      </w:r>
      <w:r>
        <w:rPr>
          <w:rFonts w:ascii="Times New Roman" w:hAnsi="Times New Roman"/>
          <w:color w:val="auto"/>
          <w:sz w:val="24"/>
          <w:highlight w:val="none"/>
        </w:rPr>
        <w:t>。全国职业院校共开设近千个专业、近10万个专业点</w:t>
      </w:r>
      <w:r>
        <w:rPr>
          <w:rFonts w:hint="eastAsia" w:ascii="Times New Roman" w:hAnsi="Times New Roman"/>
          <w:color w:val="auto"/>
          <w:sz w:val="24"/>
          <w:highlight w:val="none"/>
        </w:rPr>
        <w:t>。据山西省职业教育网2019公布（表2.</w:t>
      </w:r>
      <w:r>
        <w:rPr>
          <w:rFonts w:hint="eastAsia" w:ascii="Times New Roman" w:hAnsi="Times New Roman"/>
          <w:color w:val="auto"/>
          <w:sz w:val="24"/>
          <w:highlight w:val="none"/>
          <w:lang w:val="en-US" w:eastAsia="zh-CN"/>
        </w:rPr>
        <w:t>1</w:t>
      </w:r>
      <w:r>
        <w:rPr>
          <w:rFonts w:hint="eastAsia" w:ascii="Times New Roman" w:hAnsi="Times New Roman"/>
          <w:color w:val="auto"/>
          <w:sz w:val="24"/>
          <w:highlight w:val="none"/>
        </w:rPr>
        <w:t>），山西省独立设置的高职高专院校50所，2018年高职(专科)招生9.02万人，在校生26.26万人，规模占高等教育总规模的34.3%。全省中高职院校共开设3230个专业点，涉及农林水利、资源环境、交通运输、装备制造、信息技术、医药卫生、文化艺术、旅游服务等19个专业大类，基本覆盖我省经济社会发展所有领域。全省建设12所省级高职示范校，30所中等职业学校和5所高等职业院校进入国家示范校项目建设行列，国家级、省级重点中职学校分别达到58所和118所。</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2015 年，山西省独立高职院校共设置1004 个专业点，校均 21 个专业点，布点数位居前五位的是晋中职业技术学院、山西职业技术学院、运城职业技术学院、晋城职业技术学院、山西建筑职业技术学院。其中，晋中职业技术学院布点最多为42个，占布点总数的4.18%；阳泉职业技术学院最少为6个，占布点总数的0.6%，详见表2.</w:t>
      </w:r>
      <w:r>
        <w:rPr>
          <w:rFonts w:hint="eastAsia" w:ascii="Times New Roman" w:hAnsi="Times New Roman"/>
          <w:color w:val="auto"/>
          <w:sz w:val="24"/>
          <w:highlight w:val="none"/>
          <w:lang w:val="en-US" w:eastAsia="zh-CN"/>
        </w:rPr>
        <w:t>2</w:t>
      </w:r>
      <w:r>
        <w:rPr>
          <w:rFonts w:hint="eastAsia" w:ascii="Times New Roman" w:hAnsi="Times New Roman"/>
          <w:color w:val="auto"/>
          <w:sz w:val="24"/>
          <w:highlight w:val="none"/>
        </w:rPr>
        <w:t>。</w:t>
      </w:r>
    </w:p>
    <w:p>
      <w:pPr>
        <w:spacing w:line="360" w:lineRule="auto"/>
        <w:ind w:firstLine="2160" w:firstLineChars="900"/>
        <w:rPr>
          <w:rFonts w:ascii="Times New Roman" w:hAnsi="Times New Roman"/>
          <w:color w:val="auto"/>
          <w:sz w:val="24"/>
          <w:highlight w:val="none"/>
        </w:rPr>
      </w:pPr>
      <w:r>
        <w:rPr>
          <w:rFonts w:hint="eastAsia" w:ascii="Times New Roman" w:hAnsi="Times New Roman"/>
          <w:color w:val="auto"/>
          <w:sz w:val="24"/>
          <w:highlight w:val="none"/>
        </w:rPr>
        <w:t>表2.</w:t>
      </w:r>
      <w:r>
        <w:rPr>
          <w:rFonts w:hint="eastAsia" w:ascii="Times New Roman" w:hAnsi="Times New Roman"/>
          <w:color w:val="auto"/>
          <w:sz w:val="24"/>
          <w:highlight w:val="none"/>
          <w:lang w:val="en-US" w:eastAsia="zh-CN"/>
        </w:rPr>
        <w:t>1</w:t>
      </w:r>
      <w:r>
        <w:rPr>
          <w:rFonts w:hint="eastAsia" w:ascii="Times New Roman" w:hAnsi="Times New Roman"/>
          <w:color w:val="auto"/>
          <w:sz w:val="24"/>
          <w:highlight w:val="none"/>
        </w:rPr>
        <w:t xml:space="preserve">     山西省高职专业大类分布情况</w:t>
      </w:r>
    </w:p>
    <w:tbl>
      <w:tblPr>
        <w:tblStyle w:val="1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1673"/>
        <w:gridCol w:w="1065"/>
        <w:gridCol w:w="1065"/>
        <w:gridCol w:w="1065"/>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序号</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专业大类</w:t>
            </w:r>
          </w:p>
        </w:tc>
        <w:tc>
          <w:tcPr>
            <w:tcW w:w="1065"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专业数</w:t>
            </w:r>
          </w:p>
        </w:tc>
        <w:tc>
          <w:tcPr>
            <w:tcW w:w="1065"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比例</w:t>
            </w:r>
            <w:r>
              <w:rPr>
                <w:rFonts w:hint="eastAsia" w:ascii="Times New Roman" w:hAnsi="Times New Roman"/>
                <w:color w:val="auto"/>
                <w:sz w:val="21"/>
                <w:szCs w:val="21"/>
                <w:highlight w:val="none"/>
              </w:rPr>
              <w:t>（%）</w:t>
            </w:r>
          </w:p>
        </w:tc>
        <w:tc>
          <w:tcPr>
            <w:tcW w:w="1065"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专业点数</w:t>
            </w:r>
          </w:p>
        </w:tc>
        <w:tc>
          <w:tcPr>
            <w:tcW w:w="1065"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比例</w:t>
            </w:r>
            <w:r>
              <w:rPr>
                <w:rFonts w:hint="eastAsia" w:ascii="Times New Roman" w:hAnsi="Times New Roman"/>
                <w:color w:val="auto"/>
                <w:sz w:val="21"/>
                <w:szCs w:val="21"/>
                <w:highlight w:val="none"/>
              </w:rPr>
              <w:t>（%）</w:t>
            </w:r>
          </w:p>
        </w:tc>
        <w:tc>
          <w:tcPr>
            <w:tcW w:w="106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开设院校数</w:t>
            </w:r>
          </w:p>
        </w:tc>
        <w:tc>
          <w:tcPr>
            <w:tcW w:w="106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比例</w:t>
            </w:r>
            <w:r>
              <w:rPr>
                <w:rFonts w:hint="eastAsia" w:ascii="Times New Roman" w:hAnsi="Times New Roman"/>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农林牧渔</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17</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5.23</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35</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3.49</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交通运输</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16</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4.92</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23</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2.29</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13</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生化与药品</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3.38</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27</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2.69</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10</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资源开发与测绘</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23</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7.08</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74</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7.37</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材料</w:t>
            </w:r>
            <w:r>
              <w:rPr>
                <w:rFonts w:hint="eastAsia" w:ascii="Times New Roman" w:hAnsi="Times New Roman"/>
                <w:color w:val="auto"/>
                <w:sz w:val="21"/>
                <w:szCs w:val="21"/>
                <w:highlight w:val="none"/>
              </w:rPr>
              <w:t>与</w:t>
            </w:r>
            <w:r>
              <w:rPr>
                <w:rFonts w:ascii="Times New Roman" w:hAnsi="Times New Roman"/>
                <w:color w:val="auto"/>
                <w:sz w:val="21"/>
                <w:szCs w:val="21"/>
                <w:highlight w:val="none"/>
              </w:rPr>
              <w:t>能源</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6.15</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32</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3.19</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土建</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7.69</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92</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9.16</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水利</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2.77</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0.90</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制造</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7.69</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112</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11.16</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24</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电子信息</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28</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8.62</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116</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11.55</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37</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10</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环保</w:t>
            </w:r>
            <w:r>
              <w:rPr>
                <w:rFonts w:hint="eastAsia" w:ascii="Times New Roman" w:hAnsi="Times New Roman"/>
                <w:color w:val="auto"/>
                <w:sz w:val="21"/>
                <w:szCs w:val="21"/>
                <w:highlight w:val="none"/>
              </w:rPr>
              <w:t>、</w:t>
            </w:r>
            <w:r>
              <w:rPr>
                <w:rFonts w:ascii="Times New Roman" w:hAnsi="Times New Roman"/>
                <w:color w:val="auto"/>
                <w:sz w:val="21"/>
                <w:szCs w:val="21"/>
                <w:highlight w:val="none"/>
              </w:rPr>
              <w:t>气象与安全</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1.23</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0.90</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轻纺食品</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2.46</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18</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1.79</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财经</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27</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8.31</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145</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14.44</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38</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13</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医药卫生</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3.69</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35</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3.49</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14</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旅游</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3.69</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67</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6.67</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29</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15</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公共事业</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2.15</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0.90</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16</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文化教育</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37</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11.38</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106</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10.56</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26</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17</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艺术设计传媒</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29</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8.92</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76</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7.57</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28</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18</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公安</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3.38</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1.20</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w:t>
            </w:r>
          </w:p>
        </w:tc>
        <w:tc>
          <w:tcPr>
            <w:tcW w:w="167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法律</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1.54</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w:t>
            </w:r>
          </w:p>
        </w:tc>
        <w:tc>
          <w:tcPr>
            <w:tcW w:w="1065"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0.70</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w:t>
            </w:r>
          </w:p>
        </w:tc>
        <w:tc>
          <w:tcPr>
            <w:tcW w:w="106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10.42</w:t>
            </w:r>
          </w:p>
        </w:tc>
      </w:tr>
    </w:tbl>
    <w:p>
      <w:pPr>
        <w:spacing w:line="360" w:lineRule="auto"/>
        <w:ind w:firstLine="1680" w:firstLineChars="700"/>
        <w:rPr>
          <w:rFonts w:ascii="Times New Roman" w:hAnsi="Times New Roman"/>
          <w:color w:val="auto"/>
          <w:sz w:val="24"/>
          <w:highlight w:val="none"/>
        </w:rPr>
      </w:pPr>
    </w:p>
    <w:p>
      <w:pPr>
        <w:spacing w:line="360" w:lineRule="auto"/>
        <w:ind w:firstLine="2400" w:firstLineChars="1000"/>
        <w:rPr>
          <w:rFonts w:ascii="Times New Roman" w:hAnsi="Times New Roman"/>
          <w:color w:val="auto"/>
          <w:sz w:val="24"/>
          <w:highlight w:val="none"/>
        </w:rPr>
      </w:pPr>
      <w:r>
        <w:rPr>
          <w:rFonts w:hint="eastAsia" w:ascii="Times New Roman" w:hAnsi="Times New Roman"/>
          <w:color w:val="auto"/>
          <w:sz w:val="24"/>
          <w:highlight w:val="none"/>
        </w:rPr>
        <w:t>表</w:t>
      </w:r>
      <w:r>
        <w:rPr>
          <w:rFonts w:ascii="Times New Roman" w:hAnsi="Times New Roman" w:cs="Times New Roman"/>
          <w:color w:val="auto"/>
          <w:sz w:val="24"/>
          <w:highlight w:val="none"/>
        </w:rPr>
        <w:t>2.</w:t>
      </w:r>
      <w:r>
        <w:rPr>
          <w:rFonts w:hint="eastAsia" w:ascii="Times New Roman" w:hAnsi="Times New Roman" w:cs="Times New Roman"/>
          <w:color w:val="auto"/>
          <w:sz w:val="24"/>
          <w:highlight w:val="none"/>
          <w:lang w:val="en-US" w:eastAsia="zh-CN"/>
        </w:rPr>
        <w:t>2</w:t>
      </w:r>
      <w:r>
        <w:rPr>
          <w:rFonts w:hint="eastAsia" w:ascii="Times New Roman" w:hAnsi="Times New Roman"/>
          <w:color w:val="auto"/>
          <w:sz w:val="24"/>
          <w:highlight w:val="none"/>
        </w:rPr>
        <w:t xml:space="preserve"> 山西省高职专业院校分布情况</w:t>
      </w:r>
    </w:p>
    <w:tbl>
      <w:tblPr>
        <w:tblStyle w:val="16"/>
        <w:tblpPr w:leftFromText="180" w:rightFromText="180" w:vertAnchor="text" w:horzAnchor="page" w:tblpXSpec="center" w:tblpY="505"/>
        <w:tblOverlap w:val="never"/>
        <w:tblW w:w="7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3196"/>
        <w:gridCol w:w="992"/>
        <w:gridCol w:w="993"/>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序号</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学校名称</w:t>
            </w:r>
          </w:p>
        </w:tc>
        <w:tc>
          <w:tcPr>
            <w:tcW w:w="992"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专业点数</w:t>
            </w:r>
          </w:p>
        </w:tc>
        <w:tc>
          <w:tcPr>
            <w:tcW w:w="993"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比例</w:t>
            </w:r>
            <w:r>
              <w:rPr>
                <w:rFonts w:hint="eastAsia" w:ascii="Times New Roman" w:hAnsi="Times New Roman"/>
                <w:color w:val="auto"/>
                <w:sz w:val="21"/>
                <w:szCs w:val="21"/>
                <w:highlight w:val="none"/>
              </w:rPr>
              <w:t>（%）</w:t>
            </w:r>
          </w:p>
        </w:tc>
        <w:tc>
          <w:tcPr>
            <w:tcW w:w="992"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专业数</w:t>
            </w:r>
          </w:p>
        </w:tc>
        <w:tc>
          <w:tcPr>
            <w:tcW w:w="1134"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比例</w:t>
            </w:r>
            <w:r>
              <w:rPr>
                <w:rFonts w:hint="eastAsia" w:ascii="Times New Roman" w:hAnsi="Times New Roman"/>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晋中职业技术学院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42</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4.18</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42</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山西职业技术</w:t>
            </w:r>
            <w:r>
              <w:rPr>
                <w:rFonts w:hint="eastAsia" w:ascii="Times New Roman" w:hAnsi="Times New Roman"/>
                <w:color w:val="auto"/>
                <w:sz w:val="21"/>
                <w:szCs w:val="21"/>
                <w:highlight w:val="none"/>
              </w:rPr>
              <w:t>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39</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3.88</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34</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运城职业技术学院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37</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3.69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36</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晋城职业技术学院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37</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3.69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35</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山西建筑职业技术学院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36</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3.59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31</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山西煤炭职业技术学院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36</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3.59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30</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长治职业技术学院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30</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2.99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28</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w:t>
            </w:r>
          </w:p>
        </w:tc>
        <w:tc>
          <w:tcPr>
            <w:tcW w:w="319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山</w:t>
            </w:r>
            <w:r>
              <w:rPr>
                <w:rFonts w:ascii="Times New Roman" w:hAnsi="Times New Roman"/>
                <w:color w:val="auto"/>
                <w:sz w:val="21"/>
                <w:szCs w:val="21"/>
                <w:highlight w:val="none"/>
              </w:rPr>
              <w:t>西交通职业技术学院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27</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2.69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27</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山西经贸职业学院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27</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2.69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27</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10</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山西机电职业技术学院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26</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26</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山西旅游职业学院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26</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山西工程职业技术学院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26</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13</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山西水利职业技术学院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2.49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14</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太原旅游职业学院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2.49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15</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忻州职业技术学院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24</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2.39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16</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山西轻工职业技术学院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24</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2.39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23</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17</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山西电力职业技术学院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24</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2.39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21</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18</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山西省财政</w:t>
            </w:r>
            <w:r>
              <w:rPr>
                <w:rFonts w:hint="eastAsia" w:ascii="Times New Roman" w:hAnsi="Times New Roman"/>
                <w:color w:val="auto"/>
                <w:sz w:val="21"/>
                <w:szCs w:val="21"/>
                <w:highlight w:val="none"/>
              </w:rPr>
              <w:t>税务</w:t>
            </w:r>
            <w:r>
              <w:rPr>
                <w:rFonts w:ascii="Times New Roman" w:hAnsi="Times New Roman"/>
                <w:color w:val="auto"/>
                <w:sz w:val="21"/>
                <w:szCs w:val="21"/>
                <w:highlight w:val="none"/>
              </w:rPr>
              <w:t>专科学校</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23</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2.29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23</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朔州职业技术学院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23</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2.29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22</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大同煤炭职业技术学院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23</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2.29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21</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21</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山西林业职业技术学院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22</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2.19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22</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山西同文职业技术学院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21</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21</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23</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山西信息职业技术学院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24</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太原城市职业技术学院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25</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w:t>
            </w:r>
            <w:r>
              <w:rPr>
                <w:rFonts w:hint="eastAsia" w:ascii="Times New Roman" w:hAnsi="Times New Roman"/>
                <w:color w:val="auto"/>
                <w:sz w:val="21"/>
                <w:szCs w:val="21"/>
                <w:highlight w:val="none"/>
              </w:rPr>
              <w:t>青年</w:t>
            </w:r>
            <w:r>
              <w:rPr>
                <w:rFonts w:ascii="Times New Roman" w:hAnsi="Times New Roman"/>
                <w:color w:val="auto"/>
                <w:sz w:val="21"/>
                <w:szCs w:val="21"/>
                <w:highlight w:val="none"/>
              </w:rPr>
              <w:t>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26</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山西药业职业学院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27</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山西金融职业学院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18</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28</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潞安职业技术学院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20</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14</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29</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临汾职业技术学院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1.89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30</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山西管理职业学院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1.89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19</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31</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朔州师范高等</w:t>
            </w:r>
            <w:r>
              <w:rPr>
                <w:rFonts w:hint="eastAsia" w:ascii="Times New Roman" w:hAnsi="Times New Roman"/>
                <w:color w:val="auto"/>
                <w:sz w:val="21"/>
                <w:szCs w:val="21"/>
                <w:highlight w:val="none"/>
              </w:rPr>
              <w:t>专科</w:t>
            </w:r>
            <w:r>
              <w:rPr>
                <w:rFonts w:ascii="Times New Roman" w:hAnsi="Times New Roman"/>
                <w:color w:val="auto"/>
                <w:sz w:val="21"/>
                <w:szCs w:val="21"/>
                <w:highlight w:val="none"/>
              </w:rPr>
              <w:t>学校</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18</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1.79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17</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32</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山西国际商务职业学院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18</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1.79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17</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33</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山西财贸职业技术学院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17</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1.69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17</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34</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山西戏曲职业学院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17</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1.69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15</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35</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山西运城农业职业技术学院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16</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1.59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15</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36</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晋中师范高等专科学校</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16</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1.59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14</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37</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山西华澳商贸职业学院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15</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1.49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15</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38</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山西艺术职业学院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13</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1.29</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13</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39</w:t>
            </w:r>
          </w:p>
        </w:tc>
        <w:tc>
          <w:tcPr>
            <w:tcW w:w="319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山</w:t>
            </w:r>
            <w:r>
              <w:rPr>
                <w:rFonts w:ascii="Times New Roman" w:hAnsi="Times New Roman"/>
                <w:color w:val="auto"/>
                <w:sz w:val="21"/>
                <w:szCs w:val="21"/>
                <w:highlight w:val="none"/>
              </w:rPr>
              <w:t>西警官高等专科学校</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1.20</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40</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运城师范高等专科学校</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1.20</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10</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41</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运城幼儿师范高等专科学校</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1.10</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10</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42</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山西体育职业学院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10</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1.00</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43</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山西老区职业技术学院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0.90</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44</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阳泉师范高等专科学校</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0.90</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9</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45</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吕梁职业技术学院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0.80</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46</w:t>
            </w:r>
          </w:p>
        </w:tc>
        <w:tc>
          <w:tcPr>
            <w:tcW w:w="319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山</w:t>
            </w:r>
            <w:r>
              <w:rPr>
                <w:rFonts w:ascii="Times New Roman" w:hAnsi="Times New Roman"/>
                <w:color w:val="auto"/>
                <w:sz w:val="21"/>
                <w:szCs w:val="21"/>
                <w:highlight w:val="none"/>
              </w:rPr>
              <w:t>西警官职业学院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0.80</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47</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运城护理职业学院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8</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0.80</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7</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48</w:t>
            </w:r>
          </w:p>
        </w:tc>
        <w:tc>
          <w:tcPr>
            <w:tcW w:w="3196" w:type="dxa"/>
          </w:tcPr>
          <w:p>
            <w:pPr>
              <w:spacing w:line="220" w:lineRule="atLeast"/>
              <w:jc w:val="center"/>
              <w:rPr>
                <w:rFonts w:ascii="Times New Roman" w:hAnsi="Times New Roman"/>
                <w:color w:val="auto"/>
                <w:sz w:val="21"/>
                <w:szCs w:val="21"/>
                <w:highlight w:val="none"/>
              </w:rPr>
            </w:pPr>
            <w:r>
              <w:rPr>
                <w:rFonts w:ascii="Times New Roman" w:hAnsi="Times New Roman"/>
                <w:color w:val="auto"/>
                <w:sz w:val="21"/>
                <w:szCs w:val="21"/>
                <w:highlight w:val="none"/>
              </w:rPr>
              <w:t>阳泉职业技术学院</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w:t>
            </w:r>
          </w:p>
        </w:tc>
        <w:tc>
          <w:tcPr>
            <w:tcW w:w="993"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0.60</w:t>
            </w:r>
          </w:p>
        </w:tc>
        <w:tc>
          <w:tcPr>
            <w:tcW w:w="992"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6</w:t>
            </w:r>
          </w:p>
        </w:tc>
        <w:tc>
          <w:tcPr>
            <w:tcW w:w="1134" w:type="dxa"/>
          </w:tcPr>
          <w:p>
            <w:pPr>
              <w:spacing w:line="220" w:lineRule="atLeast"/>
              <w:jc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1.85</w:t>
            </w:r>
          </w:p>
        </w:tc>
      </w:tr>
    </w:tbl>
    <w:p>
      <w:pPr>
        <w:spacing w:line="360" w:lineRule="auto"/>
        <w:ind w:firstLine="420" w:firstLineChars="200"/>
        <w:rPr>
          <w:rFonts w:ascii="Times New Roman" w:hAnsi="Times New Roman"/>
          <w:color w:val="auto"/>
          <w:szCs w:val="21"/>
          <w:highlight w:val="none"/>
        </w:rPr>
      </w:pPr>
      <w:r>
        <w:rPr>
          <w:rFonts w:hint="eastAsia" w:ascii="Times New Roman" w:hAnsi="Times New Roman"/>
          <w:color w:val="auto"/>
          <w:szCs w:val="21"/>
          <w:highlight w:val="none"/>
        </w:rPr>
        <w:t>（数据来源于晋城职业技术学院学报-山西省高职院校专业设置结构分析武建京）</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山西省职业院校开设有化工方向方向的专业有应用化工技术、煤化工技术、煤炭深加工与利用、精细化工技术、工业分析技术、化工装备技术六个专业，而煤炭深加工与利用专业，全省一共有</w:t>
      </w:r>
      <w:r>
        <w:rPr>
          <w:rFonts w:hint="eastAsia" w:ascii="Times New Roman" w:hAnsi="Times New Roman" w:eastAsia="宋体" w:cs="宋体"/>
          <w:color w:val="auto"/>
          <w:kern w:val="0"/>
          <w:sz w:val="24"/>
          <w:highlight w:val="none"/>
        </w:rPr>
        <w:t>吕梁职业技术学院、晋城职业技术学院、潞安职业技术学院、山西煤炭职业技术学院</w:t>
      </w:r>
      <w:r>
        <w:rPr>
          <w:rFonts w:hint="eastAsia" w:ascii="Times New Roman" w:hAnsi="Times New Roman"/>
          <w:color w:val="auto"/>
          <w:sz w:val="24"/>
          <w:highlight w:val="none"/>
        </w:rPr>
        <w:t>五所高职院校开设。</w:t>
      </w:r>
    </w:p>
    <w:p>
      <w:pPr>
        <w:spacing w:line="360" w:lineRule="auto"/>
        <w:ind w:firstLine="600" w:firstLineChars="200"/>
        <w:rPr>
          <w:rFonts w:ascii="Times New Roman" w:hAnsi="Times New Roman" w:eastAsia="黑体"/>
          <w:color w:val="auto"/>
          <w:sz w:val="24"/>
          <w:highlight w:val="none"/>
        </w:rPr>
      </w:pPr>
      <w:r>
        <w:rPr>
          <w:rFonts w:hint="eastAsia" w:ascii="Times New Roman" w:hAnsi="Times New Roman" w:eastAsia="黑体" w:cs="黑体"/>
          <w:bCs/>
          <w:color w:val="auto"/>
          <w:sz w:val="30"/>
          <w:szCs w:val="30"/>
          <w:highlight w:val="none"/>
        </w:rPr>
        <w:t>（二）专业历史</w:t>
      </w:r>
    </w:p>
    <w:p>
      <w:pPr>
        <w:autoSpaceDE w:val="0"/>
        <w:autoSpaceDN w:val="0"/>
        <w:spacing w:line="360" w:lineRule="auto"/>
        <w:ind w:firstLine="480" w:firstLineChars="200"/>
        <w:textAlignment w:val="baseline"/>
        <w:rPr>
          <w:rFonts w:ascii="Times New Roman" w:hAnsi="Times New Roman"/>
          <w:color w:val="auto"/>
          <w:sz w:val="24"/>
          <w:highlight w:val="none"/>
        </w:rPr>
      </w:pPr>
      <w:r>
        <w:rPr>
          <w:rFonts w:hint="eastAsia" w:ascii="Times New Roman" w:hAnsi="Times New Roman"/>
          <w:color w:val="auto"/>
          <w:sz w:val="24"/>
          <w:highlight w:val="none"/>
        </w:rPr>
        <w:t>晋城职业技术学院是晋城市委、市政府为适应晋城社会经济持续、快速、健康发展对应用型技术人才和管理人才的迫切需要而创办的一所全日制高等学校。根据晋城市经济发展的需要，2008年6月晋城职业技术学院化工系特申请煤炭深加工与利用专业。我们经过大量的调研与论证，以对高职煤炭深加工与利用人才的要求及本专业的发展趋势为依据，从我国高等职业教育的现状出发，确定了本专业的培养目标，并紧密围绕这一目标，借鉴国内外的有益经验，精心设计了本专业的教学计划，制订了完善的课程体系，提出了本专业应用型人才的培养模式。</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本专业</w:t>
      </w:r>
      <w:r>
        <w:rPr>
          <w:rFonts w:ascii="Times New Roman" w:hAnsi="Times New Roman"/>
          <w:color w:val="auto"/>
          <w:sz w:val="24"/>
          <w:highlight w:val="none"/>
        </w:rPr>
        <w:t>200</w:t>
      </w:r>
      <w:r>
        <w:rPr>
          <w:rFonts w:hint="eastAsia" w:ascii="Times New Roman" w:hAnsi="Times New Roman"/>
          <w:color w:val="auto"/>
          <w:sz w:val="24"/>
          <w:highlight w:val="none"/>
        </w:rPr>
        <w:t>9</w:t>
      </w:r>
      <w:r>
        <w:rPr>
          <w:rFonts w:ascii="Times New Roman" w:hAnsi="Times New Roman"/>
          <w:color w:val="auto"/>
          <w:sz w:val="24"/>
          <w:highlight w:val="none"/>
        </w:rPr>
        <w:t>年开始招生，</w:t>
      </w:r>
      <w:r>
        <w:rPr>
          <w:rFonts w:hint="eastAsia" w:ascii="Times New Roman" w:hAnsi="Times New Roman"/>
          <w:color w:val="auto"/>
          <w:sz w:val="24"/>
          <w:highlight w:val="none"/>
        </w:rPr>
        <w:t>在2013年招生人数高达148人，但是2017和2018两年的招生由于煤炭经济大形势的原因，招生人数有所下滑，急需紧随地方经济转型，修订人才培养方案，调整课程设置、适应招生就业新形势变化。经过十载春秋的打磨，2019年煤炭深加工与利用专业依托山西省重点专业建设项目和中德合作项目被定为中德合作培养专业，学习</w:t>
      </w:r>
      <w:r>
        <w:rPr>
          <w:rFonts w:ascii="Times New Roman" w:hAnsi="Times New Roman"/>
          <w:color w:val="auto"/>
          <w:sz w:val="24"/>
          <w:highlight w:val="none"/>
          <w:shd w:val="clear" w:color="auto" w:fill="FFFFFF"/>
        </w:rPr>
        <w:t>德国双元制职业教育模式</w:t>
      </w:r>
      <w:r>
        <w:rPr>
          <w:rFonts w:hint="eastAsia" w:ascii="Times New Roman" w:hAnsi="Times New Roman"/>
          <w:color w:val="auto"/>
          <w:sz w:val="24"/>
          <w:highlight w:val="none"/>
          <w:shd w:val="clear" w:color="auto" w:fill="FFFFFF"/>
        </w:rPr>
        <w:t>，注重学生实践技能的培养，目标打造企业需要的高素质高技能型人才，。</w:t>
      </w:r>
    </w:p>
    <w:p>
      <w:pPr>
        <w:spacing w:line="360" w:lineRule="auto"/>
        <w:ind w:firstLine="600" w:firstLineChars="200"/>
        <w:rPr>
          <w:rFonts w:ascii="Times New Roman" w:hAnsi="Times New Roman" w:eastAsia="黑体" w:cs="黑体"/>
          <w:bCs/>
          <w:color w:val="auto"/>
          <w:sz w:val="30"/>
          <w:szCs w:val="30"/>
          <w:highlight w:val="none"/>
        </w:rPr>
      </w:pPr>
      <w:r>
        <w:rPr>
          <w:rFonts w:hint="eastAsia" w:ascii="Times New Roman" w:hAnsi="Times New Roman" w:eastAsia="黑体" w:cs="黑体"/>
          <w:bCs/>
          <w:color w:val="auto"/>
          <w:sz w:val="30"/>
          <w:szCs w:val="30"/>
          <w:highlight w:val="none"/>
        </w:rPr>
        <w:t>（三）专业方向设置</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根据晋城区域化经济发展特点及相关企业对人才的需要，本专业设置煤炭洗选、煤质检测、煤气化方向。</w:t>
      </w:r>
    </w:p>
    <w:p>
      <w:pPr>
        <w:spacing w:line="360" w:lineRule="auto"/>
        <w:ind w:firstLine="600" w:firstLineChars="200"/>
        <w:rPr>
          <w:rFonts w:ascii="Times New Roman" w:hAnsi="Times New Roman" w:eastAsia="黑体" w:cs="黑体"/>
          <w:bCs/>
          <w:color w:val="auto"/>
          <w:sz w:val="30"/>
          <w:szCs w:val="30"/>
          <w:highlight w:val="none"/>
        </w:rPr>
      </w:pPr>
      <w:r>
        <w:rPr>
          <w:rFonts w:hint="eastAsia" w:ascii="Times New Roman" w:hAnsi="Times New Roman" w:eastAsia="黑体" w:cs="黑体"/>
          <w:bCs/>
          <w:color w:val="auto"/>
          <w:sz w:val="30"/>
          <w:szCs w:val="30"/>
          <w:highlight w:val="none"/>
        </w:rPr>
        <w:t>（四）专业就业优势</w:t>
      </w:r>
    </w:p>
    <w:p>
      <w:pPr>
        <w:autoSpaceDE w:val="0"/>
        <w:autoSpaceDN w:val="0"/>
        <w:spacing w:line="420" w:lineRule="exact"/>
        <w:ind w:firstLine="480" w:firstLineChars="200"/>
        <w:textAlignment w:val="baseline"/>
        <w:rPr>
          <w:rFonts w:ascii="Times New Roman" w:hAnsi="Times New Roman" w:eastAsiaTheme="majorEastAsia" w:cstheme="majorEastAsia"/>
          <w:color w:val="auto"/>
          <w:sz w:val="24"/>
          <w:highlight w:val="none"/>
          <w:lang w:val="zh-CN"/>
        </w:rPr>
      </w:pPr>
      <w:r>
        <w:rPr>
          <w:rFonts w:hint="eastAsia" w:ascii="Times New Roman" w:hAnsi="Times New Roman" w:eastAsiaTheme="majorEastAsia" w:cstheme="majorEastAsia"/>
          <w:color w:val="auto"/>
          <w:sz w:val="24"/>
          <w:highlight w:val="none"/>
        </w:rPr>
        <w:t>煤炭深加工与利用专业毕业生就业与学校的地域性关系很大，也与地方经济的发展有关。我省煤炭资源丰富，煤化工产业基础雄厚，技术研发能力强，新开项目、转型项目如火如荼，对煤化工专业人才需求量增大，本专业在课程结构设置、人才培养目标方面较多地考虑了企业用人的知识、技能和素质要求，以期培养出既具有高职教育特色并符合本校教学实际，又能适应企业用人单位的工作要求的毕业生。</w:t>
      </w:r>
      <w:r>
        <w:rPr>
          <w:rFonts w:hint="eastAsia" w:ascii="Times New Roman" w:hAnsi="Times New Roman" w:eastAsiaTheme="majorEastAsia" w:cstheme="majorEastAsia"/>
          <w:color w:val="auto"/>
          <w:sz w:val="24"/>
          <w:highlight w:val="none"/>
          <w:lang w:val="zh-CN"/>
        </w:rPr>
        <w:t>本专业毕业生具备以下各项能力：</w:t>
      </w:r>
    </w:p>
    <w:p>
      <w:pPr>
        <w:numPr>
          <w:ilvl w:val="0"/>
          <w:numId w:val="0"/>
        </w:numPr>
        <w:autoSpaceDE w:val="0"/>
        <w:autoSpaceDN w:val="0"/>
        <w:spacing w:line="360" w:lineRule="auto"/>
        <w:ind w:firstLine="480" w:firstLineChars="200"/>
        <w:textAlignment w:val="baseline"/>
        <w:rPr>
          <w:rFonts w:ascii="Times New Roman" w:hAnsi="Times New Roman" w:eastAsiaTheme="majorEastAsia" w:cstheme="majorEastAsia"/>
          <w:color w:val="auto"/>
          <w:sz w:val="24"/>
          <w:highlight w:val="none"/>
          <w:lang w:val="zh-CN"/>
        </w:rPr>
      </w:pPr>
      <w:r>
        <w:rPr>
          <w:rFonts w:hint="eastAsia" w:ascii="Times New Roman" w:hAnsi="Times New Roman" w:eastAsiaTheme="majorEastAsia" w:cstheme="majorEastAsia"/>
          <w:color w:val="auto"/>
          <w:sz w:val="24"/>
          <w:highlight w:val="none"/>
          <w:lang w:val="en-US" w:eastAsia="zh-CN"/>
        </w:rPr>
        <w:t>1.</w:t>
      </w:r>
      <w:r>
        <w:rPr>
          <w:rFonts w:hint="eastAsia" w:ascii="Times New Roman" w:hAnsi="Times New Roman" w:eastAsiaTheme="majorEastAsia" w:cstheme="majorEastAsia"/>
          <w:color w:val="auto"/>
          <w:sz w:val="24"/>
          <w:highlight w:val="none"/>
          <w:lang w:val="zh-CN"/>
        </w:rPr>
        <w:t>掌握</w:t>
      </w:r>
      <w:r>
        <w:rPr>
          <w:rFonts w:hint="eastAsia" w:ascii="Times New Roman" w:hAnsi="Times New Roman" w:eastAsiaTheme="majorEastAsia" w:cstheme="majorEastAsia"/>
          <w:color w:val="auto"/>
          <w:sz w:val="24"/>
          <w:highlight w:val="none"/>
        </w:rPr>
        <w:t>化工工艺DCS操作岗位的操作技能。</w:t>
      </w:r>
    </w:p>
    <w:p>
      <w:pPr>
        <w:numPr>
          <w:ilvl w:val="0"/>
          <w:numId w:val="0"/>
        </w:numPr>
        <w:autoSpaceDE w:val="0"/>
        <w:autoSpaceDN w:val="0"/>
        <w:spacing w:line="360" w:lineRule="auto"/>
        <w:ind w:firstLine="480" w:firstLineChars="200"/>
        <w:textAlignment w:val="baseline"/>
        <w:rPr>
          <w:rFonts w:ascii="Times New Roman" w:hAnsi="Times New Roman" w:eastAsiaTheme="majorEastAsia" w:cstheme="majorEastAsia"/>
          <w:color w:val="auto"/>
          <w:sz w:val="24"/>
          <w:highlight w:val="none"/>
          <w:lang w:val="zh-CN"/>
        </w:rPr>
      </w:pPr>
      <w:r>
        <w:rPr>
          <w:rFonts w:hint="eastAsia" w:ascii="Times New Roman" w:hAnsi="Times New Roman" w:eastAsiaTheme="majorEastAsia" w:cstheme="majorEastAsia"/>
          <w:color w:val="auto"/>
          <w:sz w:val="24"/>
          <w:highlight w:val="none"/>
          <w:lang w:val="en-US" w:eastAsia="zh-CN"/>
        </w:rPr>
        <w:t>2.</w:t>
      </w:r>
      <w:r>
        <w:rPr>
          <w:rFonts w:hint="eastAsia" w:ascii="Times New Roman" w:hAnsi="Times New Roman" w:eastAsiaTheme="majorEastAsia" w:cstheme="majorEastAsia"/>
          <w:color w:val="auto"/>
          <w:sz w:val="24"/>
          <w:highlight w:val="none"/>
        </w:rPr>
        <w:t>掌握煤质分析岗位、产品分析岗位的分析操作技能</w:t>
      </w:r>
      <w:r>
        <w:rPr>
          <w:rFonts w:hint="eastAsia" w:ascii="Times New Roman" w:hAnsi="Times New Roman" w:eastAsiaTheme="majorEastAsia" w:cstheme="majorEastAsia"/>
          <w:color w:val="auto"/>
          <w:sz w:val="24"/>
          <w:highlight w:val="none"/>
          <w:lang w:val="zh-CN"/>
        </w:rPr>
        <w:t>。</w:t>
      </w:r>
    </w:p>
    <w:p>
      <w:pPr>
        <w:autoSpaceDE w:val="0"/>
        <w:autoSpaceDN w:val="0"/>
        <w:spacing w:line="360" w:lineRule="auto"/>
        <w:ind w:firstLine="480" w:firstLineChars="200"/>
        <w:textAlignment w:val="baseline"/>
        <w:rPr>
          <w:rFonts w:ascii="Times New Roman" w:hAnsi="Times New Roman" w:eastAsiaTheme="majorEastAsia" w:cstheme="majorEastAsia"/>
          <w:color w:val="auto"/>
          <w:sz w:val="24"/>
          <w:highlight w:val="none"/>
        </w:rPr>
      </w:pPr>
      <w:r>
        <w:rPr>
          <w:rFonts w:hint="eastAsia" w:ascii="Times New Roman" w:hAnsi="Times New Roman" w:eastAsiaTheme="majorEastAsia" w:cstheme="majorEastAsia"/>
          <w:color w:val="auto"/>
          <w:sz w:val="24"/>
          <w:highlight w:val="none"/>
        </w:rPr>
        <w:t>3</w:t>
      </w:r>
      <w:r>
        <w:rPr>
          <w:rFonts w:hint="eastAsia" w:ascii="Times New Roman" w:hAnsi="Times New Roman" w:eastAsiaTheme="majorEastAsia" w:cstheme="majorEastAsia"/>
          <w:color w:val="auto"/>
          <w:sz w:val="24"/>
          <w:highlight w:val="none"/>
          <w:lang w:eastAsia="zh-CN"/>
        </w:rPr>
        <w:t>.</w:t>
      </w:r>
      <w:r>
        <w:rPr>
          <w:rFonts w:hint="eastAsia" w:ascii="Times New Roman" w:hAnsi="Times New Roman" w:eastAsiaTheme="majorEastAsia" w:cstheme="majorEastAsia"/>
          <w:color w:val="auto"/>
          <w:sz w:val="24"/>
          <w:highlight w:val="none"/>
          <w:lang w:val="zh-CN"/>
        </w:rPr>
        <w:t>具备</w:t>
      </w:r>
      <w:r>
        <w:rPr>
          <w:rFonts w:hint="eastAsia" w:ascii="Times New Roman" w:hAnsi="Times New Roman" w:eastAsiaTheme="majorEastAsia" w:cstheme="majorEastAsia"/>
          <w:color w:val="auto"/>
          <w:sz w:val="24"/>
          <w:highlight w:val="none"/>
        </w:rPr>
        <w:t>管道与</w:t>
      </w:r>
      <w:r>
        <w:rPr>
          <w:rFonts w:hint="eastAsia" w:ascii="Times New Roman" w:hAnsi="Times New Roman" w:eastAsiaTheme="majorEastAsia" w:cstheme="majorEastAsia"/>
          <w:color w:val="auto"/>
          <w:sz w:val="24"/>
          <w:highlight w:val="none"/>
          <w:lang w:val="zh-CN"/>
        </w:rPr>
        <w:t>设备（</w:t>
      </w:r>
      <w:r>
        <w:rPr>
          <w:rFonts w:hint="eastAsia" w:ascii="Times New Roman" w:hAnsi="Times New Roman" w:eastAsiaTheme="majorEastAsia" w:cstheme="majorEastAsia"/>
          <w:color w:val="auto"/>
          <w:sz w:val="24"/>
          <w:highlight w:val="none"/>
        </w:rPr>
        <w:t>塔、釜</w:t>
      </w:r>
      <w:r>
        <w:rPr>
          <w:rFonts w:hint="eastAsia" w:ascii="Times New Roman" w:hAnsi="Times New Roman" w:eastAsiaTheme="majorEastAsia" w:cstheme="majorEastAsia"/>
          <w:color w:val="auto"/>
          <w:sz w:val="24"/>
          <w:highlight w:val="none"/>
          <w:lang w:val="zh-CN"/>
        </w:rPr>
        <w:t>）的维护能力。</w:t>
      </w:r>
    </w:p>
    <w:p>
      <w:pPr>
        <w:spacing w:line="360" w:lineRule="auto"/>
        <w:ind w:firstLine="480" w:firstLineChars="200"/>
        <w:textAlignment w:val="baseline"/>
        <w:rPr>
          <w:rFonts w:ascii="Times New Roman" w:hAnsi="Times New Roman" w:eastAsiaTheme="majorEastAsia" w:cstheme="majorEastAsia"/>
          <w:color w:val="auto"/>
          <w:sz w:val="24"/>
          <w:highlight w:val="none"/>
          <w:lang w:val="zh-CN"/>
        </w:rPr>
      </w:pPr>
      <w:r>
        <w:rPr>
          <w:rFonts w:hint="eastAsia" w:ascii="Times New Roman" w:hAnsi="Times New Roman" w:eastAsiaTheme="majorEastAsia" w:cstheme="majorEastAsia"/>
          <w:color w:val="auto"/>
          <w:sz w:val="24"/>
          <w:highlight w:val="none"/>
        </w:rPr>
        <w:t>4</w:t>
      </w:r>
      <w:r>
        <w:rPr>
          <w:rFonts w:hint="eastAsia" w:ascii="Times New Roman" w:hAnsi="Times New Roman" w:eastAsiaTheme="majorEastAsia" w:cstheme="majorEastAsia"/>
          <w:color w:val="auto"/>
          <w:sz w:val="24"/>
          <w:highlight w:val="none"/>
          <w:lang w:eastAsia="zh-CN"/>
        </w:rPr>
        <w:t>.</w:t>
      </w:r>
      <w:r>
        <w:rPr>
          <w:rFonts w:hint="eastAsia" w:ascii="Times New Roman" w:hAnsi="Times New Roman" w:eastAsiaTheme="majorEastAsia" w:cstheme="majorEastAsia"/>
          <w:color w:val="auto"/>
          <w:sz w:val="24"/>
          <w:highlight w:val="none"/>
          <w:lang w:val="zh-CN"/>
        </w:rPr>
        <w:t>具备</w:t>
      </w:r>
      <w:r>
        <w:rPr>
          <w:rFonts w:hint="eastAsia" w:ascii="Times New Roman" w:hAnsi="Times New Roman" w:eastAsiaTheme="majorEastAsia" w:cstheme="majorEastAsia"/>
          <w:color w:val="auto"/>
          <w:sz w:val="24"/>
          <w:highlight w:val="none"/>
        </w:rPr>
        <w:t>一定的安全生产、自救急救能力</w:t>
      </w:r>
      <w:r>
        <w:rPr>
          <w:rFonts w:hint="eastAsia" w:ascii="Times New Roman" w:hAnsi="Times New Roman" w:eastAsiaTheme="majorEastAsia" w:cstheme="majorEastAsia"/>
          <w:color w:val="auto"/>
          <w:sz w:val="24"/>
          <w:highlight w:val="none"/>
          <w:lang w:val="zh-CN"/>
        </w:rPr>
        <w:t>。</w:t>
      </w:r>
    </w:p>
    <w:p>
      <w:pPr>
        <w:spacing w:line="360" w:lineRule="auto"/>
        <w:ind w:firstLine="480" w:firstLineChars="200"/>
        <w:jc w:val="left"/>
        <w:textAlignment w:val="baseline"/>
        <w:rPr>
          <w:rFonts w:ascii="Times New Roman" w:hAnsi="Times New Roman" w:eastAsiaTheme="majorEastAsia" w:cstheme="majorEastAsia"/>
          <w:bCs/>
          <w:color w:val="auto"/>
          <w:sz w:val="24"/>
          <w:highlight w:val="none"/>
        </w:rPr>
      </w:pPr>
      <w:r>
        <w:rPr>
          <w:rFonts w:hint="eastAsia" w:ascii="Times New Roman" w:hAnsi="Times New Roman" w:eastAsiaTheme="majorEastAsia" w:cstheme="majorEastAsia"/>
          <w:color w:val="auto"/>
          <w:sz w:val="24"/>
          <w:highlight w:val="none"/>
          <w:lang w:val="zh-CN"/>
        </w:rPr>
        <w:t>此外，本专业的</w:t>
      </w:r>
      <w:r>
        <w:rPr>
          <w:rFonts w:hint="eastAsia" w:ascii="Times New Roman" w:hAnsi="Times New Roman" w:eastAsiaTheme="majorEastAsia" w:cstheme="majorEastAsia"/>
          <w:color w:val="auto"/>
          <w:sz w:val="24"/>
          <w:highlight w:val="none"/>
        </w:rPr>
        <w:t>毕业生除必备的理论</w:t>
      </w:r>
      <w:r>
        <w:rPr>
          <w:rFonts w:hint="eastAsia" w:ascii="Times New Roman" w:hAnsi="Times New Roman" w:eastAsiaTheme="majorEastAsia" w:cstheme="majorEastAsia"/>
          <w:color w:val="auto"/>
          <w:sz w:val="24"/>
          <w:highlight w:val="none"/>
          <w:lang w:val="zh-CN"/>
        </w:rPr>
        <w:t>认识</w:t>
      </w:r>
      <w:r>
        <w:rPr>
          <w:rFonts w:hint="eastAsia" w:ascii="Times New Roman" w:hAnsi="Times New Roman" w:eastAsiaTheme="majorEastAsia" w:cstheme="majorEastAsia"/>
          <w:color w:val="auto"/>
          <w:sz w:val="24"/>
          <w:highlight w:val="none"/>
        </w:rPr>
        <w:t>学</w:t>
      </w:r>
      <w:r>
        <w:rPr>
          <w:rFonts w:hint="eastAsia" w:ascii="Times New Roman" w:hAnsi="Times New Roman" w:eastAsiaTheme="majorEastAsia" w:cstheme="majorEastAsia"/>
          <w:color w:val="auto"/>
          <w:sz w:val="24"/>
          <w:highlight w:val="none"/>
          <w:lang w:val="zh-CN"/>
        </w:rPr>
        <w:t>习、</w:t>
      </w:r>
      <w:r>
        <w:rPr>
          <w:rFonts w:hint="eastAsia" w:ascii="Times New Roman" w:hAnsi="Times New Roman" w:eastAsiaTheme="majorEastAsia" w:cstheme="majorEastAsia"/>
          <w:color w:val="auto"/>
          <w:sz w:val="24"/>
          <w:highlight w:val="none"/>
        </w:rPr>
        <w:t>实践技能学习之外，还有配套的</w:t>
      </w:r>
      <w:r>
        <w:rPr>
          <w:rFonts w:hint="eastAsia" w:ascii="Times New Roman" w:hAnsi="Times New Roman" w:eastAsiaTheme="majorEastAsia" w:cstheme="majorEastAsia"/>
          <w:color w:val="auto"/>
          <w:sz w:val="24"/>
          <w:highlight w:val="none"/>
          <w:lang w:val="zh-CN"/>
        </w:rPr>
        <w:t>生产实习、</w:t>
      </w:r>
      <w:r>
        <w:rPr>
          <w:rFonts w:hint="eastAsia" w:ascii="Times New Roman" w:hAnsi="Times New Roman" w:eastAsiaTheme="majorEastAsia" w:cstheme="majorEastAsia"/>
          <w:color w:val="auto"/>
          <w:sz w:val="24"/>
          <w:highlight w:val="none"/>
        </w:rPr>
        <w:t>顶岗实习和</w:t>
      </w:r>
      <w:r>
        <w:rPr>
          <w:rFonts w:hint="eastAsia" w:ascii="Times New Roman" w:hAnsi="Times New Roman" w:eastAsiaTheme="majorEastAsia" w:cstheme="majorEastAsia"/>
          <w:color w:val="auto"/>
          <w:sz w:val="24"/>
          <w:highlight w:val="none"/>
          <w:lang w:val="zh-CN"/>
        </w:rPr>
        <w:t>毕业实习；除学校拥有自己的</w:t>
      </w:r>
      <w:r>
        <w:rPr>
          <w:rFonts w:hint="eastAsia" w:ascii="Times New Roman" w:hAnsi="Times New Roman" w:eastAsiaTheme="majorEastAsia" w:cstheme="majorEastAsia"/>
          <w:color w:val="auto"/>
          <w:sz w:val="24"/>
          <w:highlight w:val="none"/>
        </w:rPr>
        <w:t>单元操作</w:t>
      </w:r>
      <w:r>
        <w:rPr>
          <w:rFonts w:hint="eastAsia" w:ascii="Times New Roman" w:hAnsi="Times New Roman" w:eastAsiaTheme="majorEastAsia" w:cstheme="majorEastAsia"/>
          <w:color w:val="auto"/>
          <w:sz w:val="24"/>
          <w:highlight w:val="none"/>
          <w:lang w:val="zh-CN"/>
        </w:rPr>
        <w:t>实训中心、</w:t>
      </w:r>
      <w:r>
        <w:rPr>
          <w:rFonts w:hint="eastAsia" w:ascii="Times New Roman" w:hAnsi="Times New Roman" w:eastAsiaTheme="majorEastAsia" w:cstheme="majorEastAsia"/>
          <w:color w:val="auto"/>
          <w:sz w:val="24"/>
          <w:highlight w:val="none"/>
        </w:rPr>
        <w:t>煤质分析实训室、合成氨仿真实训</w:t>
      </w:r>
      <w:r>
        <w:rPr>
          <w:rFonts w:hint="eastAsia" w:ascii="Times New Roman" w:hAnsi="Times New Roman" w:eastAsiaTheme="majorEastAsia" w:cstheme="majorEastAsia"/>
          <w:color w:val="auto"/>
          <w:sz w:val="24"/>
          <w:highlight w:val="none"/>
          <w:lang w:val="zh-CN"/>
        </w:rPr>
        <w:t>外，还与兰花集团、天泽化工等校外的一些著名企事业单位建立了良好的订单式培养关系，给学生的</w:t>
      </w:r>
      <w:r>
        <w:rPr>
          <w:rFonts w:hint="eastAsia" w:ascii="Times New Roman" w:hAnsi="Times New Roman" w:eastAsiaTheme="majorEastAsia" w:cstheme="majorEastAsia"/>
          <w:color w:val="auto"/>
          <w:sz w:val="24"/>
          <w:highlight w:val="none"/>
        </w:rPr>
        <w:t>能力培养和</w:t>
      </w:r>
      <w:r>
        <w:rPr>
          <w:rFonts w:hint="eastAsia" w:ascii="Times New Roman" w:hAnsi="Times New Roman" w:eastAsiaTheme="majorEastAsia" w:cstheme="majorEastAsia"/>
          <w:color w:val="auto"/>
          <w:sz w:val="24"/>
          <w:highlight w:val="none"/>
          <w:lang w:val="zh-CN"/>
        </w:rPr>
        <w:t>就业提供了有力的保障。</w:t>
      </w:r>
    </w:p>
    <w:p>
      <w:pPr>
        <w:pStyle w:val="3"/>
        <w:snapToGrid w:val="0"/>
        <w:spacing w:before="0" w:after="0" w:line="360" w:lineRule="auto"/>
        <w:ind w:firstLine="640" w:firstLineChars="200"/>
        <w:rPr>
          <w:rFonts w:ascii="Times New Roman" w:hAnsi="Times New Roman"/>
          <w:b w:val="0"/>
          <w:bCs/>
          <w:color w:val="auto"/>
          <w:highlight w:val="none"/>
        </w:rPr>
      </w:pPr>
      <w:bookmarkStart w:id="22" w:name="_Toc27426"/>
      <w:bookmarkStart w:id="23" w:name="_Toc339913810"/>
      <w:bookmarkStart w:id="24" w:name="_Toc339985611"/>
      <w:bookmarkStart w:id="25" w:name="_Toc341338640"/>
      <w:r>
        <w:rPr>
          <w:rFonts w:hint="eastAsia" w:ascii="Times New Roman" w:hAnsi="Times New Roman"/>
          <w:b w:val="0"/>
          <w:bCs/>
          <w:color w:val="auto"/>
          <w:highlight w:val="none"/>
        </w:rPr>
        <w:t>四、专业就业面向</w:t>
      </w:r>
      <w:bookmarkEnd w:id="22"/>
      <w:bookmarkEnd w:id="23"/>
      <w:bookmarkEnd w:id="24"/>
      <w:bookmarkEnd w:id="25"/>
    </w:p>
    <w:p>
      <w:pPr>
        <w:spacing w:line="360" w:lineRule="auto"/>
        <w:ind w:firstLine="480" w:firstLineChars="200"/>
        <w:rPr>
          <w:rFonts w:ascii="Times New Roman" w:hAnsi="Times New Roman"/>
          <w:color w:val="auto"/>
          <w:sz w:val="24"/>
          <w:highlight w:val="none"/>
        </w:rPr>
      </w:pPr>
      <w:bookmarkStart w:id="26" w:name="_Toc339985612"/>
      <w:bookmarkStart w:id="27" w:name="_Toc339913811"/>
      <w:bookmarkStart w:id="28" w:name="_Toc341338641"/>
      <w:r>
        <w:rPr>
          <w:rFonts w:hint="eastAsia" w:ascii="Times New Roman" w:hAnsi="Times New Roman" w:eastAsiaTheme="majorEastAsia" w:cstheme="majorEastAsia"/>
          <w:color w:val="auto"/>
          <w:sz w:val="24"/>
          <w:highlight w:val="none"/>
        </w:rPr>
        <w:t>随着我省煤炭行业集约化、规模化、机械化程度的不断提高，产品生产条件的进一步变化，对相关企业安全生产的标准越来越高，企业安全不仅是技术和管理问题，更是关系到行业健康发展和社会稳定的政治问题，不论是社会还是企业，对高技能人才培养</w:t>
      </w:r>
      <w:r>
        <w:rPr>
          <w:rFonts w:hint="eastAsia" w:ascii="Times New Roman" w:hAnsi="Times New Roman"/>
          <w:color w:val="auto"/>
          <w:sz w:val="24"/>
          <w:highlight w:val="none"/>
        </w:rPr>
        <w:t>也提出了更高要求。根据近年来我院对往届毕业生就业去向和工作岗位调研，与行业企业专家一起，确定了煤炭深加工与利用专业的职业面向和人才定位。</w:t>
      </w:r>
    </w:p>
    <w:p>
      <w:pPr>
        <w:spacing w:line="360" w:lineRule="auto"/>
        <w:ind w:firstLine="480" w:firstLineChars="200"/>
        <w:rPr>
          <w:rFonts w:ascii="Times New Roman" w:hAnsi="Times New Roman" w:cs="宋体"/>
          <w:color w:val="auto"/>
          <w:kern w:val="0"/>
          <w:sz w:val="24"/>
          <w:highlight w:val="none"/>
        </w:rPr>
      </w:pPr>
      <w:r>
        <w:rPr>
          <w:rFonts w:hint="eastAsia" w:ascii="Times New Roman" w:hAnsi="Times New Roman"/>
          <w:color w:val="auto"/>
          <w:sz w:val="24"/>
          <w:highlight w:val="none"/>
          <w:lang w:val="zh-CN"/>
        </w:rPr>
        <w:t>本专业要求学生系统地</w:t>
      </w:r>
      <w:r>
        <w:rPr>
          <w:rFonts w:ascii="Times New Roman" w:hAnsi="Times New Roman" w:cs="宋体"/>
          <w:color w:val="auto"/>
          <w:kern w:val="0"/>
          <w:sz w:val="24"/>
          <w:highlight w:val="none"/>
        </w:rPr>
        <w:t>掌握煤</w:t>
      </w:r>
      <w:r>
        <w:rPr>
          <w:rFonts w:hint="eastAsia" w:ascii="Times New Roman" w:hAnsi="Times New Roman" w:cs="宋体"/>
          <w:color w:val="auto"/>
          <w:kern w:val="0"/>
          <w:sz w:val="24"/>
          <w:highlight w:val="none"/>
        </w:rPr>
        <w:t>炭深加工与利用</w:t>
      </w:r>
      <w:r>
        <w:rPr>
          <w:rFonts w:ascii="Times New Roman" w:hAnsi="Times New Roman" w:cs="宋体"/>
          <w:color w:val="auto"/>
          <w:kern w:val="0"/>
          <w:sz w:val="24"/>
          <w:highlight w:val="none"/>
        </w:rPr>
        <w:t>技术的基础理论、基本技能，</w:t>
      </w:r>
      <w:r>
        <w:rPr>
          <w:rFonts w:hint="eastAsia" w:ascii="Times New Roman" w:hAnsi="Times New Roman" w:cs="宋体"/>
          <w:color w:val="auto"/>
          <w:kern w:val="0"/>
          <w:sz w:val="24"/>
          <w:highlight w:val="none"/>
        </w:rPr>
        <w:t>培养</w:t>
      </w:r>
      <w:r>
        <w:rPr>
          <w:rFonts w:ascii="Times New Roman" w:hAnsi="Times New Roman" w:cs="宋体"/>
          <w:color w:val="auto"/>
          <w:kern w:val="0"/>
          <w:sz w:val="24"/>
          <w:highlight w:val="none"/>
        </w:rPr>
        <w:t>能在生产第一线从事</w:t>
      </w:r>
      <w:r>
        <w:rPr>
          <w:rFonts w:hint="eastAsia" w:ascii="Times New Roman" w:hAnsi="Times New Roman" w:cs="宋体"/>
          <w:color w:val="auto"/>
          <w:kern w:val="0"/>
          <w:sz w:val="24"/>
          <w:highlight w:val="none"/>
        </w:rPr>
        <w:t>煤炭洗选、</w:t>
      </w:r>
      <w:r>
        <w:rPr>
          <w:rFonts w:ascii="Times New Roman" w:hAnsi="Times New Roman" w:cs="宋体"/>
          <w:color w:val="auto"/>
          <w:kern w:val="0"/>
          <w:sz w:val="24"/>
          <w:highlight w:val="none"/>
        </w:rPr>
        <w:t>煤炭深加工利用、生产技术管理、相关设备维护管理及应用开发的</w:t>
      </w:r>
      <w:r>
        <w:rPr>
          <w:rFonts w:hint="eastAsia" w:ascii="Times New Roman" w:hAnsi="Times New Roman" w:cs="宋体"/>
          <w:color w:val="auto"/>
          <w:kern w:val="0"/>
          <w:sz w:val="24"/>
          <w:highlight w:val="none"/>
        </w:rPr>
        <w:t>高素质技术技能人才。</w:t>
      </w:r>
    </w:p>
    <w:p>
      <w:pPr>
        <w:spacing w:line="360" w:lineRule="auto"/>
        <w:ind w:firstLine="480" w:firstLineChars="200"/>
        <w:rPr>
          <w:rFonts w:ascii="Times New Roman" w:hAnsi="Times New Roman"/>
          <w:color w:val="auto"/>
          <w:sz w:val="24"/>
          <w:highlight w:val="none"/>
        </w:rPr>
      </w:pPr>
      <w:r>
        <w:rPr>
          <w:rFonts w:hint="eastAsia" w:ascii="Times New Roman" w:hAnsi="Times New Roman"/>
          <w:bCs/>
          <w:color w:val="auto"/>
          <w:sz w:val="24"/>
          <w:highlight w:val="none"/>
        </w:rPr>
        <w:t>初始岗位群包括煤质化验、煤炭洗选、炼焦生产、煤气化生产等相关操作岗位。在获得一定工作经验后，可升迁的职业岗位为产品的质量检测岗位、技术管理岗位、具有一定级别的车间技术人员。</w:t>
      </w:r>
    </w:p>
    <w:p>
      <w:pPr>
        <w:pStyle w:val="3"/>
        <w:snapToGrid w:val="0"/>
        <w:spacing w:before="0" w:after="0" w:line="360" w:lineRule="auto"/>
        <w:ind w:firstLine="640" w:firstLineChars="200"/>
        <w:rPr>
          <w:rFonts w:ascii="Times New Roman" w:hAnsi="Times New Roman"/>
          <w:b w:val="0"/>
          <w:bCs/>
          <w:color w:val="auto"/>
          <w:highlight w:val="none"/>
        </w:rPr>
      </w:pPr>
      <w:bookmarkStart w:id="29" w:name="_Toc8269"/>
      <w:r>
        <w:rPr>
          <w:rFonts w:hint="eastAsia" w:ascii="Times New Roman" w:hAnsi="Times New Roman"/>
          <w:b w:val="0"/>
          <w:bCs/>
          <w:color w:val="auto"/>
          <w:highlight w:val="none"/>
        </w:rPr>
        <w:t>五、专业教学改革建议</w:t>
      </w:r>
      <w:bookmarkEnd w:id="26"/>
      <w:bookmarkEnd w:id="27"/>
      <w:bookmarkEnd w:id="28"/>
      <w:bookmarkEnd w:id="29"/>
    </w:p>
    <w:p>
      <w:pPr>
        <w:spacing w:line="360" w:lineRule="auto"/>
        <w:ind w:firstLine="600" w:firstLineChars="200"/>
        <w:rPr>
          <w:rFonts w:hint="eastAsia" w:ascii="Times New Roman" w:hAnsi="Times New Roman"/>
          <w:color w:val="auto"/>
          <w:sz w:val="24"/>
          <w:highlight w:val="none"/>
        </w:rPr>
      </w:pPr>
      <w:r>
        <w:rPr>
          <w:rFonts w:hint="eastAsia" w:ascii="Times New Roman" w:hAnsi="Times New Roman" w:eastAsia="黑体" w:cs="黑体"/>
          <w:bCs/>
          <w:color w:val="auto"/>
          <w:sz w:val="30"/>
          <w:szCs w:val="30"/>
          <w:highlight w:val="none"/>
        </w:rPr>
        <w:t>（一）坚持知行合一、工学结合</w:t>
      </w:r>
      <w:r>
        <w:rPr>
          <w:rFonts w:hint="eastAsia" w:ascii="Times New Roman" w:hAnsi="Times New Roman" w:eastAsia="黑体" w:cs="黑体"/>
          <w:bCs/>
          <w:color w:val="auto"/>
          <w:sz w:val="30"/>
          <w:szCs w:val="30"/>
          <w:highlight w:val="none"/>
          <w:lang w:eastAsia="zh-CN"/>
        </w:rPr>
        <w:t>，</w:t>
      </w:r>
      <w:r>
        <w:rPr>
          <w:rFonts w:hint="eastAsia" w:ascii="Times New Roman" w:hAnsi="Times New Roman" w:eastAsia="黑体" w:cs="黑体"/>
          <w:bCs/>
          <w:color w:val="auto"/>
          <w:sz w:val="30"/>
          <w:szCs w:val="30"/>
          <w:highlight w:val="none"/>
        </w:rPr>
        <w:t>探索多元办学模式</w:t>
      </w:r>
    </w:p>
    <w:p>
      <w:pPr>
        <w:spacing w:line="360" w:lineRule="auto"/>
        <w:ind w:firstLine="403" w:firstLineChars="168"/>
        <w:rPr>
          <w:rFonts w:hint="default" w:ascii="Arial" w:hAnsi="Arial" w:eastAsia="宋体" w:cs="Arial"/>
          <w:i w:val="0"/>
          <w:caps w:val="0"/>
          <w:color w:val="auto"/>
          <w:spacing w:val="0"/>
          <w:sz w:val="24"/>
          <w:szCs w:val="24"/>
          <w:highlight w:val="none"/>
          <w:shd w:val="clear" w:fill="FFFFFF"/>
          <w:lang w:val="en-US" w:eastAsia="zh-CN"/>
        </w:rPr>
      </w:pPr>
      <w:r>
        <w:rPr>
          <w:rFonts w:hint="eastAsia" w:ascii="Times New Roman" w:hAnsi="Times New Roman"/>
          <w:color w:val="auto"/>
          <w:sz w:val="24"/>
          <w:highlight w:val="none"/>
          <w:lang w:val="en-US" w:eastAsia="zh-CN"/>
        </w:rPr>
        <w:t>依据</w:t>
      </w:r>
      <w:r>
        <w:rPr>
          <w:rFonts w:hint="eastAsia" w:ascii="Arial" w:hAnsi="Arial" w:eastAsia="Arial" w:cs="Arial"/>
          <w:i w:val="0"/>
          <w:caps w:val="0"/>
          <w:color w:val="auto"/>
          <w:spacing w:val="0"/>
          <w:sz w:val="24"/>
          <w:szCs w:val="24"/>
          <w:highlight w:val="none"/>
          <w:shd w:val="clear" w:fill="FFFFFF"/>
        </w:rPr>
        <w:t>《国家职业教育改革实施方案》</w:t>
      </w:r>
      <w:r>
        <w:rPr>
          <w:rFonts w:hint="eastAsia" w:ascii="Arial" w:hAnsi="Arial" w:eastAsia="宋体" w:cs="Arial"/>
          <w:i w:val="0"/>
          <w:caps w:val="0"/>
          <w:color w:val="auto"/>
          <w:spacing w:val="0"/>
          <w:sz w:val="24"/>
          <w:szCs w:val="24"/>
          <w:highlight w:val="none"/>
          <w:shd w:val="clear" w:fill="FFFFFF"/>
          <w:lang w:eastAsia="zh-CN"/>
        </w:rPr>
        <w:t>，</w:t>
      </w:r>
      <w:r>
        <w:rPr>
          <w:rFonts w:hint="eastAsia" w:ascii="Arial" w:hAnsi="Arial" w:eastAsia="Arial" w:cs="Arial"/>
          <w:i w:val="0"/>
          <w:caps w:val="0"/>
          <w:color w:val="auto"/>
          <w:spacing w:val="0"/>
          <w:sz w:val="24"/>
          <w:szCs w:val="24"/>
          <w:highlight w:val="none"/>
          <w:shd w:val="clear" w:fill="FFFFFF"/>
        </w:rPr>
        <w:t>职业教育</w:t>
      </w:r>
      <w:r>
        <w:rPr>
          <w:rFonts w:hint="eastAsia" w:ascii="Arial" w:hAnsi="Arial" w:eastAsia="宋体" w:cs="Arial"/>
          <w:i w:val="0"/>
          <w:caps w:val="0"/>
          <w:color w:val="auto"/>
          <w:spacing w:val="0"/>
          <w:sz w:val="24"/>
          <w:szCs w:val="24"/>
          <w:highlight w:val="none"/>
          <w:shd w:val="clear" w:fill="FFFFFF"/>
          <w:lang w:val="en-US" w:eastAsia="zh-CN"/>
        </w:rPr>
        <w:t>要</w:t>
      </w:r>
      <w:r>
        <w:rPr>
          <w:rFonts w:hint="eastAsia" w:ascii="Arial" w:hAnsi="Arial" w:eastAsia="Arial" w:cs="Arial"/>
          <w:i w:val="0"/>
          <w:caps w:val="0"/>
          <w:color w:val="auto"/>
          <w:spacing w:val="0"/>
          <w:sz w:val="24"/>
          <w:szCs w:val="24"/>
          <w:highlight w:val="none"/>
          <w:shd w:val="clear" w:fill="FFFFFF"/>
        </w:rPr>
        <w:t>由政府举办为主向政府统筹管理、社会多元办学的格局转变，由追求规模扩张向提高质量转变，由参照普通教育办学模式向企业社会参与、专业特色鲜明的类型教育转变，大幅提升新时代职业教育现代化水平</w:t>
      </w:r>
      <w:r>
        <w:rPr>
          <w:rFonts w:hint="eastAsia" w:ascii="Arial" w:hAnsi="Arial" w:eastAsia="宋体" w:cs="Arial"/>
          <w:i w:val="0"/>
          <w:caps w:val="0"/>
          <w:color w:val="auto"/>
          <w:spacing w:val="0"/>
          <w:sz w:val="24"/>
          <w:szCs w:val="24"/>
          <w:highlight w:val="none"/>
          <w:shd w:val="clear" w:fill="FFFFFF"/>
          <w:lang w:eastAsia="zh-CN"/>
        </w:rPr>
        <w:t>，</w:t>
      </w:r>
      <w:r>
        <w:rPr>
          <w:rFonts w:hint="eastAsia" w:ascii="Arial" w:hAnsi="Arial" w:eastAsia="宋体" w:cs="Arial"/>
          <w:i w:val="0"/>
          <w:caps w:val="0"/>
          <w:color w:val="auto"/>
          <w:spacing w:val="0"/>
          <w:sz w:val="24"/>
          <w:szCs w:val="24"/>
          <w:highlight w:val="none"/>
          <w:shd w:val="clear" w:fill="FFFFFF"/>
          <w:lang w:val="en-US" w:eastAsia="zh-CN"/>
        </w:rPr>
        <w:t>专业办学模式也需要与时俱进。</w:t>
      </w:r>
    </w:p>
    <w:p>
      <w:pPr>
        <w:pStyle w:val="23"/>
        <w:spacing w:line="360" w:lineRule="auto"/>
        <w:ind w:firstLine="480"/>
        <w:rPr>
          <w:rFonts w:ascii="Times New Roman" w:hAnsi="Times New Roman"/>
          <w:bCs w:val="0"/>
          <w:color w:val="auto"/>
          <w:highlight w:val="none"/>
        </w:rPr>
      </w:pPr>
      <w:r>
        <w:rPr>
          <w:rFonts w:ascii="Times New Roman" w:hAnsi="Times New Roman"/>
          <w:bCs w:val="0"/>
          <w:color w:val="auto"/>
          <w:highlight w:val="none"/>
        </w:rPr>
        <w:t>1</w:t>
      </w:r>
      <w:r>
        <w:rPr>
          <w:rFonts w:hint="eastAsia" w:ascii="Times New Roman" w:hAnsi="Times New Roman"/>
          <w:bCs w:val="0"/>
          <w:color w:val="auto"/>
          <w:highlight w:val="none"/>
          <w:lang w:eastAsia="zh-CN"/>
        </w:rPr>
        <w:t>.</w:t>
      </w:r>
      <w:r>
        <w:rPr>
          <w:rFonts w:hint="eastAsia" w:ascii="Times New Roman" w:hAnsi="Times New Roman"/>
          <w:bCs w:val="0"/>
          <w:color w:val="auto"/>
          <w:highlight w:val="none"/>
          <w:lang w:val="en-US" w:eastAsia="zh-CN"/>
        </w:rPr>
        <w:t>促进产教融合，</w:t>
      </w:r>
      <w:r>
        <w:rPr>
          <w:rFonts w:ascii="Times New Roman" w:hAnsi="Times New Roman"/>
          <w:bCs w:val="0"/>
          <w:color w:val="auto"/>
          <w:highlight w:val="none"/>
        </w:rPr>
        <w:t>创新“阶段培养、</w:t>
      </w:r>
      <w:r>
        <w:rPr>
          <w:rFonts w:hint="eastAsia" w:ascii="Times New Roman" w:hAnsi="Times New Roman"/>
          <w:bCs w:val="0"/>
          <w:color w:val="auto"/>
          <w:highlight w:val="none"/>
        </w:rPr>
        <w:t>德能并进</w:t>
      </w:r>
      <w:r>
        <w:rPr>
          <w:rFonts w:ascii="Times New Roman" w:hAnsi="Times New Roman"/>
          <w:bCs w:val="0"/>
          <w:color w:val="auto"/>
          <w:highlight w:val="none"/>
        </w:rPr>
        <w:t>、学岗</w:t>
      </w:r>
      <w:r>
        <w:rPr>
          <w:rFonts w:hint="eastAsia" w:ascii="Times New Roman" w:hAnsi="Times New Roman"/>
          <w:bCs w:val="0"/>
          <w:color w:val="auto"/>
          <w:highlight w:val="none"/>
        </w:rPr>
        <w:t>对接</w:t>
      </w:r>
      <w:r>
        <w:rPr>
          <w:rFonts w:ascii="Times New Roman" w:hAnsi="Times New Roman"/>
          <w:bCs w:val="0"/>
          <w:color w:val="auto"/>
          <w:highlight w:val="none"/>
        </w:rPr>
        <w:t>”的人才培养模式</w:t>
      </w:r>
    </w:p>
    <w:p>
      <w:pPr>
        <w:spacing w:line="360" w:lineRule="auto"/>
        <w:ind w:firstLine="480" w:firstLineChars="200"/>
        <w:rPr>
          <w:rFonts w:ascii="Times New Roman" w:hAnsi="Times New Roman"/>
          <w:color w:val="auto"/>
          <w:sz w:val="24"/>
          <w:highlight w:val="none"/>
        </w:rPr>
      </w:pPr>
      <w:r>
        <w:rPr>
          <w:rFonts w:ascii="Times New Roman" w:hAnsi="Times New Roman"/>
          <w:color w:val="auto"/>
          <w:sz w:val="24"/>
          <w:szCs w:val="24"/>
          <w:highlight w:val="none"/>
        </w:rPr>
        <w:t>按照“基础技能、单</w:t>
      </w:r>
      <w:r>
        <w:rPr>
          <w:rFonts w:hint="eastAsia" w:ascii="Times New Roman" w:hAnsi="Times New Roman"/>
          <w:color w:val="auto"/>
          <w:sz w:val="24"/>
          <w:szCs w:val="24"/>
          <w:highlight w:val="none"/>
        </w:rPr>
        <w:t>项技能</w:t>
      </w:r>
      <w:r>
        <w:rPr>
          <w:rFonts w:ascii="Times New Roman" w:hAnsi="Times New Roman"/>
          <w:color w:val="auto"/>
          <w:sz w:val="24"/>
          <w:szCs w:val="24"/>
          <w:highlight w:val="none"/>
        </w:rPr>
        <w:t>、</w:t>
      </w:r>
      <w:r>
        <w:rPr>
          <w:rFonts w:hint="eastAsia" w:ascii="Times New Roman" w:hAnsi="Times New Roman"/>
          <w:color w:val="auto"/>
          <w:sz w:val="24"/>
          <w:szCs w:val="24"/>
          <w:highlight w:val="none"/>
        </w:rPr>
        <w:t>综合技能</w:t>
      </w:r>
      <w:r>
        <w:rPr>
          <w:rFonts w:ascii="Times New Roman" w:hAnsi="Times New Roman"/>
          <w:color w:val="auto"/>
          <w:sz w:val="24"/>
          <w:szCs w:val="24"/>
          <w:highlight w:val="none"/>
        </w:rPr>
        <w:t>、顶岗实习”的技能培训递进的方式强化学生的职业能力；建设符合项</w:t>
      </w:r>
      <w:r>
        <w:rPr>
          <w:rFonts w:ascii="Times New Roman" w:hAnsi="Times New Roman"/>
          <w:color w:val="auto"/>
          <w:sz w:val="24"/>
          <w:highlight w:val="none"/>
        </w:rPr>
        <w:t>目式、模块化教学需要的教学创新团队，不断优化教师能力结构。普及项目教学、案例教学、情境教学、模块化教学等教学方式，广泛运用启发式、探究式、讨论式、参与式等教学方法，推广翻转课堂、混合式教学、理实一体教学等新型教学模式，推动课堂教学革命。</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2</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建立手段丰富的现代化教育教学新模式</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lang w:val="en-US" w:eastAsia="zh-CN"/>
        </w:rPr>
        <w:t>增强企业参与度，</w:t>
      </w:r>
      <w:r>
        <w:rPr>
          <w:rFonts w:hint="eastAsia" w:ascii="Times New Roman" w:hAnsi="Times New Roman"/>
          <w:color w:val="auto"/>
          <w:sz w:val="24"/>
          <w:highlight w:val="none"/>
        </w:rPr>
        <w:t>加大校外实训基地建设，充分利用企业的教育资源及生产环境实施教学，在企业设立工作站，构建网络教学平台，在学生跟岗实习期间专业教师适应“互联网+职业教育”新要求，将教学工作延伸到企业，破除校企合作时空障碍，将企业最新的生产过程、工作流程等信息及时引入到课堂，创新实践教学模式，实现教学与工作的零距离对接。</w:t>
      </w:r>
    </w:p>
    <w:p>
      <w:pPr>
        <w:spacing w:line="360" w:lineRule="auto"/>
        <w:ind w:firstLine="480" w:firstLineChars="200"/>
        <w:rPr>
          <w:rFonts w:hint="eastAsia" w:ascii="Times New Roman" w:hAnsi="Times New Roman"/>
          <w:color w:val="auto"/>
          <w:sz w:val="24"/>
          <w:highlight w:val="none"/>
        </w:rPr>
      </w:pPr>
      <w:r>
        <w:rPr>
          <w:rFonts w:hint="eastAsia" w:ascii="Times New Roman" w:hAnsi="Times New Roman"/>
          <w:color w:val="auto"/>
          <w:sz w:val="24"/>
          <w:highlight w:val="none"/>
        </w:rPr>
        <w:t>3.</w:t>
      </w:r>
      <w:r>
        <w:rPr>
          <w:rFonts w:hint="eastAsia" w:ascii="Times New Roman" w:hAnsi="Times New Roman"/>
          <w:color w:val="auto"/>
          <w:sz w:val="24"/>
          <w:highlight w:val="none"/>
          <w:lang w:val="en-US" w:eastAsia="zh-CN"/>
        </w:rPr>
        <w:t>借鉴德国“双元制”，</w:t>
      </w:r>
      <w:r>
        <w:rPr>
          <w:rFonts w:hint="eastAsia" w:ascii="Times New Roman" w:hAnsi="Times New Roman"/>
          <w:color w:val="auto"/>
          <w:sz w:val="24"/>
          <w:highlight w:val="none"/>
        </w:rPr>
        <w:t>探索适合本土的中德合作双元制办学模式</w:t>
      </w:r>
    </w:p>
    <w:p>
      <w:pPr>
        <w:spacing w:line="360" w:lineRule="auto"/>
        <w:ind w:firstLine="480" w:firstLineChars="200"/>
        <w:rPr>
          <w:rFonts w:ascii="Times New Roman" w:hAnsi="Times New Roman" w:eastAsia="黑体" w:cs="黑体"/>
          <w:bCs/>
          <w:color w:val="auto"/>
          <w:sz w:val="30"/>
          <w:szCs w:val="30"/>
          <w:highlight w:val="none"/>
        </w:rPr>
      </w:pPr>
      <w:r>
        <w:rPr>
          <w:rFonts w:hint="eastAsia" w:ascii="Times New Roman" w:hAnsi="Times New Roman"/>
          <w:color w:val="auto"/>
          <w:sz w:val="24"/>
          <w:highlight w:val="none"/>
        </w:rPr>
        <w:t>2019年煤炭深加工与利用专业有幸定为中德合作培养专业，利用此契机引进先进的双元制教育理念、优质的教育资源、实用的教学方案、丰富的教学内容、现代的教学手段、灵活的教学方法</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lang w:val="en-US" w:eastAsia="zh-CN"/>
        </w:rPr>
        <w:t>在此基础上</w:t>
      </w:r>
      <w:r>
        <w:rPr>
          <w:rFonts w:hint="eastAsia" w:ascii="Times New Roman" w:hAnsi="Times New Roman"/>
          <w:color w:val="auto"/>
          <w:sz w:val="24"/>
          <w:highlight w:val="none"/>
        </w:rPr>
        <w:t>校企共同研究制定人才培养方案，及时将新技术、新工艺、新规范纳入教学标准和教学内容，强化学生实习实训。探索</w:t>
      </w:r>
      <w:r>
        <w:rPr>
          <w:rFonts w:hint="eastAsia" w:ascii="Times New Roman" w:hAnsi="Times New Roman"/>
          <w:color w:val="auto"/>
          <w:sz w:val="24"/>
          <w:highlight w:val="none"/>
          <w:lang w:val="en-US" w:eastAsia="zh-CN"/>
        </w:rPr>
        <w:t>出</w:t>
      </w:r>
      <w:r>
        <w:rPr>
          <w:rFonts w:hint="eastAsia" w:ascii="Times New Roman" w:hAnsi="Times New Roman"/>
          <w:color w:val="auto"/>
          <w:sz w:val="24"/>
          <w:highlight w:val="none"/>
        </w:rPr>
        <w:t>适合本土的中德合作双元制办学模式</w:t>
      </w:r>
      <w:r>
        <w:rPr>
          <w:rFonts w:hint="eastAsia" w:ascii="Times New Roman" w:hAnsi="Times New Roman"/>
          <w:color w:val="auto"/>
          <w:sz w:val="24"/>
          <w:highlight w:val="none"/>
          <w:lang w:eastAsia="zh-CN"/>
        </w:rPr>
        <w:t>。</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lang w:val="en-US" w:eastAsia="zh-CN"/>
        </w:rPr>
        <w:t>4</w:t>
      </w:r>
      <w:r>
        <w:rPr>
          <w:rFonts w:hint="eastAsia" w:ascii="Times New Roman" w:hAnsi="Times New Roman"/>
          <w:color w:val="auto"/>
          <w:sz w:val="24"/>
          <w:highlight w:val="none"/>
          <w:lang w:eastAsia="zh-CN"/>
        </w:rPr>
        <w:t>.</w:t>
      </w:r>
      <w:r>
        <w:rPr>
          <w:rFonts w:ascii="Times New Roman" w:hAnsi="Times New Roman"/>
          <w:bCs/>
          <w:color w:val="auto"/>
          <w:sz w:val="24"/>
          <w:highlight w:val="none"/>
        </w:rPr>
        <w:t>建立</w:t>
      </w:r>
      <w:r>
        <w:rPr>
          <w:rFonts w:hint="eastAsia" w:ascii="Times New Roman" w:hAnsi="Times New Roman"/>
          <w:color w:val="auto"/>
          <w:sz w:val="24"/>
          <w:highlight w:val="none"/>
        </w:rPr>
        <w:t>教学链、产业链、利益链环环相扣的校企合作新模式</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lang w:eastAsia="zh-CN"/>
        </w:rPr>
        <w:t>（</w:t>
      </w:r>
      <w:r>
        <w:rPr>
          <w:rFonts w:hint="eastAsia" w:ascii="Times New Roman" w:hAnsi="Times New Roman"/>
          <w:color w:val="auto"/>
          <w:sz w:val="24"/>
          <w:highlight w:val="none"/>
          <w:lang w:val="en-US" w:eastAsia="zh-CN"/>
        </w:rPr>
        <w:t>1</w:t>
      </w:r>
      <w:r>
        <w:rPr>
          <w:rFonts w:hint="eastAsia" w:ascii="Times New Roman" w:hAnsi="Times New Roman"/>
          <w:color w:val="auto"/>
          <w:sz w:val="24"/>
          <w:highlight w:val="none"/>
          <w:lang w:eastAsia="zh-CN"/>
        </w:rPr>
        <w:t>）</w:t>
      </w:r>
      <w:r>
        <w:rPr>
          <w:rFonts w:ascii="Times New Roman" w:hAnsi="Times New Roman"/>
          <w:color w:val="auto"/>
          <w:sz w:val="24"/>
          <w:highlight w:val="none"/>
        </w:rPr>
        <w:t>共建校企</w:t>
      </w:r>
      <w:r>
        <w:rPr>
          <w:rFonts w:hint="eastAsia" w:ascii="Times New Roman" w:hAnsi="Times New Roman"/>
          <w:color w:val="auto"/>
          <w:sz w:val="24"/>
          <w:highlight w:val="none"/>
        </w:rPr>
        <w:t>文化有机融合的</w:t>
      </w:r>
      <w:r>
        <w:rPr>
          <w:rFonts w:ascii="Times New Roman" w:hAnsi="Times New Roman"/>
          <w:color w:val="auto"/>
          <w:sz w:val="24"/>
          <w:highlight w:val="none"/>
        </w:rPr>
        <w:t>实习实训基地</w:t>
      </w:r>
    </w:p>
    <w:p>
      <w:pPr>
        <w:spacing w:line="360" w:lineRule="auto"/>
        <w:ind w:firstLine="480" w:firstLineChars="200"/>
        <w:rPr>
          <w:rFonts w:ascii="Times New Roman" w:hAnsi="Times New Roman"/>
          <w:color w:val="auto"/>
          <w:sz w:val="24"/>
          <w:highlight w:val="none"/>
        </w:rPr>
      </w:pPr>
      <w:r>
        <w:rPr>
          <w:rFonts w:ascii="Times New Roman" w:hAnsi="Times New Roman"/>
          <w:color w:val="auto"/>
          <w:sz w:val="24"/>
          <w:highlight w:val="none"/>
        </w:rPr>
        <w:t>加大政策引导力度，充分调动各方面深化职业教育改革创新的积极性，</w:t>
      </w:r>
      <w:r>
        <w:rPr>
          <w:rFonts w:hint="eastAsia" w:ascii="Times New Roman" w:hAnsi="Times New Roman"/>
          <w:color w:val="auto"/>
          <w:sz w:val="24"/>
          <w:highlight w:val="none"/>
        </w:rPr>
        <w:t>在现有的煤质分析实训室、化工单元操作实训室、化学实验实训室、合成氨仿真实训的基础上，</w:t>
      </w:r>
      <w:r>
        <w:rPr>
          <w:rFonts w:hint="eastAsia" w:ascii="Times New Roman" w:hAnsi="Times New Roman"/>
          <w:color w:val="auto"/>
          <w:sz w:val="24"/>
          <w:highlight w:val="none"/>
          <w:lang w:val="en-US" w:eastAsia="zh-CN"/>
        </w:rPr>
        <w:t>校企共同</w:t>
      </w:r>
      <w:r>
        <w:rPr>
          <w:rFonts w:ascii="Times New Roman" w:hAnsi="Times New Roman"/>
          <w:color w:val="auto"/>
          <w:sz w:val="24"/>
          <w:highlight w:val="none"/>
        </w:rPr>
        <w:t>建设</w:t>
      </w:r>
      <w:r>
        <w:rPr>
          <w:rFonts w:hint="eastAsia" w:ascii="Times New Roman" w:hAnsi="Times New Roman"/>
          <w:color w:val="auto"/>
          <w:sz w:val="24"/>
          <w:highlight w:val="none"/>
          <w:lang w:val="en-US" w:eastAsia="zh-CN"/>
        </w:rPr>
        <w:t>1-2个</w:t>
      </w:r>
      <w:r>
        <w:rPr>
          <w:rFonts w:ascii="Times New Roman" w:hAnsi="Times New Roman"/>
          <w:color w:val="auto"/>
          <w:sz w:val="24"/>
          <w:highlight w:val="none"/>
        </w:rPr>
        <w:t>资源共享，集实践教学、社会培训、企业真实生产和社会技术服务于一体的高水平职业教育实训基地。充分满足学生</w:t>
      </w:r>
      <w:r>
        <w:rPr>
          <w:rFonts w:hint="eastAsia" w:ascii="Times New Roman" w:hAnsi="Times New Roman"/>
          <w:color w:val="auto"/>
          <w:sz w:val="24"/>
          <w:highlight w:val="none"/>
        </w:rPr>
        <w:t>跟岗实习和</w:t>
      </w:r>
      <w:r>
        <w:rPr>
          <w:rFonts w:ascii="Times New Roman" w:hAnsi="Times New Roman"/>
          <w:color w:val="auto"/>
          <w:sz w:val="24"/>
          <w:highlight w:val="none"/>
        </w:rPr>
        <w:t>顶岗实习的需要。</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lang w:val="en-US" w:eastAsia="zh-CN"/>
        </w:rPr>
        <w:t>（2）</w:t>
      </w:r>
      <w:r>
        <w:rPr>
          <w:rFonts w:ascii="Times New Roman" w:hAnsi="Times New Roman"/>
          <w:color w:val="auto"/>
          <w:sz w:val="24"/>
          <w:highlight w:val="none"/>
        </w:rPr>
        <w:t>校企共同建设师资团队</w:t>
      </w:r>
    </w:p>
    <w:p>
      <w:pPr>
        <w:spacing w:line="360" w:lineRule="auto"/>
        <w:ind w:firstLine="480" w:firstLineChars="200"/>
        <w:rPr>
          <w:rFonts w:ascii="Times New Roman" w:hAnsi="Times New Roman"/>
          <w:color w:val="auto"/>
          <w:sz w:val="24"/>
          <w:highlight w:val="none"/>
        </w:rPr>
      </w:pPr>
      <w:r>
        <w:rPr>
          <w:rFonts w:ascii="Times New Roman" w:hAnsi="Times New Roman"/>
          <w:color w:val="auto"/>
          <w:sz w:val="24"/>
          <w:highlight w:val="none"/>
        </w:rPr>
        <w:t>职业技术院校的专业教师应具备工程师的基本要求，熟悉生产技术的发展趋势，尽可能将正在研发之中的技术传授给学生，并让学生体验技术创新的全过程。在工业领域，随着自动化技术的广泛应用，传统的简单操作性技能人才需要量越来越少，大量的手工劳动已被机器替代。但与此同时，设备安装、调试、维修难度越来越大，对操作者技术知识要求越来越高。生产者只有具备现代技术知识和创新能力，才可能解决生产中不断出现的各种疑难问题。要培养这种具有创新能力的学生，首先就要组建专兼结合的教师团队，要求教师具有扎实的理论知识、熟练的操作技能、较强的创新能力。</w:t>
      </w:r>
    </w:p>
    <w:p>
      <w:pPr>
        <w:numPr>
          <w:ilvl w:val="0"/>
          <w:numId w:val="2"/>
        </w:numPr>
        <w:spacing w:line="360" w:lineRule="auto"/>
        <w:ind w:firstLine="480" w:firstLineChars="200"/>
        <w:rPr>
          <w:rFonts w:hint="default" w:ascii="Times New Roman" w:hAnsi="Times New Roman"/>
          <w:color w:val="auto"/>
          <w:sz w:val="24"/>
          <w:highlight w:val="none"/>
          <w:lang w:val="en-US" w:eastAsia="zh-CN"/>
        </w:rPr>
      </w:pPr>
      <w:r>
        <w:rPr>
          <w:rFonts w:hint="eastAsia" w:ascii="Times New Roman" w:hAnsi="Times New Roman"/>
          <w:color w:val="auto"/>
          <w:sz w:val="24"/>
          <w:highlight w:val="none"/>
          <w:lang w:val="en-US" w:eastAsia="zh-CN"/>
        </w:rPr>
        <w:t>学院走进企业，融入企业，承担企业培训</w:t>
      </w:r>
    </w:p>
    <w:p>
      <w:pPr>
        <w:spacing w:line="360" w:lineRule="auto"/>
        <w:ind w:firstLine="480" w:firstLineChars="200"/>
        <w:rPr>
          <w:rFonts w:hint="default" w:ascii="Times New Roman" w:hAnsi="Times New Roman"/>
          <w:color w:val="auto"/>
          <w:sz w:val="24"/>
          <w:highlight w:val="none"/>
          <w:lang w:val="en-US" w:eastAsia="zh-CN"/>
        </w:rPr>
      </w:pPr>
      <w:r>
        <w:rPr>
          <w:rFonts w:ascii="Times New Roman" w:hAnsi="Times New Roman"/>
          <w:color w:val="auto"/>
          <w:sz w:val="24"/>
          <w:highlight w:val="none"/>
        </w:rPr>
        <w:t>职业院校应当根据自身特点和人才培养需要，主动与具备条件的企业在人才培养、技术创新、就业创业、社会服务、文化传承等方面开展合作。学校积极为企业提供所需的课程、师资等资源，</w:t>
      </w:r>
    </w:p>
    <w:p>
      <w:pPr>
        <w:spacing w:line="360" w:lineRule="auto"/>
        <w:ind w:firstLine="600" w:firstLineChars="200"/>
        <w:rPr>
          <w:rFonts w:hint="eastAsia" w:ascii="Times New Roman" w:hAnsi="Times New Roman" w:eastAsia="黑体" w:cs="黑体"/>
          <w:bCs/>
          <w:color w:val="auto"/>
          <w:sz w:val="30"/>
          <w:szCs w:val="30"/>
          <w:highlight w:val="none"/>
        </w:rPr>
      </w:pPr>
      <w:r>
        <w:rPr>
          <w:rFonts w:hint="eastAsia" w:ascii="Times New Roman" w:hAnsi="Times New Roman" w:eastAsia="黑体" w:cs="黑体"/>
          <w:bCs/>
          <w:color w:val="auto"/>
          <w:sz w:val="30"/>
          <w:szCs w:val="30"/>
          <w:highlight w:val="none"/>
        </w:rPr>
        <w:t>（</w:t>
      </w:r>
      <w:r>
        <w:rPr>
          <w:rFonts w:hint="eastAsia" w:ascii="Times New Roman" w:hAnsi="Times New Roman" w:eastAsia="黑体" w:cs="黑体"/>
          <w:bCs/>
          <w:color w:val="auto"/>
          <w:sz w:val="30"/>
          <w:szCs w:val="30"/>
          <w:highlight w:val="none"/>
          <w:lang w:val="en-US" w:eastAsia="zh-CN"/>
        </w:rPr>
        <w:t>二</w:t>
      </w:r>
      <w:r>
        <w:rPr>
          <w:rFonts w:hint="eastAsia" w:ascii="Times New Roman" w:hAnsi="Times New Roman" w:eastAsia="黑体" w:cs="黑体"/>
          <w:bCs/>
          <w:color w:val="auto"/>
          <w:sz w:val="30"/>
          <w:szCs w:val="30"/>
          <w:highlight w:val="none"/>
        </w:rPr>
        <w:t>）改革课程与教学</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szCs w:val="24"/>
          <w:highlight w:val="none"/>
        </w:rPr>
        <w:t>1</w:t>
      </w:r>
      <w:r>
        <w:rPr>
          <w:rFonts w:hint="eastAsia" w:ascii="Times New Roman" w:hAnsi="Times New Roman"/>
          <w:color w:val="auto"/>
          <w:sz w:val="24"/>
          <w:szCs w:val="24"/>
          <w:highlight w:val="none"/>
          <w:lang w:eastAsia="zh-CN"/>
        </w:rPr>
        <w:t>.</w:t>
      </w:r>
      <w:r>
        <w:rPr>
          <w:rFonts w:ascii="Times New Roman" w:hAnsi="Times New Roman"/>
          <w:color w:val="auto"/>
          <w:sz w:val="24"/>
          <w:szCs w:val="24"/>
          <w:highlight w:val="none"/>
        </w:rPr>
        <w:t>学生通过公共基础课的学习</w:t>
      </w:r>
      <w:r>
        <w:rPr>
          <w:rFonts w:hint="eastAsia" w:ascii="Times New Roman" w:hAnsi="Times New Roman"/>
          <w:color w:val="auto"/>
          <w:sz w:val="24"/>
          <w:szCs w:val="24"/>
          <w:highlight w:val="none"/>
        </w:rPr>
        <w:t>，</w:t>
      </w:r>
      <w:r>
        <w:rPr>
          <w:rFonts w:ascii="Times New Roman" w:hAnsi="Times New Roman"/>
          <w:color w:val="auto"/>
          <w:sz w:val="24"/>
          <w:szCs w:val="24"/>
          <w:highlight w:val="none"/>
        </w:rPr>
        <w:t>结合实习实训强化劳动教育，深化体育、美育教学</w:t>
      </w:r>
      <w:r>
        <w:rPr>
          <w:rFonts w:ascii="Times New Roman" w:hAnsi="Times New Roman"/>
          <w:color w:val="auto"/>
          <w:sz w:val="24"/>
          <w:highlight w:val="none"/>
        </w:rPr>
        <w:t>改革，促进学生身心健康，提高学生审美和人文素养。</w:t>
      </w:r>
    </w:p>
    <w:p>
      <w:pPr>
        <w:pStyle w:val="23"/>
        <w:spacing w:line="360" w:lineRule="auto"/>
        <w:ind w:firstLine="480"/>
        <w:rPr>
          <w:rFonts w:ascii="Times New Roman" w:hAnsi="Times New Roman"/>
          <w:color w:val="auto"/>
          <w:highlight w:val="none"/>
        </w:rPr>
      </w:pPr>
      <w:r>
        <w:rPr>
          <w:rFonts w:hint="eastAsia" w:ascii="Times New Roman" w:hAnsi="Times New Roman"/>
          <w:color w:val="auto"/>
          <w:highlight w:val="none"/>
        </w:rPr>
        <w:t>2</w:t>
      </w:r>
      <w:r>
        <w:rPr>
          <w:rFonts w:hint="eastAsia" w:ascii="Times New Roman" w:hAnsi="Times New Roman"/>
          <w:color w:val="auto"/>
          <w:highlight w:val="none"/>
          <w:lang w:eastAsia="zh-CN"/>
        </w:rPr>
        <w:t>.</w:t>
      </w:r>
      <w:r>
        <w:rPr>
          <w:rFonts w:hint="eastAsia" w:ascii="Times New Roman" w:hAnsi="Times New Roman"/>
          <w:color w:val="auto"/>
          <w:highlight w:val="none"/>
        </w:rPr>
        <w:t>学生通过学习</w:t>
      </w:r>
      <w:r>
        <w:rPr>
          <w:rFonts w:ascii="Times New Roman" w:hAnsi="Times New Roman"/>
          <w:color w:val="auto"/>
          <w:highlight w:val="none"/>
        </w:rPr>
        <w:t>专业基础课程</w:t>
      </w:r>
      <w:r>
        <w:rPr>
          <w:rFonts w:hint="eastAsia" w:ascii="Times New Roman" w:hAnsi="Times New Roman"/>
          <w:color w:val="auto"/>
          <w:highlight w:val="none"/>
        </w:rPr>
        <w:t>，</w:t>
      </w:r>
      <w:r>
        <w:rPr>
          <w:rFonts w:ascii="Times New Roman" w:hAnsi="Times New Roman"/>
          <w:color w:val="auto"/>
          <w:highlight w:val="none"/>
        </w:rPr>
        <w:t>学习</w:t>
      </w:r>
      <w:r>
        <w:rPr>
          <w:rFonts w:hint="eastAsia" w:ascii="Times New Roman" w:hAnsi="Times New Roman"/>
          <w:color w:val="auto"/>
          <w:highlight w:val="none"/>
        </w:rPr>
        <w:t>理论与</w:t>
      </w:r>
      <w:r>
        <w:rPr>
          <w:rFonts w:ascii="Times New Roman" w:hAnsi="Times New Roman"/>
          <w:color w:val="auto"/>
          <w:highlight w:val="none"/>
        </w:rPr>
        <w:t>技能，培养学生基本</w:t>
      </w:r>
      <w:r>
        <w:rPr>
          <w:rFonts w:hint="eastAsia" w:ascii="Times New Roman" w:hAnsi="Times New Roman"/>
          <w:color w:val="auto"/>
          <w:highlight w:val="none"/>
        </w:rPr>
        <w:t>的</w:t>
      </w:r>
      <w:r>
        <w:rPr>
          <w:rFonts w:ascii="Times New Roman" w:hAnsi="Times New Roman"/>
          <w:color w:val="auto"/>
          <w:highlight w:val="none"/>
        </w:rPr>
        <w:t>职业能力。精选</w:t>
      </w:r>
      <w:r>
        <w:rPr>
          <w:rFonts w:hint="eastAsia" w:ascii="Times New Roman" w:hAnsi="Times New Roman"/>
          <w:color w:val="auto"/>
          <w:highlight w:val="none"/>
        </w:rPr>
        <w:t>专业基础课包括基础化学、化工制图与CAD、化工艺与自动化、化工设备操作、化工文献检索等课程中</w:t>
      </w:r>
      <w:r>
        <w:rPr>
          <w:rFonts w:ascii="Times New Roman" w:hAnsi="Times New Roman"/>
          <w:color w:val="auto"/>
          <w:highlight w:val="none"/>
        </w:rPr>
        <w:t>与专业技能培养紧密相关的知识点，</w:t>
      </w:r>
      <w:r>
        <w:rPr>
          <w:rFonts w:hint="eastAsia" w:ascii="Times New Roman" w:hAnsi="Times New Roman"/>
          <w:color w:val="auto"/>
          <w:highlight w:val="none"/>
        </w:rPr>
        <w:t>设置项目任务，</w:t>
      </w:r>
      <w:r>
        <w:rPr>
          <w:rFonts w:ascii="Times New Roman" w:hAnsi="Times New Roman"/>
          <w:color w:val="auto"/>
          <w:highlight w:val="none"/>
        </w:rPr>
        <w:t>使课程体系与煤化工生产过程尽可能贴近</w:t>
      </w:r>
      <w:r>
        <w:rPr>
          <w:rFonts w:hint="eastAsia" w:ascii="Times New Roman" w:hAnsi="Times New Roman"/>
          <w:color w:val="auto"/>
          <w:highlight w:val="none"/>
        </w:rPr>
        <w:t>，提高学生的理论基础和专业素养</w:t>
      </w:r>
      <w:r>
        <w:rPr>
          <w:rFonts w:ascii="Times New Roman" w:hAnsi="Times New Roman"/>
          <w:color w:val="auto"/>
          <w:highlight w:val="none"/>
        </w:rPr>
        <w:t>。</w:t>
      </w:r>
    </w:p>
    <w:p>
      <w:pPr>
        <w:pStyle w:val="23"/>
        <w:spacing w:line="360" w:lineRule="auto"/>
        <w:ind w:firstLine="480"/>
        <w:rPr>
          <w:rFonts w:ascii="Times New Roman" w:hAnsi="Times New Roman"/>
          <w:color w:val="auto"/>
          <w:highlight w:val="none"/>
        </w:rPr>
      </w:pPr>
      <w:r>
        <w:rPr>
          <w:rFonts w:hint="eastAsia" w:ascii="Times New Roman" w:hAnsi="Times New Roman"/>
          <w:color w:val="auto"/>
          <w:highlight w:val="none"/>
        </w:rPr>
        <w:t>3</w:t>
      </w:r>
      <w:r>
        <w:rPr>
          <w:rFonts w:hint="eastAsia" w:ascii="Times New Roman" w:hAnsi="Times New Roman"/>
          <w:color w:val="auto"/>
          <w:highlight w:val="none"/>
          <w:lang w:eastAsia="zh-CN"/>
        </w:rPr>
        <w:t>.</w:t>
      </w:r>
      <w:r>
        <w:rPr>
          <w:rFonts w:hint="eastAsia" w:ascii="Times New Roman" w:hAnsi="Times New Roman"/>
          <w:color w:val="auto"/>
          <w:highlight w:val="none"/>
        </w:rPr>
        <w:t>学生通过</w:t>
      </w:r>
      <w:r>
        <w:rPr>
          <w:rFonts w:ascii="Times New Roman" w:hAnsi="Times New Roman"/>
          <w:color w:val="auto"/>
          <w:highlight w:val="none"/>
        </w:rPr>
        <w:t>学习核心技能课程</w:t>
      </w:r>
      <w:r>
        <w:rPr>
          <w:rFonts w:hint="eastAsia" w:ascii="Times New Roman" w:hAnsi="Times New Roman"/>
          <w:color w:val="auto"/>
          <w:highlight w:val="none"/>
        </w:rPr>
        <w:t>，培养专业技能。专业核心课程</w:t>
      </w:r>
      <w:r>
        <w:rPr>
          <w:rFonts w:ascii="Times New Roman" w:hAnsi="Times New Roman"/>
          <w:color w:val="auto"/>
          <w:highlight w:val="none"/>
        </w:rPr>
        <w:t>主要设置有化工单元操作、</w:t>
      </w:r>
      <w:r>
        <w:rPr>
          <w:rFonts w:hint="eastAsia" w:ascii="Times New Roman" w:hAnsi="Times New Roman"/>
          <w:color w:val="auto"/>
          <w:highlight w:val="none"/>
        </w:rPr>
        <w:t>煤化学</w:t>
      </w:r>
      <w:r>
        <w:rPr>
          <w:rFonts w:ascii="Times New Roman" w:hAnsi="Times New Roman"/>
          <w:color w:val="auto"/>
          <w:highlight w:val="none"/>
        </w:rPr>
        <w:t>、</w:t>
      </w:r>
      <w:r>
        <w:rPr>
          <w:rFonts w:hint="eastAsia" w:ascii="Times New Roman" w:hAnsi="Times New Roman"/>
          <w:color w:val="auto"/>
          <w:highlight w:val="none"/>
        </w:rPr>
        <w:t>煤炭洗选、煤化工安全与环保、煤炭气化工艺等。</w:t>
      </w:r>
      <w:r>
        <w:rPr>
          <w:rFonts w:ascii="Times New Roman" w:hAnsi="Times New Roman"/>
          <w:color w:val="auto"/>
          <w:highlight w:val="none"/>
        </w:rPr>
        <w:t>技能训练利用校内煤化工实训基地和校外实训基地进行</w:t>
      </w:r>
      <w:r>
        <w:rPr>
          <w:rFonts w:hint="eastAsia" w:ascii="Times New Roman" w:hAnsi="Times New Roman"/>
          <w:color w:val="auto"/>
          <w:highlight w:val="none"/>
        </w:rPr>
        <w:t>，打破传统的学科体系，以培养技术应用能力和职业技能为主线，根据岗位工作要求，</w:t>
      </w:r>
      <w:r>
        <w:rPr>
          <w:rFonts w:ascii="Times New Roman" w:hAnsi="Times New Roman"/>
          <w:color w:val="auto"/>
          <w:highlight w:val="none"/>
        </w:rPr>
        <w:t>采取任务驱动、项目导向、教学做一体化等具体教学模式，重点</w:t>
      </w:r>
      <w:r>
        <w:rPr>
          <w:rFonts w:hint="eastAsia" w:ascii="Times New Roman" w:hAnsi="Times New Roman"/>
          <w:color w:val="auto"/>
          <w:highlight w:val="none"/>
        </w:rPr>
        <w:t>进行</w:t>
      </w:r>
      <w:r>
        <w:rPr>
          <w:rFonts w:ascii="Times New Roman" w:hAnsi="Times New Roman"/>
          <w:color w:val="auto"/>
          <w:highlight w:val="none"/>
        </w:rPr>
        <w:t>岗位工种操作技能</w:t>
      </w:r>
      <w:r>
        <w:rPr>
          <w:rFonts w:hint="eastAsia" w:ascii="Times New Roman" w:hAnsi="Times New Roman"/>
          <w:color w:val="auto"/>
          <w:highlight w:val="none"/>
        </w:rPr>
        <w:t>的</w:t>
      </w:r>
      <w:r>
        <w:rPr>
          <w:rFonts w:ascii="Times New Roman" w:hAnsi="Times New Roman"/>
          <w:color w:val="auto"/>
          <w:highlight w:val="none"/>
        </w:rPr>
        <w:t>训练</w:t>
      </w:r>
      <w:r>
        <w:rPr>
          <w:rFonts w:hint="eastAsia" w:ascii="Times New Roman" w:hAnsi="Times New Roman"/>
          <w:color w:val="auto"/>
          <w:highlight w:val="none"/>
        </w:rPr>
        <w:t>和</w:t>
      </w:r>
      <w:r>
        <w:rPr>
          <w:rFonts w:ascii="Times New Roman" w:hAnsi="Times New Roman"/>
          <w:color w:val="auto"/>
          <w:highlight w:val="none"/>
        </w:rPr>
        <w:t>岗位单项能力</w:t>
      </w:r>
      <w:r>
        <w:rPr>
          <w:rFonts w:hint="eastAsia" w:ascii="Times New Roman" w:hAnsi="Times New Roman"/>
          <w:color w:val="auto"/>
          <w:highlight w:val="none"/>
        </w:rPr>
        <w:t>的</w:t>
      </w:r>
      <w:r>
        <w:rPr>
          <w:rFonts w:ascii="Times New Roman" w:hAnsi="Times New Roman"/>
          <w:color w:val="auto"/>
          <w:highlight w:val="none"/>
        </w:rPr>
        <w:t>培养。</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4</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跟岗实习和网络教学相结合，培养专业技能与专业素养。学生完成一定的基础知识学习和基本训练之后，到企业生产现场，跟从一线技术岗位操作人员进行跟岗实习，培养学生崇尚劳动、崇尚技能、增强安全意识、纪律意识和责任意识，巩固所学知识与技能，为后续专业学习打下坚实的基础。在学生跟岗实习期间专业教师适应“互联网+职业教育”新要求，利用现代信息技术开设多门专业网络课程，学生要求选修5门继续学习，做到网络平台学习和跟岗实习紧密结合。</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5.改进学习过程管理与评价，严格落实培养目标和培养规格要求，加大过程考核、实践技能考核成绩在课程总成绩中的比重，健全多元化考核评价体系，完善学生学习过程监测、评价与反馈机制，引导学生自我管理、主动学习，提高学习效率。强化实习、实训、毕业设计（论文）等实践性教学环节的全过程管理与考核评价。</w:t>
      </w:r>
    </w:p>
    <w:p>
      <w:pPr>
        <w:spacing w:line="360" w:lineRule="auto"/>
        <w:ind w:firstLine="600" w:firstLineChars="200"/>
        <w:rPr>
          <w:rFonts w:ascii="Times New Roman" w:hAnsi="Times New Roman" w:eastAsia="黑体" w:cs="黑体"/>
          <w:bCs/>
          <w:color w:val="auto"/>
          <w:sz w:val="30"/>
          <w:szCs w:val="30"/>
          <w:highlight w:val="none"/>
        </w:rPr>
      </w:pPr>
      <w:r>
        <w:rPr>
          <w:rFonts w:hint="eastAsia" w:ascii="Times New Roman" w:hAnsi="Times New Roman" w:eastAsia="黑体" w:cs="黑体"/>
          <w:bCs/>
          <w:color w:val="auto"/>
          <w:sz w:val="30"/>
          <w:szCs w:val="30"/>
          <w:highlight w:val="none"/>
        </w:rPr>
        <w:t>（</w:t>
      </w:r>
      <w:r>
        <w:rPr>
          <w:rFonts w:hint="eastAsia" w:ascii="Times New Roman" w:hAnsi="Times New Roman" w:eastAsia="黑体" w:cs="黑体"/>
          <w:bCs/>
          <w:color w:val="auto"/>
          <w:sz w:val="30"/>
          <w:szCs w:val="30"/>
          <w:highlight w:val="none"/>
          <w:lang w:val="en-US" w:eastAsia="zh-CN"/>
        </w:rPr>
        <w:t>三</w:t>
      </w:r>
      <w:r>
        <w:rPr>
          <w:rFonts w:hint="eastAsia" w:ascii="Times New Roman" w:hAnsi="Times New Roman" w:eastAsia="黑体" w:cs="黑体"/>
          <w:bCs/>
          <w:color w:val="auto"/>
          <w:sz w:val="30"/>
          <w:szCs w:val="30"/>
          <w:highlight w:val="none"/>
        </w:rPr>
        <w:t>）加强“双师”素质教学团队建设</w:t>
      </w:r>
    </w:p>
    <w:p>
      <w:pPr>
        <w:spacing w:line="440" w:lineRule="exact"/>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学习</w:t>
      </w:r>
      <w:r>
        <w:rPr>
          <w:rFonts w:ascii="Times New Roman" w:hAnsi="Times New Roman"/>
          <w:color w:val="auto"/>
          <w:sz w:val="24"/>
          <w:highlight w:val="none"/>
          <w:shd w:val="clear" w:color="auto" w:fill="FFFFFF"/>
        </w:rPr>
        <w:t>德国双元制职业教育模式</w:t>
      </w:r>
      <w:r>
        <w:rPr>
          <w:rFonts w:hint="eastAsia" w:ascii="Times New Roman" w:hAnsi="Times New Roman"/>
          <w:color w:val="auto"/>
          <w:sz w:val="24"/>
          <w:highlight w:val="none"/>
          <w:shd w:val="clear" w:color="auto" w:fill="FFFFFF"/>
          <w:lang w:eastAsia="zh-CN"/>
        </w:rPr>
        <w:t>，</w:t>
      </w:r>
      <w:r>
        <w:rPr>
          <w:rFonts w:hint="eastAsia" w:ascii="Times New Roman" w:hAnsi="Times New Roman"/>
          <w:color w:val="auto"/>
          <w:sz w:val="24"/>
          <w:highlight w:val="none"/>
          <w:shd w:val="clear" w:color="auto" w:fill="FFFFFF"/>
          <w:lang w:val="en-US" w:eastAsia="zh-CN"/>
        </w:rPr>
        <w:t>在中德合作培养的背景下，</w:t>
      </w:r>
      <w:r>
        <w:rPr>
          <w:rFonts w:ascii="Times New Roman" w:hAnsi="Times New Roman"/>
          <w:color w:val="auto"/>
          <w:sz w:val="24"/>
          <w:highlight w:val="none"/>
        </w:rPr>
        <w:t>通过培养与引聘相结合，建设专兼结合的双师素质结构专业教学团队。</w:t>
      </w:r>
      <w:r>
        <w:rPr>
          <w:rFonts w:hint="eastAsia" w:ascii="Times New Roman" w:hAnsi="Times New Roman"/>
          <w:color w:val="auto"/>
          <w:sz w:val="24"/>
          <w:highlight w:val="none"/>
        </w:rPr>
        <w:t>具体措施如下：</w:t>
      </w:r>
    </w:p>
    <w:p>
      <w:pPr>
        <w:spacing w:line="480" w:lineRule="exact"/>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1.</w:t>
      </w:r>
      <w:r>
        <w:rPr>
          <w:rFonts w:ascii="Times New Roman" w:hAnsi="Times New Roman"/>
          <w:color w:val="auto"/>
          <w:sz w:val="24"/>
          <w:highlight w:val="none"/>
        </w:rPr>
        <w:t>在现有专业教师中选拔1名骨干教师作为专业带头人重点培养对象，通过到到先进高职院校学习职教经验，到企业学习化工生产新技术和顶岗实践，参与行业协会和全国同类化工院校交流，使培养对象能够带领教学团队进行专业人才市场调研，确定人才培养目标、培养规格、制定工学结合的人才培养方案；带领教学团队构建基于工作过程系统化的课程体系，建设专业核心课程；具体负责教学团队中各位教师的发展方向、培训目标、培养措施，整体提高教学团队的建设水平</w:t>
      </w:r>
      <w:r>
        <w:rPr>
          <w:rFonts w:hint="eastAsia" w:ascii="Times New Roman" w:hAnsi="Times New Roman"/>
          <w:color w:val="auto"/>
          <w:sz w:val="24"/>
          <w:highlight w:val="none"/>
        </w:rPr>
        <w:t>。</w:t>
      </w:r>
    </w:p>
    <w:p>
      <w:pPr>
        <w:spacing w:line="480" w:lineRule="exact"/>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2.</w:t>
      </w:r>
      <w:r>
        <w:rPr>
          <w:rFonts w:ascii="Times New Roman" w:hAnsi="Times New Roman"/>
          <w:color w:val="auto"/>
          <w:sz w:val="24"/>
          <w:highlight w:val="none"/>
        </w:rPr>
        <w:t>选拔3名专任教师，到先进企业学习化工生产新技术，顶岗锻炼、业务进修、技术合作，跟踪专业技术发展动态</w:t>
      </w:r>
      <w:r>
        <w:rPr>
          <w:rFonts w:hint="eastAsia" w:ascii="Times New Roman" w:hAnsi="Times New Roman"/>
          <w:color w:val="auto"/>
          <w:sz w:val="24"/>
          <w:highlight w:val="none"/>
        </w:rPr>
        <w:t>，</w:t>
      </w:r>
      <w:r>
        <w:rPr>
          <w:rFonts w:ascii="Times New Roman" w:hAnsi="Times New Roman"/>
          <w:color w:val="auto"/>
          <w:sz w:val="24"/>
          <w:highlight w:val="none"/>
        </w:rPr>
        <w:t>在专业带头人的带领下，</w:t>
      </w:r>
      <w:r>
        <w:rPr>
          <w:rFonts w:hint="eastAsia" w:ascii="Times New Roman" w:hAnsi="Times New Roman"/>
          <w:color w:val="auto"/>
          <w:sz w:val="24"/>
          <w:highlight w:val="none"/>
        </w:rPr>
        <w:t>与企业兼职教师配合，</w:t>
      </w:r>
      <w:r>
        <w:rPr>
          <w:rFonts w:ascii="Times New Roman" w:hAnsi="Times New Roman"/>
          <w:color w:val="auto"/>
          <w:sz w:val="24"/>
          <w:highlight w:val="none"/>
        </w:rPr>
        <w:t>编写具有行业地域特点的、创新的</w:t>
      </w:r>
      <w:r>
        <w:rPr>
          <w:rFonts w:hint="eastAsia" w:ascii="Times New Roman" w:hAnsi="Times New Roman"/>
          <w:color w:val="auto"/>
          <w:sz w:val="24"/>
          <w:highlight w:val="none"/>
        </w:rPr>
        <w:t>校本教材</w:t>
      </w:r>
      <w:r>
        <w:rPr>
          <w:rFonts w:ascii="Times New Roman" w:hAnsi="Times New Roman"/>
          <w:color w:val="auto"/>
          <w:sz w:val="24"/>
          <w:highlight w:val="none"/>
        </w:rPr>
        <w:t>，完成工学结合的优质课程建设；紧密联系行业企业，跟踪化工行业的发展，不断改革教学内容，改革教学方法。</w:t>
      </w:r>
    </w:p>
    <w:p>
      <w:pPr>
        <w:spacing w:line="480" w:lineRule="exact"/>
        <w:ind w:firstLine="480" w:firstLineChars="200"/>
        <w:rPr>
          <w:rFonts w:ascii="Times New Roman" w:hAnsi="Times New Roman"/>
          <w:color w:val="auto"/>
          <w:sz w:val="24"/>
          <w:highlight w:val="none"/>
        </w:rPr>
      </w:pPr>
      <w:r>
        <w:rPr>
          <w:rFonts w:ascii="Times New Roman" w:hAnsi="Times New Roman"/>
          <w:color w:val="auto"/>
          <w:sz w:val="24"/>
          <w:highlight w:val="none"/>
        </w:rPr>
        <w:t>3</w:t>
      </w:r>
      <w:r>
        <w:rPr>
          <w:rFonts w:hint="eastAsia" w:ascii="Times New Roman" w:hAnsi="Times New Roman"/>
          <w:color w:val="auto"/>
          <w:sz w:val="24"/>
          <w:highlight w:val="none"/>
        </w:rPr>
        <w:t>.</w:t>
      </w:r>
      <w:r>
        <w:rPr>
          <w:rFonts w:ascii="Times New Roman" w:hAnsi="Times New Roman"/>
          <w:color w:val="auto"/>
          <w:sz w:val="24"/>
          <w:highlight w:val="none"/>
        </w:rPr>
        <w:t>聘请企业技术人员作为兼职教师，来学校讲授化工生产实际操作知识要点，指导学生实训操作，并参与专业课程建设、实训基地建设，完成专业课程教学任务。</w:t>
      </w: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rPr>
          <w:rFonts w:ascii="Times New Roman" w:hAnsi="Times New Roman"/>
          <w:color w:val="auto"/>
          <w:highlight w:val="none"/>
        </w:rPr>
      </w:pPr>
    </w:p>
    <w:p>
      <w:pPr>
        <w:pStyle w:val="2"/>
        <w:numPr>
          <w:ilvl w:val="0"/>
          <w:numId w:val="3"/>
        </w:numPr>
        <w:spacing w:before="0" w:after="0" w:line="360" w:lineRule="auto"/>
        <w:jc w:val="center"/>
        <w:rPr>
          <w:rFonts w:ascii="Times New Roman" w:hAnsi="Times New Roman" w:eastAsia="黑体" w:cs="黑体"/>
          <w:b w:val="0"/>
          <w:bCs w:val="0"/>
          <w:color w:val="auto"/>
          <w:sz w:val="36"/>
          <w:szCs w:val="36"/>
          <w:highlight w:val="none"/>
        </w:rPr>
      </w:pPr>
      <w:bookmarkStart w:id="30" w:name="_Toc8067"/>
      <w:bookmarkStart w:id="31" w:name="_Toc361913258"/>
      <w:bookmarkStart w:id="32" w:name="_Toc361941171"/>
      <w:bookmarkStart w:id="33" w:name="_Toc361933253"/>
      <w:bookmarkStart w:id="34" w:name="_Toc339913813"/>
      <w:bookmarkStart w:id="35" w:name="_Toc341338643"/>
      <w:bookmarkStart w:id="36" w:name="_Toc339985614"/>
      <w:r>
        <w:rPr>
          <w:rFonts w:hint="eastAsia" w:ascii="Times New Roman" w:hAnsi="Times New Roman" w:eastAsia="黑体" w:cs="黑体"/>
          <w:b w:val="0"/>
          <w:bCs w:val="0"/>
          <w:color w:val="auto"/>
          <w:sz w:val="36"/>
          <w:szCs w:val="36"/>
          <w:highlight w:val="none"/>
        </w:rPr>
        <w:t>煤炭深加工与利用专业职业岗位</w:t>
      </w:r>
      <w:bookmarkEnd w:id="30"/>
      <w:bookmarkEnd w:id="31"/>
      <w:bookmarkStart w:id="37" w:name="_Toc361913259"/>
      <w:bookmarkStart w:id="38" w:name="_Toc361599143"/>
    </w:p>
    <w:p>
      <w:pPr>
        <w:pStyle w:val="2"/>
        <w:spacing w:before="0" w:after="0" w:line="360" w:lineRule="auto"/>
        <w:jc w:val="center"/>
        <w:rPr>
          <w:rFonts w:ascii="Times New Roman" w:hAnsi="Times New Roman" w:eastAsia="黑体" w:cs="黑体"/>
          <w:b w:val="0"/>
          <w:bCs w:val="0"/>
          <w:color w:val="auto"/>
          <w:sz w:val="36"/>
          <w:szCs w:val="36"/>
          <w:highlight w:val="none"/>
        </w:rPr>
      </w:pPr>
      <w:bookmarkStart w:id="39" w:name="_Toc5614"/>
      <w:r>
        <w:rPr>
          <w:rFonts w:hint="eastAsia" w:ascii="Times New Roman" w:hAnsi="Times New Roman" w:eastAsia="黑体" w:cs="黑体"/>
          <w:b w:val="0"/>
          <w:bCs w:val="0"/>
          <w:color w:val="auto"/>
          <w:sz w:val="36"/>
          <w:szCs w:val="36"/>
          <w:highlight w:val="none"/>
        </w:rPr>
        <w:t>与工作任务分析报告</w:t>
      </w:r>
      <w:bookmarkEnd w:id="32"/>
      <w:bookmarkEnd w:id="33"/>
      <w:bookmarkEnd w:id="37"/>
      <w:bookmarkEnd w:id="38"/>
      <w:bookmarkEnd w:id="39"/>
    </w:p>
    <w:p>
      <w:pPr>
        <w:pStyle w:val="3"/>
        <w:snapToGrid w:val="0"/>
        <w:spacing w:before="0" w:after="0" w:line="360" w:lineRule="auto"/>
        <w:ind w:firstLine="640" w:firstLineChars="200"/>
        <w:rPr>
          <w:rFonts w:ascii="Times New Roman" w:hAnsi="Times New Roman"/>
          <w:b w:val="0"/>
          <w:bCs/>
          <w:color w:val="auto"/>
          <w:highlight w:val="none"/>
        </w:rPr>
      </w:pPr>
      <w:bookmarkStart w:id="40" w:name="_Toc361933254"/>
      <w:bookmarkStart w:id="41" w:name="_Toc361941172"/>
      <w:bookmarkStart w:id="42" w:name="_Toc361599144"/>
      <w:bookmarkStart w:id="43" w:name="_Toc361913260"/>
      <w:bookmarkStart w:id="44" w:name="_Toc9718"/>
      <w:r>
        <w:rPr>
          <w:rFonts w:hint="eastAsia" w:ascii="Times New Roman" w:hAnsi="Times New Roman"/>
          <w:b w:val="0"/>
          <w:bCs/>
          <w:color w:val="auto"/>
          <w:highlight w:val="none"/>
        </w:rPr>
        <w:t>一、就业岗位</w:t>
      </w:r>
      <w:bookmarkEnd w:id="40"/>
      <w:bookmarkEnd w:id="41"/>
      <w:bookmarkEnd w:id="42"/>
      <w:bookmarkEnd w:id="43"/>
      <w:bookmarkEnd w:id="44"/>
    </w:p>
    <w:p>
      <w:pPr>
        <w:spacing w:line="360" w:lineRule="auto"/>
        <w:ind w:firstLine="520" w:firstLineChars="217"/>
        <w:rPr>
          <w:rFonts w:ascii="Times New Roman" w:hAnsi="Times New Roman"/>
          <w:bCs/>
          <w:color w:val="auto"/>
          <w:sz w:val="24"/>
          <w:highlight w:val="none"/>
        </w:rPr>
      </w:pPr>
      <w:r>
        <w:rPr>
          <w:rFonts w:hint="eastAsia" w:ascii="Times New Roman" w:hAnsi="Times New Roman"/>
          <w:bCs/>
          <w:color w:val="auto"/>
          <w:sz w:val="24"/>
          <w:highlight w:val="none"/>
        </w:rPr>
        <w:t>煤炭深加工与利用专业主要面向煤炭加工及其相关行业，从事煤炭相关产品生产和车间、工段的初级管理工作。毕业生主要面向煤质检验、煤炭洗选、炼焦生产、煤炭化工生产以及下游产品的深加工领域。此外，毕业生也能够在煤矿、石油炼制、有机化工、精细化工、化工冶金、能源化工、油田化工等领域的相关企业及部门从事生产、工程设计、技术改造、管理、营销等应用型工作。</w:t>
      </w:r>
    </w:p>
    <w:p>
      <w:pPr>
        <w:spacing w:line="360" w:lineRule="auto"/>
        <w:ind w:firstLine="520" w:firstLineChars="217"/>
        <w:rPr>
          <w:rFonts w:ascii="Times New Roman" w:hAnsi="Times New Roman"/>
          <w:bCs/>
          <w:color w:val="auto"/>
          <w:sz w:val="24"/>
          <w:highlight w:val="none"/>
        </w:rPr>
      </w:pPr>
      <w:r>
        <w:rPr>
          <w:rFonts w:hint="eastAsia" w:ascii="Times New Roman" w:hAnsi="Times New Roman"/>
          <w:bCs/>
          <w:color w:val="auto"/>
          <w:sz w:val="24"/>
          <w:highlight w:val="none"/>
        </w:rPr>
        <w:t>按照工作经验和技能水平的不同，还可以分为初始岗位群和发展岗位群。</w:t>
      </w:r>
    </w:p>
    <w:p>
      <w:pPr>
        <w:spacing w:line="360" w:lineRule="auto"/>
        <w:ind w:firstLine="520" w:firstLineChars="217"/>
        <w:rPr>
          <w:rFonts w:ascii="Times New Roman" w:hAnsi="Times New Roman"/>
          <w:bCs/>
          <w:color w:val="auto"/>
          <w:sz w:val="24"/>
          <w:highlight w:val="none"/>
        </w:rPr>
      </w:pPr>
      <w:r>
        <w:rPr>
          <w:rFonts w:hint="eastAsia" w:ascii="Times New Roman" w:hAnsi="Times New Roman"/>
          <w:bCs/>
          <w:color w:val="auto"/>
          <w:sz w:val="24"/>
          <w:highlight w:val="none"/>
        </w:rPr>
        <w:t>初始岗位群：煤质化验、煤炭洗选、焦炉生产操作、煤气化生产、煤气的冷凝、煤气脱硫等相关操作岗位。</w:t>
      </w:r>
    </w:p>
    <w:p>
      <w:pPr>
        <w:spacing w:line="360" w:lineRule="auto"/>
        <w:ind w:firstLine="520" w:firstLineChars="217"/>
        <w:rPr>
          <w:rFonts w:ascii="Times New Roman" w:hAnsi="Times New Roman"/>
          <w:bCs/>
          <w:color w:val="auto"/>
          <w:sz w:val="24"/>
          <w:highlight w:val="none"/>
        </w:rPr>
      </w:pPr>
      <w:r>
        <w:rPr>
          <w:rFonts w:hint="eastAsia" w:ascii="Times New Roman" w:hAnsi="Times New Roman"/>
          <w:bCs/>
          <w:color w:val="auto"/>
          <w:sz w:val="24"/>
          <w:highlight w:val="none"/>
        </w:rPr>
        <w:t>发展岗位群：在获得一定工作经验后，可升迁的职业岗位为产品的质量检测岗位、技术管理岗位、具有一定级别的车间技术人员。</w:t>
      </w:r>
    </w:p>
    <w:p>
      <w:pPr>
        <w:pStyle w:val="3"/>
        <w:snapToGrid w:val="0"/>
        <w:spacing w:before="0" w:after="0" w:line="360" w:lineRule="auto"/>
        <w:ind w:firstLine="640" w:firstLineChars="200"/>
        <w:rPr>
          <w:rFonts w:ascii="Times New Roman" w:hAnsi="Times New Roman"/>
          <w:b w:val="0"/>
          <w:color w:val="auto"/>
          <w:szCs w:val="32"/>
          <w:highlight w:val="none"/>
        </w:rPr>
      </w:pPr>
      <w:bookmarkStart w:id="45" w:name="_Toc361933255"/>
      <w:bookmarkStart w:id="46" w:name="_Toc361941173"/>
      <w:bookmarkStart w:id="47" w:name="_Toc361599145"/>
      <w:bookmarkStart w:id="48" w:name="_Toc28085"/>
      <w:bookmarkStart w:id="49" w:name="_Toc361913261"/>
      <w:r>
        <w:rPr>
          <w:rFonts w:hint="eastAsia" w:ascii="Times New Roman" w:hAnsi="Times New Roman"/>
          <w:b w:val="0"/>
          <w:bCs/>
          <w:color w:val="auto"/>
          <w:highlight w:val="none"/>
        </w:rPr>
        <w:t>二、职业岗位分析</w:t>
      </w:r>
      <w:bookmarkEnd w:id="45"/>
      <w:bookmarkEnd w:id="46"/>
      <w:bookmarkEnd w:id="47"/>
      <w:bookmarkEnd w:id="48"/>
      <w:bookmarkEnd w:id="49"/>
    </w:p>
    <w:p>
      <w:pPr>
        <w:autoSpaceDE w:val="0"/>
        <w:autoSpaceDN w:val="0"/>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通过对社会需求、企业工作岗位的广泛调研和分析归纳发现，目前主要存在的问题是：1</w:t>
      </w:r>
      <w:r>
        <w:rPr>
          <w:rFonts w:ascii="Times New Roman" w:hAnsi="Times New Roman"/>
          <w:color w:val="auto"/>
          <w:sz w:val="24"/>
          <w:highlight w:val="none"/>
        </w:rPr>
        <w:t>.</w:t>
      </w:r>
      <w:r>
        <w:rPr>
          <w:rFonts w:hint="eastAsia" w:ascii="Times New Roman" w:hAnsi="Times New Roman"/>
          <w:color w:val="auto"/>
          <w:sz w:val="24"/>
          <w:highlight w:val="none"/>
        </w:rPr>
        <w:t>技能型人才总量不足，难以满足行业发展的需求。当前我国劳动者素质仍然处于较低水平，且数量短缺；2</w:t>
      </w:r>
      <w:r>
        <w:rPr>
          <w:rFonts w:ascii="Times New Roman" w:hAnsi="Times New Roman"/>
          <w:color w:val="auto"/>
          <w:sz w:val="24"/>
          <w:highlight w:val="none"/>
        </w:rPr>
        <w:t>.</w:t>
      </w:r>
      <w:r>
        <w:rPr>
          <w:rFonts w:hint="eastAsia" w:ascii="Times New Roman" w:hAnsi="Times New Roman"/>
          <w:color w:val="auto"/>
          <w:sz w:val="24"/>
          <w:highlight w:val="none"/>
        </w:rPr>
        <w:t>劳动者素质急需培训提高。</w:t>
      </w:r>
    </w:p>
    <w:p>
      <w:pPr>
        <w:autoSpaceDE w:val="0"/>
        <w:autoSpaceDN w:val="0"/>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我省每年的煤炭深加工与利用专业毕业生尚不能满足煤炭产业对于高素质高技能人才的需求。企业对专科层次的煤炭深加工与利用人员的使用，初期是在生产操作岗位，当他们积累了生产经验后可从事一个车间的工艺管理与安全管理，少量人员可能从事质量监控岗位的分析检验工作和</w:t>
      </w:r>
      <w:r>
        <w:rPr>
          <w:rFonts w:hint="eastAsia" w:ascii="Times New Roman" w:hAnsi="Times New Roman"/>
          <w:bCs/>
          <w:color w:val="auto"/>
          <w:sz w:val="24"/>
          <w:highlight w:val="none"/>
        </w:rPr>
        <w:t>技术管理岗位</w:t>
      </w:r>
      <w:r>
        <w:rPr>
          <w:rFonts w:hint="eastAsia" w:ascii="Times New Roman" w:hAnsi="Times New Roman"/>
          <w:color w:val="auto"/>
          <w:sz w:val="24"/>
          <w:highlight w:val="none"/>
        </w:rPr>
        <w:t>。按工作过程系统化的思想方法，对煤炭深加工与利用专业的职业岗位群、典型工作任务进行分析，得出如下图3.1所示的关系。</w:t>
      </w:r>
    </w:p>
    <w:p>
      <w:pPr>
        <w:spacing w:line="360" w:lineRule="auto"/>
        <w:ind w:firstLine="600" w:firstLineChars="200"/>
        <w:rPr>
          <w:rFonts w:hint="eastAsia" w:ascii="Times New Roman" w:hAnsi="Times New Roman" w:eastAsia="黑体" w:cs="黑体"/>
          <w:bCs/>
          <w:color w:val="auto"/>
          <w:sz w:val="30"/>
          <w:szCs w:val="30"/>
          <w:highlight w:val="none"/>
        </w:rPr>
      </w:pPr>
      <w:r>
        <w:rPr>
          <w:rFonts w:hint="eastAsia" w:ascii="Times New Roman" w:hAnsi="Times New Roman" w:eastAsia="黑体" w:cs="黑体"/>
          <w:bCs/>
          <w:color w:val="auto"/>
          <w:sz w:val="30"/>
          <w:szCs w:val="30"/>
          <w:highlight w:val="none"/>
          <w:lang w:val="en-US" w:eastAsia="zh-CN"/>
        </w:rPr>
        <w:t>（一）</w:t>
      </w:r>
      <w:r>
        <w:rPr>
          <w:rFonts w:hint="eastAsia" w:ascii="Times New Roman" w:hAnsi="Times New Roman" w:eastAsia="黑体" w:cs="黑体"/>
          <w:bCs/>
          <w:color w:val="auto"/>
          <w:sz w:val="30"/>
          <w:szCs w:val="30"/>
          <w:highlight w:val="none"/>
        </w:rPr>
        <w:t>初始岗位群</w:t>
      </w:r>
    </w:p>
    <w:p>
      <w:pPr>
        <w:spacing w:line="360" w:lineRule="auto"/>
        <w:ind w:firstLine="480" w:firstLineChars="200"/>
        <w:rPr>
          <w:rFonts w:hint="eastAsia" w:ascii="Times New Roman" w:hAnsi="Times New Roman"/>
          <w:color w:val="auto"/>
          <w:sz w:val="24"/>
          <w:highlight w:val="none"/>
        </w:rPr>
      </w:pPr>
      <w:r>
        <w:rPr>
          <w:rFonts w:hint="eastAsia" w:ascii="Times New Roman" w:hAnsi="Times New Roman"/>
          <w:color w:val="auto"/>
          <w:sz w:val="24"/>
          <w:highlight w:val="none"/>
        </w:rPr>
        <w:t>生产操作岗位是煤炭深加工与利用工作人员的初始岗位，也是主要岗位，相关专业毕业生初期是进入操作岗位，该岗位也是从业人员较多的岗位。从事该岗位工作的人员应理解生产中常用设备的工作原理，并能熟练操作这类设备，对这类设备相关的机械、电器仪表的知识有适当的掌握，按工作职责不需要他们维修，但应能分析因这些设备引起的故障原因，平时能进行适当的维护。随着计算机技术与自动控制技术的迅速发展，这些技术在煤炭深加工与利用领域得到广泛应用，形成了煤炭深加工与利用生产中普遍采用的DCS 系统，现代化工生产操作都是在DCS系统操控下进行的，一个现代应用化工人才必须掌握DCS 系统原理，并能熟练操作DCS系统。</w:t>
      </w:r>
    </w:p>
    <w:p>
      <w:pPr>
        <w:spacing w:line="360" w:lineRule="auto"/>
        <w:ind w:firstLine="2205" w:firstLineChars="1050"/>
        <w:rPr>
          <w:rFonts w:ascii="Times New Roman" w:hAnsi="Times New Roman"/>
          <w:color w:val="auto"/>
          <w:sz w:val="24"/>
          <w:highlight w:val="none"/>
        </w:rPr>
      </w:pPr>
      <w:r>
        <w:rPr>
          <w:color w:val="auto"/>
          <w:highlight w:val="none"/>
        </w:rPr>
        <mc:AlternateContent>
          <mc:Choice Requires="wps">
            <w:drawing>
              <wp:anchor distT="0" distB="0" distL="114300" distR="114300" simplePos="0" relativeHeight="251677696" behindDoc="0" locked="0" layoutInCell="1" allowOverlap="1">
                <wp:simplePos x="0" y="0"/>
                <wp:positionH relativeFrom="column">
                  <wp:posOffset>1828800</wp:posOffset>
                </wp:positionH>
                <wp:positionV relativeFrom="paragraph">
                  <wp:posOffset>52705</wp:posOffset>
                </wp:positionV>
                <wp:extent cx="1349375" cy="302895"/>
                <wp:effectExtent l="4445" t="5080" r="17780" b="15875"/>
                <wp:wrapNone/>
                <wp:docPr id="33" name="文本框 25"/>
                <wp:cNvGraphicFramePr/>
                <a:graphic xmlns:a="http://schemas.openxmlformats.org/drawingml/2006/main">
                  <a:graphicData uri="http://schemas.microsoft.com/office/word/2010/wordprocessingShape">
                    <wps:wsp>
                      <wps:cNvSpPr txBox="1"/>
                      <wps:spPr>
                        <a:xfrm>
                          <a:off x="0" y="0"/>
                          <a:ext cx="1349375" cy="30289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left="210" w:leftChars="50" w:hanging="105" w:hangingChars="50"/>
                            </w:pPr>
                            <w:r>
                              <w:rPr>
                                <w:rFonts w:hint="eastAsia"/>
                              </w:rPr>
                              <w:t>煤炭深加工与利用</w:t>
                            </w:r>
                          </w:p>
                        </w:txbxContent>
                      </wps:txbx>
                      <wps:bodyPr upright="1"/>
                    </wps:wsp>
                  </a:graphicData>
                </a:graphic>
              </wp:anchor>
            </w:drawing>
          </mc:Choice>
          <mc:Fallback>
            <w:pict>
              <v:shape id="文本框 25" o:spid="_x0000_s1026" o:spt="202" type="#_x0000_t202" style="position:absolute;left:0pt;margin-left:144pt;margin-top:4.15pt;height:23.85pt;width:106.25pt;z-index:251677696;mso-width-relative:page;mso-height-relative:page;" fillcolor="#FFFFFF" filled="t" stroked="t" coordsize="21600,21600" o:gfxdata="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BGFJftcAAAAIAQAADwAAAAAAAAABACAAAAAiAAAAZHJzL2Rvd25yZXYueG1s&#10;UEsBAhQAFAAAAAgAh07iQEiFn6z5AQAA+AMAAA4AAAAAAAAAAQAgAAAAJgEAAGRycy9lMm9Eb2Mu&#10;eG1sUEsFBgAAAAAGAAYAWQEAAJEFAAAAAA==&#10;">
                <v:fill on="t" focussize="0,0"/>
                <v:stroke color="#000000" joinstyle="miter"/>
                <v:imagedata o:title=""/>
                <o:lock v:ext="edit" aspectratio="f"/>
                <v:textbox>
                  <w:txbxContent>
                    <w:p>
                      <w:pPr>
                        <w:ind w:left="210" w:leftChars="50" w:hanging="105" w:hangingChars="50"/>
                      </w:pPr>
                      <w:r>
                        <w:rPr>
                          <w:rFonts w:hint="eastAsia"/>
                        </w:rPr>
                        <w:t>煤炭深加工与利用</w:t>
                      </w:r>
                    </w:p>
                  </w:txbxContent>
                </v:textbox>
              </v:shape>
            </w:pict>
          </mc:Fallback>
        </mc:AlternateContent>
      </w:r>
      <w:r>
        <w:rPr>
          <w:color w:val="auto"/>
          <w:highlight w:val="none"/>
        </w:rPr>
        <mc:AlternateContent>
          <mc:Choice Requires="wps">
            <w:drawing>
              <wp:anchor distT="0" distB="0" distL="114300" distR="114300" simplePos="0" relativeHeight="251675648" behindDoc="0" locked="0" layoutInCell="1" allowOverlap="1">
                <wp:simplePos x="0" y="0"/>
                <wp:positionH relativeFrom="column">
                  <wp:posOffset>2057400</wp:posOffset>
                </wp:positionH>
                <wp:positionV relativeFrom="paragraph">
                  <wp:posOffset>250825</wp:posOffset>
                </wp:positionV>
                <wp:extent cx="228600" cy="297180"/>
                <wp:effectExtent l="3810" t="3175" r="15240" b="4445"/>
                <wp:wrapNone/>
                <wp:docPr id="25" name="直接连接符 23"/>
                <wp:cNvGraphicFramePr/>
                <a:graphic xmlns:a="http://schemas.openxmlformats.org/drawingml/2006/main">
                  <a:graphicData uri="http://schemas.microsoft.com/office/word/2010/wordprocessingShape">
                    <wps:wsp>
                      <wps:cNvCnPr/>
                      <wps:spPr>
                        <a:xfrm flipH="1">
                          <a:off x="0" y="0"/>
                          <a:ext cx="228600" cy="29718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接连接符 23" o:spid="_x0000_s1026" o:spt="20" style="position:absolute;left:0pt;flip:x;margin-left:162pt;margin-top:19.75pt;height:23.4pt;width:18pt;z-index:251675648;mso-width-relative:page;mso-height-relative:page;" filled="f" stroked="t" coordsize="21600,21600" o:gfxdata="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8cuNa1wAA&#10;AAkBAAAPAAAAAAAAAAEAIAAAACIAAABkcnMvZG93bnJldi54bWxQSwECFAAUAAAACACHTuJAuW1u&#10;IOYBAACoAwAADgAAAAAAAAABACAAAAAmAQAAZHJzL2Uyb0RvYy54bWxQSwUGAAAAAAYABgBZAQAA&#10;fgUAAAAA&#10;">
                <v:fill on="f" focussize="0,0"/>
                <v:stroke color="#000000" joinstyle="round"/>
                <v:imagedata o:title=""/>
                <o:lock v:ext="edit" aspectratio="f"/>
              </v:line>
            </w:pict>
          </mc:Fallback>
        </mc:AlternateContent>
      </w:r>
      <w:r>
        <w:rPr>
          <w:color w:val="auto"/>
          <w:highlight w:val="none"/>
        </w:rPr>
        <mc:AlternateContent>
          <mc:Choice Requires="wps">
            <w:drawing>
              <wp:anchor distT="0" distB="0" distL="114300" distR="114300" simplePos="0" relativeHeight="251674624" behindDoc="0" locked="0" layoutInCell="1" allowOverlap="1">
                <wp:simplePos x="0" y="0"/>
                <wp:positionH relativeFrom="column">
                  <wp:posOffset>3086100</wp:posOffset>
                </wp:positionH>
                <wp:positionV relativeFrom="paragraph">
                  <wp:posOffset>250825</wp:posOffset>
                </wp:positionV>
                <wp:extent cx="1371600" cy="297180"/>
                <wp:effectExtent l="1270" t="4445" r="17780" b="22225"/>
                <wp:wrapNone/>
                <wp:docPr id="28" name="直接连接符 28"/>
                <wp:cNvGraphicFramePr/>
                <a:graphic xmlns:a="http://schemas.openxmlformats.org/drawingml/2006/main">
                  <a:graphicData uri="http://schemas.microsoft.com/office/word/2010/wordprocessingShape">
                    <wps:wsp>
                      <wps:cNvCnPr/>
                      <wps:spPr>
                        <a:xfrm>
                          <a:off x="0" y="0"/>
                          <a:ext cx="1371600" cy="29718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43pt;margin-top:19.75pt;height:23.4pt;width:108pt;z-index:251674624;mso-width-relative:page;mso-height-relative:page;" filled="f" stroked="t" coordsize="21600,21600" o:gfxdata="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a59IL2AAAAAkBAAAPAAAA&#10;AAAAAAEAIAAAACIAAABkcnMvZG93bnJldi54bWxQSwECFAAUAAAACACHTuJALF/N/9wBAACfAwAA&#10;DgAAAAAAAAABACAAAAAnAQAAZHJzL2Uyb0RvYy54bWxQSwUGAAAAAAYABgBZAQAAdQUAAAAA&#10;">
                <v:fill on="f" focussize="0,0"/>
                <v:stroke color="#000000" joinstyle="round"/>
                <v:imagedata o:title=""/>
                <o:lock v:ext="edit" aspectratio="f"/>
              </v:line>
            </w:pict>
          </mc:Fallback>
        </mc:AlternateContent>
      </w:r>
      <w:r>
        <w:rPr>
          <w:color w:val="auto"/>
          <w:highlight w:val="none"/>
        </w:rPr>
        <mc:AlternateContent>
          <mc:Choice Requires="wps">
            <w:drawing>
              <wp:anchor distT="0" distB="0" distL="114300" distR="114300" simplePos="0" relativeHeight="251676672" behindDoc="0" locked="0" layoutInCell="1" allowOverlap="1">
                <wp:simplePos x="0" y="0"/>
                <wp:positionH relativeFrom="column">
                  <wp:posOffset>2877820</wp:posOffset>
                </wp:positionH>
                <wp:positionV relativeFrom="paragraph">
                  <wp:posOffset>243840</wp:posOffset>
                </wp:positionV>
                <wp:extent cx="436880" cy="304165"/>
                <wp:effectExtent l="2540" t="3810" r="17780" b="15875"/>
                <wp:wrapNone/>
                <wp:docPr id="29" name="直接连接符 29"/>
                <wp:cNvGraphicFramePr/>
                <a:graphic xmlns:a="http://schemas.openxmlformats.org/drawingml/2006/main">
                  <a:graphicData uri="http://schemas.microsoft.com/office/word/2010/wordprocessingShape">
                    <wps:wsp>
                      <wps:cNvCnPr/>
                      <wps:spPr>
                        <a:xfrm>
                          <a:off x="0" y="0"/>
                          <a:ext cx="436880" cy="30416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26.6pt;margin-top:19.2pt;height:23.95pt;width:34.4pt;z-index:251676672;mso-width-relative:page;mso-height-relative:page;" filled="f" stroked="t" coordsize="21600,21600" o:gfxdata="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eAoafYAAAACQEAAA8AAAAA&#10;AAAAAQAgAAAAIgAAAGRycy9kb3ducmV2LnhtbFBLAQIUABQAAAAIAIdO4kDCsT+B2wEAAJ4DAAAO&#10;AAAAAAAAAAEAIAAAACcBAABkcnMvZTJvRG9jLnhtbFBLBQYAAAAABgAGAFkBAAB0BQAAAAA=&#10;">
                <v:fill on="f" focussize="0,0"/>
                <v:stroke color="#000000" joinstyle="round"/>
                <v:imagedata o:title=""/>
                <o:lock v:ext="edit" aspectratio="f"/>
              </v:line>
            </w:pict>
          </mc:Fallback>
        </mc:AlternateContent>
      </w:r>
      <w:r>
        <w:rPr>
          <w:color w:val="auto"/>
          <w:highlight w:val="none"/>
        </w:rPr>
        <mc:AlternateContent>
          <mc:Choice Requires="wps">
            <w:drawing>
              <wp:anchor distT="0" distB="0" distL="114300" distR="114300" simplePos="0" relativeHeight="251673600" behindDoc="0" locked="0" layoutInCell="1" allowOverlap="1">
                <wp:simplePos x="0" y="0"/>
                <wp:positionH relativeFrom="column">
                  <wp:posOffset>571500</wp:posOffset>
                </wp:positionH>
                <wp:positionV relativeFrom="paragraph">
                  <wp:posOffset>250825</wp:posOffset>
                </wp:positionV>
                <wp:extent cx="1485900" cy="297180"/>
                <wp:effectExtent l="635" t="4445" r="18415" b="22225"/>
                <wp:wrapNone/>
                <wp:docPr id="30" name="直接连接符 30"/>
                <wp:cNvGraphicFramePr/>
                <a:graphic xmlns:a="http://schemas.openxmlformats.org/drawingml/2006/main">
                  <a:graphicData uri="http://schemas.microsoft.com/office/word/2010/wordprocessingShape">
                    <wps:wsp>
                      <wps:cNvCnPr/>
                      <wps:spPr>
                        <a:xfrm flipV="1">
                          <a:off x="0" y="0"/>
                          <a:ext cx="1485900" cy="29718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45pt;margin-top:19.75pt;height:23.4pt;width:117pt;z-index:251673600;mso-width-relative:page;mso-height-relative:page;" filled="f" stroked="t" coordsize="21600,21600" o:gfxdata="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UbjEUdYAAAAI&#10;AQAADwAAAAAAAAABACAAAAAiAAAAZHJzL2Rvd25yZXYueG1sUEsBAhQAFAAAAAgAh07iQMu5rbTl&#10;AQAAqQMAAA4AAAAAAAAAAQAgAAAAJQEAAGRycy9lMm9Eb2MueG1sUEsFBgAAAAAGAAYAWQEAAHwF&#10;AAAAAA==&#10;">
                <v:fill on="f" focussize="0,0"/>
                <v:stroke color="#000000" joinstyle="round"/>
                <v:imagedata o:title=""/>
                <o:lock v:ext="edit" aspectratio="f"/>
              </v:line>
            </w:pict>
          </mc:Fallback>
        </mc:AlternateContent>
      </w:r>
    </w:p>
    <w:p>
      <w:pPr>
        <w:spacing w:line="360" w:lineRule="auto"/>
        <w:ind w:firstLine="420" w:firstLineChars="200"/>
        <w:rPr>
          <w:rFonts w:ascii="Times New Roman" w:hAnsi="Times New Roman" w:eastAsia="黑体"/>
          <w:color w:val="auto"/>
          <w:sz w:val="32"/>
          <w:szCs w:val="32"/>
          <w:highlight w:val="none"/>
        </w:rPr>
      </w:pPr>
      <w:r>
        <w:rPr>
          <w:color w:val="auto"/>
          <w:highlight w:val="none"/>
        </w:rPr>
        <mc:AlternateContent>
          <mc:Choice Requires="wps">
            <w:drawing>
              <wp:anchor distT="0" distB="0" distL="114300" distR="114300" simplePos="0" relativeHeight="251670528" behindDoc="0" locked="0" layoutInCell="1" allowOverlap="1">
                <wp:simplePos x="0" y="0"/>
                <wp:positionH relativeFrom="column">
                  <wp:posOffset>229870</wp:posOffset>
                </wp:positionH>
                <wp:positionV relativeFrom="paragraph">
                  <wp:posOffset>804545</wp:posOffset>
                </wp:positionV>
                <wp:extent cx="342900" cy="990600"/>
                <wp:effectExtent l="4445" t="1270" r="14605" b="17780"/>
                <wp:wrapNone/>
                <wp:docPr id="27" name="直接连接符 27"/>
                <wp:cNvGraphicFramePr/>
                <a:graphic xmlns:a="http://schemas.openxmlformats.org/drawingml/2006/main">
                  <a:graphicData uri="http://schemas.microsoft.com/office/word/2010/wordprocessingShape">
                    <wps:wsp>
                      <wps:cNvCnPr/>
                      <wps:spPr>
                        <a:xfrm flipH="1">
                          <a:off x="0" y="0"/>
                          <a:ext cx="342900" cy="99060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x;margin-left:18.1pt;margin-top:63.35pt;height:78pt;width:27pt;z-index:251670528;mso-width-relative:page;mso-height-relative:page;" filled="f" stroked="t" coordsize="21600,21600" o:gfxdata="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pe3971gAAAAkBAAAP&#10;AAAAAAAAAAEAIAAAACIAAABkcnMvZG93bnJldi54bWxQSwECFAAUAAAACACHTuJA+rjWzeEBAACo&#10;AwAADgAAAAAAAAABACAAAAAlAQAAZHJzL2Uyb0RvYy54bWxQSwUGAAAAAAYABgBZAQAAeAUAAAAA&#10;">
                <v:fill on="f" focussize="0,0"/>
                <v:stroke color="#000000" joinstyle="round"/>
                <v:imagedata o:title=""/>
                <o:lock v:ext="edit" aspectratio="f"/>
              </v:line>
            </w:pict>
          </mc:Fallback>
        </mc:AlternateContent>
      </w:r>
      <w:r>
        <w:rPr>
          <w:color w:val="auto"/>
          <w:highlight w:val="none"/>
        </w:rPr>
        <mc:AlternateContent>
          <mc:Choice Requires="wps">
            <w:drawing>
              <wp:anchor distT="0" distB="0" distL="114300" distR="114300" simplePos="0" relativeHeight="251672576" behindDoc="0" locked="0" layoutInCell="1" allowOverlap="1">
                <wp:simplePos x="0" y="0"/>
                <wp:positionH relativeFrom="column">
                  <wp:posOffset>140335</wp:posOffset>
                </wp:positionH>
                <wp:positionV relativeFrom="paragraph">
                  <wp:posOffset>1635125</wp:posOffset>
                </wp:positionV>
                <wp:extent cx="342265" cy="1534795"/>
                <wp:effectExtent l="4445" t="4445" r="15240" b="22860"/>
                <wp:wrapNone/>
                <wp:docPr id="24" name="文本框 24"/>
                <wp:cNvGraphicFramePr/>
                <a:graphic xmlns:a="http://schemas.openxmlformats.org/drawingml/2006/main">
                  <a:graphicData uri="http://schemas.microsoft.com/office/word/2010/wordprocessingShape">
                    <wps:wsp>
                      <wps:cNvSpPr txBox="1"/>
                      <wps:spPr>
                        <a:xfrm>
                          <a:off x="0" y="0"/>
                          <a:ext cx="342265" cy="153479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105" w:firstLineChars="50"/>
                            </w:pPr>
                            <w:r>
                              <w:rPr>
                                <w:rFonts w:hint="eastAsia"/>
                              </w:rPr>
                              <w:t>煤炭深加工与利用工艺操作岗位</w:t>
                            </w:r>
                          </w:p>
                        </w:txbxContent>
                      </wps:txbx>
                      <wps:bodyPr vert="eaVert" upright="1"/>
                    </wps:wsp>
                  </a:graphicData>
                </a:graphic>
              </wp:anchor>
            </w:drawing>
          </mc:Choice>
          <mc:Fallback>
            <w:pict>
              <v:shape id="_x0000_s1026" o:spid="_x0000_s1026" o:spt="202" type="#_x0000_t202" style="position:absolute;left:0pt;margin-left:11.05pt;margin-top:128.75pt;height:120.85pt;width:26.95pt;z-index:251672576;mso-width-relative:page;mso-height-relative:page;" fillcolor="#FFFFFF" filled="t" stroked="t" coordsize="21600,21600" o:gfxdata="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ronqO2AAAAAkBAAAPAAAAAAAAAAEAIAAAACIAAABkcnMvZG93&#10;bnJldi54bWxQSwECFAAUAAAACACHTuJAFUhCgQACAAAGBAAADgAAAAAAAAABACAAAAAnAQAAZHJz&#10;L2Uyb0RvYy54bWxQSwUGAAAAAAYABgBZAQAAmQUAAAAA&#10;">
                <v:fill on="t" focussize="0,0"/>
                <v:stroke color="#000000" joinstyle="miter"/>
                <v:imagedata o:title=""/>
                <o:lock v:ext="edit" aspectratio="f"/>
                <v:textbox style="layout-flow:vertical-ideographic;">
                  <w:txbxContent>
                    <w:p>
                      <w:pPr>
                        <w:ind w:firstLine="105" w:firstLineChars="50"/>
                      </w:pPr>
                      <w:r>
                        <w:rPr>
                          <w:rFonts w:hint="eastAsia"/>
                        </w:rPr>
                        <w:t>煤炭深加工与利用工艺操作岗位</w:t>
                      </w:r>
                    </w:p>
                  </w:txbxContent>
                </v:textbox>
              </v:shape>
            </w:pict>
          </mc:Fallback>
        </mc:AlternateContent>
      </w:r>
      <w:r>
        <w:rPr>
          <w:color w:val="auto"/>
          <w:highlight w:val="none"/>
        </w:rPr>
        <mc:AlternateContent>
          <mc:Choice Requires="wps">
            <w:drawing>
              <wp:anchor distT="0" distB="0" distL="114300" distR="114300" simplePos="0" relativeHeight="251671552" behindDoc="0" locked="0" layoutInCell="1" allowOverlap="1">
                <wp:simplePos x="0" y="0"/>
                <wp:positionH relativeFrom="column">
                  <wp:posOffset>228600</wp:posOffset>
                </wp:positionH>
                <wp:positionV relativeFrom="paragraph">
                  <wp:posOffset>1882140</wp:posOffset>
                </wp:positionV>
                <wp:extent cx="635" cy="0"/>
                <wp:effectExtent l="0" t="0" r="0" b="0"/>
                <wp:wrapNone/>
                <wp:docPr id="23" name="直接连接符 26"/>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接连接符 26" o:spid="_x0000_s1026" o:spt="20" style="position:absolute;left:0pt;margin-left:18pt;margin-top:148.2pt;height:0pt;width:0.05pt;z-index:251671552;mso-width-relative:page;mso-height-relative:page;" filled="f" stroked="t" coordsize="21600,21600" o:gfxdata="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5X/X1gAAAAkBAAAPAAAAAAAAAAEAIAAA&#10;ACIAAABkcnMvZG93bnJldi54bWxQSwECFAAUAAAACACHTuJA794U+9UBAACWAwAADgAAAAAAAAAB&#10;ACAAAAAlAQAAZHJzL2Uyb0RvYy54bWxQSwUGAAAAAAYABgBZAQAAbAUAAAAA&#10;">
                <v:fill on="f" focussize="0,0"/>
                <v:stroke color="#000000" joinstyle="round"/>
                <v:imagedata o:title=""/>
                <o:lock v:ext="edit" aspectratio="f"/>
              </v:line>
            </w:pict>
          </mc:Fallback>
        </mc:AlternateContent>
      </w:r>
      <w:r>
        <w:rPr>
          <w:color w:val="auto"/>
          <w:highlight w:val="none"/>
        </w:rPr>
        <mc:AlternateContent>
          <mc:Choice Requires="wpc">
            <w:drawing>
              <wp:inline distT="0" distB="0" distL="114300" distR="114300">
                <wp:extent cx="5257800" cy="3070860"/>
                <wp:effectExtent l="5080" t="0" r="0" b="15875"/>
                <wp:docPr id="22"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文本框 3"/>
                        <wps:cNvSpPr txBox="1"/>
                        <wps:spPr>
                          <a:xfrm>
                            <a:off x="1371400" y="198304"/>
                            <a:ext cx="685700" cy="4950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210" w:leftChars="50" w:hanging="105" w:hangingChars="50"/>
                              </w:pPr>
                              <w:r>
                                <w:rPr>
                                  <w:rFonts w:hint="eastAsia"/>
                                </w:rPr>
                                <w:t>工艺管</w:t>
                              </w:r>
                            </w:p>
                            <w:p>
                              <w:pPr>
                                <w:ind w:left="210" w:leftChars="50" w:hanging="105" w:hangingChars="50"/>
                              </w:pPr>
                              <w:r>
                                <w:rPr>
                                  <w:rFonts w:hint="eastAsia"/>
                                </w:rPr>
                                <w:t>理岗位</w:t>
                              </w:r>
                            </w:p>
                          </w:txbxContent>
                        </wps:txbx>
                        <wps:bodyPr upright="1"/>
                      </wps:wsp>
                      <wps:wsp>
                        <wps:cNvPr id="3" name="文本框 4"/>
                        <wps:cNvSpPr txBox="1"/>
                        <wps:spPr>
                          <a:xfrm>
                            <a:off x="2628900" y="198304"/>
                            <a:ext cx="686400" cy="4950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105" w:leftChars="50"/>
                              </w:pPr>
                              <w:r>
                                <w:rPr>
                                  <w:rFonts w:hint="eastAsia"/>
                                </w:rPr>
                                <w:t>质量监控岗位</w:t>
                              </w:r>
                            </w:p>
                          </w:txbxContent>
                        </wps:txbx>
                        <wps:bodyPr upright="1"/>
                      </wps:wsp>
                      <wps:wsp>
                        <wps:cNvPr id="4" name="文本框 5"/>
                        <wps:cNvSpPr txBox="1"/>
                        <wps:spPr>
                          <a:xfrm>
                            <a:off x="3886300" y="198304"/>
                            <a:ext cx="686500" cy="4950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105" w:leftChars="50"/>
                              </w:pPr>
                              <w:r>
                                <w:rPr>
                                  <w:rFonts w:hint="eastAsia"/>
                                </w:rPr>
                                <w:t>安全管理岗位</w:t>
                              </w:r>
                            </w:p>
                          </w:txbxContent>
                        </wps:txbx>
                        <wps:bodyPr upright="1"/>
                      </wps:wsp>
                      <wps:wsp>
                        <wps:cNvPr id="5" name="文本框 6"/>
                        <wps:cNvSpPr txBox="1"/>
                        <wps:spPr>
                          <a:xfrm>
                            <a:off x="0" y="198304"/>
                            <a:ext cx="685700" cy="4950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210" w:leftChars="50" w:hanging="105" w:hangingChars="50"/>
                              </w:pPr>
                              <w:r>
                                <w:rPr>
                                  <w:rFonts w:hint="eastAsia"/>
                                </w:rPr>
                                <w:t>生产操</w:t>
                              </w:r>
                            </w:p>
                            <w:p>
                              <w:pPr>
                                <w:ind w:left="210" w:leftChars="50" w:hanging="105" w:hangingChars="50"/>
                              </w:pPr>
                              <w:r>
                                <w:rPr>
                                  <w:rFonts w:hint="eastAsia"/>
                                </w:rPr>
                                <w:t>作岗位</w:t>
                              </w:r>
                            </w:p>
                          </w:txbxContent>
                        </wps:txbx>
                        <wps:bodyPr upright="1"/>
                      </wps:wsp>
                      <wps:wsp>
                        <wps:cNvPr id="6" name="直接连接符 7"/>
                        <wps:cNvCnPr/>
                        <wps:spPr>
                          <a:xfrm>
                            <a:off x="343200" y="792515"/>
                            <a:ext cx="113200" cy="990819"/>
                          </a:xfrm>
                          <a:prstGeom prst="line">
                            <a:avLst/>
                          </a:prstGeom>
                          <a:ln w="9525" cap="flat" cmpd="sng">
                            <a:solidFill>
                              <a:srgbClr val="000000"/>
                            </a:solidFill>
                            <a:prstDash val="solid"/>
                            <a:headEnd type="none" w="med" len="med"/>
                            <a:tailEnd type="none" w="med" len="med"/>
                          </a:ln>
                        </wps:spPr>
                        <wps:bodyPr upright="1"/>
                      </wps:wsp>
                      <wps:wsp>
                        <wps:cNvPr id="7" name="直接连接符 8"/>
                        <wps:cNvCnPr/>
                        <wps:spPr>
                          <a:xfrm flipH="1">
                            <a:off x="1486000" y="693314"/>
                            <a:ext cx="228600" cy="990819"/>
                          </a:xfrm>
                          <a:prstGeom prst="line">
                            <a:avLst/>
                          </a:prstGeom>
                          <a:ln w="9525" cap="flat" cmpd="sng">
                            <a:solidFill>
                              <a:srgbClr val="000000"/>
                            </a:solidFill>
                            <a:prstDash val="solid"/>
                            <a:headEnd type="none" w="med" len="med"/>
                            <a:tailEnd type="none" w="med" len="med"/>
                          </a:ln>
                        </wps:spPr>
                        <wps:bodyPr upright="1"/>
                      </wps:wsp>
                      <wps:wsp>
                        <wps:cNvPr id="8" name="直接连接符 9"/>
                        <wps:cNvCnPr/>
                        <wps:spPr>
                          <a:xfrm>
                            <a:off x="1714600" y="693314"/>
                            <a:ext cx="457100" cy="891717"/>
                          </a:xfrm>
                          <a:prstGeom prst="line">
                            <a:avLst/>
                          </a:prstGeom>
                          <a:ln w="9525" cap="flat" cmpd="sng">
                            <a:solidFill>
                              <a:srgbClr val="000000"/>
                            </a:solidFill>
                            <a:prstDash val="solid"/>
                            <a:headEnd type="none" w="med" len="med"/>
                            <a:tailEnd type="none" w="med" len="med"/>
                          </a:ln>
                        </wps:spPr>
                        <wps:bodyPr upright="1"/>
                      </wps:wsp>
                      <wps:wsp>
                        <wps:cNvPr id="9" name="直接连接符 10"/>
                        <wps:cNvCnPr/>
                        <wps:spPr>
                          <a:xfrm flipH="1">
                            <a:off x="2743500" y="693314"/>
                            <a:ext cx="227100" cy="891717"/>
                          </a:xfrm>
                          <a:prstGeom prst="line">
                            <a:avLst/>
                          </a:prstGeom>
                          <a:ln w="9525" cap="flat" cmpd="sng">
                            <a:solidFill>
                              <a:srgbClr val="000000"/>
                            </a:solidFill>
                            <a:prstDash val="solid"/>
                            <a:headEnd type="none" w="med" len="med"/>
                            <a:tailEnd type="none" w="med" len="med"/>
                          </a:ln>
                        </wps:spPr>
                        <wps:bodyPr upright="1"/>
                      </wps:wsp>
                      <wps:wsp>
                        <wps:cNvPr id="10" name="直接连接符 11"/>
                        <wps:cNvCnPr/>
                        <wps:spPr>
                          <a:xfrm flipH="1">
                            <a:off x="4000300" y="693314"/>
                            <a:ext cx="228500" cy="891717"/>
                          </a:xfrm>
                          <a:prstGeom prst="line">
                            <a:avLst/>
                          </a:prstGeom>
                          <a:ln w="9525" cap="flat" cmpd="sng">
                            <a:solidFill>
                              <a:srgbClr val="000000"/>
                            </a:solidFill>
                            <a:prstDash val="solid"/>
                            <a:headEnd type="none" w="med" len="med"/>
                            <a:tailEnd type="none" w="med" len="med"/>
                          </a:ln>
                        </wps:spPr>
                        <wps:bodyPr upright="1"/>
                      </wps:wsp>
                      <wps:wsp>
                        <wps:cNvPr id="11" name="直接连接符 12"/>
                        <wps:cNvCnPr/>
                        <wps:spPr>
                          <a:xfrm>
                            <a:off x="4228800" y="693314"/>
                            <a:ext cx="457200" cy="891717"/>
                          </a:xfrm>
                          <a:prstGeom prst="line">
                            <a:avLst/>
                          </a:prstGeom>
                          <a:ln w="9525" cap="flat" cmpd="sng">
                            <a:solidFill>
                              <a:srgbClr val="000000"/>
                            </a:solidFill>
                            <a:prstDash val="solid"/>
                            <a:headEnd type="none" w="med" len="med"/>
                            <a:tailEnd type="none" w="med" len="med"/>
                          </a:ln>
                        </wps:spPr>
                        <wps:bodyPr upright="1"/>
                      </wps:wsp>
                      <wps:wsp>
                        <wps:cNvPr id="12" name="直接连接符 13"/>
                        <wps:cNvCnPr/>
                        <wps:spPr>
                          <a:xfrm>
                            <a:off x="2972100" y="693314"/>
                            <a:ext cx="457100" cy="891717"/>
                          </a:xfrm>
                          <a:prstGeom prst="line">
                            <a:avLst/>
                          </a:prstGeom>
                          <a:ln w="9525" cap="flat" cmpd="sng">
                            <a:solidFill>
                              <a:srgbClr val="000000"/>
                            </a:solidFill>
                            <a:prstDash val="solid"/>
                            <a:headEnd type="none" w="med" len="med"/>
                            <a:tailEnd type="none" w="med" len="med"/>
                          </a:ln>
                        </wps:spPr>
                        <wps:bodyPr upright="1"/>
                      </wps:wsp>
                      <wps:wsp>
                        <wps:cNvPr id="13" name="文本框 14"/>
                        <wps:cNvSpPr txBox="1"/>
                        <wps:spPr>
                          <a:xfrm>
                            <a:off x="2628900" y="1585031"/>
                            <a:ext cx="342400" cy="148582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10" w:firstLineChars="100"/>
                              </w:pPr>
                              <w:r>
                                <w:rPr>
                                  <w:rFonts w:hint="eastAsia"/>
                                </w:rPr>
                                <w:t>产品质量控制岗位</w:t>
                              </w:r>
                            </w:p>
                          </w:txbxContent>
                        </wps:txbx>
                        <wps:bodyPr vert="eaVert" upright="1"/>
                      </wps:wsp>
                      <wps:wsp>
                        <wps:cNvPr id="14" name="文本框 15"/>
                        <wps:cNvSpPr txBox="1"/>
                        <wps:spPr>
                          <a:xfrm>
                            <a:off x="4457400" y="1585031"/>
                            <a:ext cx="343200" cy="1485829"/>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 xml:space="preserve">  危险产品管理岗位</w:t>
                              </w:r>
                            </w:p>
                          </w:txbxContent>
                        </wps:txbx>
                        <wps:bodyPr vert="eaVert" upright="1"/>
                      </wps:wsp>
                      <wps:wsp>
                        <wps:cNvPr id="15" name="文本框 16"/>
                        <wps:cNvSpPr txBox="1"/>
                        <wps:spPr>
                          <a:xfrm>
                            <a:off x="3886300" y="1585031"/>
                            <a:ext cx="343300" cy="148582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10" w:firstLineChars="100"/>
                              </w:pPr>
                              <w:r>
                                <w:rPr>
                                  <w:rFonts w:hint="eastAsia"/>
                                </w:rPr>
                                <w:t>安全生产管理能力</w:t>
                              </w:r>
                            </w:p>
                          </w:txbxContent>
                        </wps:txbx>
                        <wps:bodyPr vert="eaVert" upright="1"/>
                      </wps:wsp>
                      <wps:wsp>
                        <wps:cNvPr id="16" name="文本框 17"/>
                        <wps:cNvSpPr txBox="1"/>
                        <wps:spPr>
                          <a:xfrm>
                            <a:off x="3200600" y="1585031"/>
                            <a:ext cx="343300" cy="1485829"/>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 xml:space="preserve">  产品质量检测岗位</w:t>
                              </w:r>
                            </w:p>
                          </w:txbxContent>
                        </wps:txbx>
                        <wps:bodyPr vert="eaVert" upright="1"/>
                      </wps:wsp>
                      <wps:wsp>
                        <wps:cNvPr id="17" name="文本框 18"/>
                        <wps:cNvSpPr txBox="1"/>
                        <wps:spPr>
                          <a:xfrm>
                            <a:off x="1371400" y="1585031"/>
                            <a:ext cx="343200" cy="148582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10" w:firstLineChars="100"/>
                              </w:pPr>
                              <w:r>
                                <w:rPr>
                                  <w:rFonts w:hint="eastAsia"/>
                                </w:rPr>
                                <w:t>典型工艺管理岗位</w:t>
                              </w:r>
                            </w:p>
                            <w:p/>
                          </w:txbxContent>
                        </wps:txbx>
                        <wps:bodyPr vert="eaVert" upright="1"/>
                      </wps:wsp>
                      <wps:wsp>
                        <wps:cNvPr id="18" name="文本框 19"/>
                        <wps:cNvSpPr txBox="1"/>
                        <wps:spPr>
                          <a:xfrm>
                            <a:off x="1943100" y="1585031"/>
                            <a:ext cx="343300" cy="148582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10" w:firstLineChars="100"/>
                              </w:pPr>
                              <w:r>
                                <w:rPr>
                                  <w:rFonts w:hint="eastAsia"/>
                                </w:rPr>
                                <w:t>普通工艺管理岗位</w:t>
                              </w:r>
                            </w:p>
                            <w:p/>
                          </w:txbxContent>
                        </wps:txbx>
                        <wps:bodyPr vert="eaVert" upright="1"/>
                      </wps:wsp>
                      <wps:wsp>
                        <wps:cNvPr id="19" name="文本框 20"/>
                        <wps:cNvSpPr txBox="1"/>
                        <wps:spPr>
                          <a:xfrm>
                            <a:off x="228500" y="1585031"/>
                            <a:ext cx="342500" cy="148582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pPr>
                              <w:r>
                                <w:rPr>
                                  <w:rFonts w:hint="eastAsia"/>
                                </w:rPr>
                                <w:t>DCS操作岗位</w:t>
                              </w:r>
                            </w:p>
                            <w:p/>
                          </w:txbxContent>
                        </wps:txbx>
                        <wps:bodyPr vert="eaVert" upright="1"/>
                      </wps:wsp>
                      <wps:wsp>
                        <wps:cNvPr id="20" name="直接连接符 21"/>
                        <wps:cNvCnPr/>
                        <wps:spPr>
                          <a:xfrm>
                            <a:off x="343200" y="792515"/>
                            <a:ext cx="571000" cy="792515"/>
                          </a:xfrm>
                          <a:prstGeom prst="line">
                            <a:avLst/>
                          </a:prstGeom>
                          <a:ln w="9525" cap="flat" cmpd="sng">
                            <a:solidFill>
                              <a:srgbClr val="000000"/>
                            </a:solidFill>
                            <a:prstDash val="solid"/>
                            <a:headEnd type="none" w="med" len="med"/>
                            <a:tailEnd type="none" w="med" len="med"/>
                          </a:ln>
                        </wps:spPr>
                        <wps:bodyPr upright="1"/>
                      </wps:wsp>
                      <wps:wsp>
                        <wps:cNvPr id="21" name="文本框 22"/>
                        <wps:cNvSpPr txBox="1"/>
                        <wps:spPr>
                          <a:xfrm>
                            <a:off x="800300" y="1585031"/>
                            <a:ext cx="341800" cy="148582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15" w:firstLineChars="150"/>
                              </w:pPr>
                              <w:r>
                                <w:rPr>
                                  <w:rFonts w:hint="eastAsia"/>
                                </w:rPr>
                                <w:t>化工仪表操作岗位</w:t>
                              </w:r>
                            </w:p>
                            <w:p/>
                          </w:txbxContent>
                        </wps:txbx>
                        <wps:bodyPr vert="eaVert" upright="1"/>
                      </wps:wsp>
                    </wpc:wpc>
                  </a:graphicData>
                </a:graphic>
              </wp:inline>
            </w:drawing>
          </mc:Choice>
          <mc:Fallback>
            <w:pict>
              <v:group id="画布 33" o:spid="_x0000_s1026" o:spt="203" style="height:241.8pt;width:414pt;" coordsize="5257800,3070860" editas="canvas" o:gfxdata="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">
                <o:lock v:ext="edit" aspectratio="f"/>
                <v:shape id="画布 33" o:spid="_x0000_s1026" style="position:absolute;left:0;top:0;height:3070860;width:5257800;" filled="f" stroked="f" coordsize="21600,21600" o:gfxdata="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">
                  <v:fill on="f" focussize="0,0"/>
                  <v:stroke on="f"/>
                  <v:imagedata o:title=""/>
                  <o:lock v:ext="edit" aspectratio="t"/>
                </v:shape>
                <v:shape id="文本框 3" o:spid="_x0000_s1026" o:spt="202" type="#_x0000_t202" style="position:absolute;left:1371400;top:198304;height:495010;width:685700;" fillcolor="#FFFFFF" filled="t" stroked="t" coordsize="21600,21600" o:gfxdata="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Xr/KM1QAAAAUBAAAPAAAAAAAAAAEAIAAAACIAAABkcnMvZG93bnJldi54bWxQSwEC&#10;FAAUAAAACACHTuJAklzlWfcBAADyAwAADgAAAAAAAAABACAAAAAkAQAAZHJzL2Uyb0RvYy54bWxQ&#10;SwUGAAAAAAYABgBZAQAAjQUAAAAA&#10;">
                  <v:fill on="t" focussize="0,0"/>
                  <v:stroke color="#000000" joinstyle="miter"/>
                  <v:imagedata o:title=""/>
                  <o:lock v:ext="edit" aspectratio="f"/>
                  <v:textbox>
                    <w:txbxContent>
                      <w:p>
                        <w:pPr>
                          <w:ind w:left="210" w:leftChars="50" w:hanging="105" w:hangingChars="50"/>
                        </w:pPr>
                        <w:r>
                          <w:rPr>
                            <w:rFonts w:hint="eastAsia"/>
                          </w:rPr>
                          <w:t>工艺管</w:t>
                        </w:r>
                      </w:p>
                      <w:p>
                        <w:pPr>
                          <w:ind w:left="210" w:leftChars="50" w:hanging="105" w:hangingChars="50"/>
                        </w:pPr>
                        <w:r>
                          <w:rPr>
                            <w:rFonts w:hint="eastAsia"/>
                          </w:rPr>
                          <w:t>理岗位</w:t>
                        </w:r>
                      </w:p>
                    </w:txbxContent>
                  </v:textbox>
                </v:shape>
                <v:shape id="文本框 4" o:spid="_x0000_s1026" o:spt="202" type="#_x0000_t202" style="position:absolute;left:2628900;top:198304;height:495010;width:686400;" fillcolor="#FFFFFF" filled="t" stroked="t" coordsize="21600,21600" o:gfxdata="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6/yjNUAAAAFAQAADwAAAAAAAAABACAAAAAiAAAAZHJzL2Rvd25yZXYueG1sUEsB&#10;AhQAFAAAAAgAh07iQDG1e0X4AQAA8gMAAA4AAAAAAAAAAQAgAAAAJAEAAGRycy9lMm9Eb2MueG1s&#10;UEsFBgAAAAAGAAYAWQEAAI4FAAAAAA==&#10;">
                  <v:fill on="t" focussize="0,0"/>
                  <v:stroke color="#000000" joinstyle="miter"/>
                  <v:imagedata o:title=""/>
                  <o:lock v:ext="edit" aspectratio="f"/>
                  <v:textbox>
                    <w:txbxContent>
                      <w:p>
                        <w:pPr>
                          <w:ind w:left="105" w:leftChars="50"/>
                        </w:pPr>
                        <w:r>
                          <w:rPr>
                            <w:rFonts w:hint="eastAsia"/>
                          </w:rPr>
                          <w:t>质量监控岗位</w:t>
                        </w:r>
                      </w:p>
                    </w:txbxContent>
                  </v:textbox>
                </v:shape>
                <v:shape id="文本框 5" o:spid="_x0000_s1026" o:spt="202" type="#_x0000_t202" style="position:absolute;left:3886300;top:198304;height:495010;width:686500;" fillcolor="#FFFFFF" filled="t" stroked="t" coordsize="21600,21600" o:gfxdata="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6/yjNUAAAAFAQAADwAAAAAAAAABACAAAAAiAAAAZHJzL2Rvd25yZXYueG1sUEsB&#10;AhQAFAAAAAgAh07iQIpRwRH4AQAA8gMAAA4AAAAAAAAAAQAgAAAAJAEAAGRycy9lMm9Eb2MueG1s&#10;UEsFBgAAAAAGAAYAWQEAAI4FAAAAAA==&#10;">
                  <v:fill on="t" focussize="0,0"/>
                  <v:stroke color="#000000" joinstyle="miter"/>
                  <v:imagedata o:title=""/>
                  <o:lock v:ext="edit" aspectratio="f"/>
                  <v:textbox>
                    <w:txbxContent>
                      <w:p>
                        <w:pPr>
                          <w:ind w:left="105" w:leftChars="50"/>
                        </w:pPr>
                        <w:r>
                          <w:rPr>
                            <w:rFonts w:hint="eastAsia"/>
                          </w:rPr>
                          <w:t>安全管理岗位</w:t>
                        </w:r>
                      </w:p>
                    </w:txbxContent>
                  </v:textbox>
                </v:shape>
                <v:shape id="文本框 6" o:spid="_x0000_s1026" o:spt="202" type="#_x0000_t202" style="position:absolute;left:0;top:198304;height:495010;width:685700;" fillcolor="#FFFFFF" filled="t" stroked="t" coordsize="21600,21600" o:gfxdata="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V6/yjNUAAAAFAQAADwAAAAAAAAABACAAAAAiAAAAZHJzL2Rvd25yZXYueG1sUEsBAhQAFAAA&#10;AAgAh07iQOG0CAryAQAA7AMAAA4AAAAAAAAAAQAgAAAAJAEAAGRycy9lMm9Eb2MueG1sUEsFBgAA&#10;AAAGAAYAWQEAAIgFAAAAAA==&#10;">
                  <v:fill on="t" focussize="0,0"/>
                  <v:stroke color="#000000" joinstyle="miter"/>
                  <v:imagedata o:title=""/>
                  <o:lock v:ext="edit" aspectratio="f"/>
                  <v:textbox>
                    <w:txbxContent>
                      <w:p>
                        <w:pPr>
                          <w:ind w:left="210" w:leftChars="50" w:hanging="105" w:hangingChars="50"/>
                        </w:pPr>
                        <w:r>
                          <w:rPr>
                            <w:rFonts w:hint="eastAsia"/>
                          </w:rPr>
                          <w:t>生产操</w:t>
                        </w:r>
                      </w:p>
                      <w:p>
                        <w:pPr>
                          <w:ind w:left="210" w:leftChars="50" w:hanging="105" w:hangingChars="50"/>
                        </w:pPr>
                        <w:r>
                          <w:rPr>
                            <w:rFonts w:hint="eastAsia"/>
                          </w:rPr>
                          <w:t>作岗位</w:t>
                        </w:r>
                      </w:p>
                    </w:txbxContent>
                  </v:textbox>
                </v:shape>
                <v:line id="直接连接符 7" o:spid="_x0000_s1026" o:spt="20" style="position:absolute;left:343200;top:792515;height:990819;width:113200;"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kfpjNQAAAAF&#10;AQAADwAAAAAAAAABACAAAAAiAAAAZHJzL2Rvd25yZXYueG1sUEsBAhQAFAAAAAgAh07iQJ3dmG3n&#10;AQAApAMAAA4AAAAAAAAAAQAgAAAAIwEAAGRycy9lMm9Eb2MueG1sUEsFBgAAAAAGAAYAWQEAAHwF&#10;AAAAAA==&#10;">
                  <v:fill on="f" focussize="0,0"/>
                  <v:stroke color="#000000" joinstyle="round"/>
                  <v:imagedata o:title=""/>
                  <o:lock v:ext="edit" aspectratio="f"/>
                </v:line>
                <v:line id="直接连接符 8" o:spid="_x0000_s1026" o:spt="20" style="position:absolute;left:1486000;top:693314;flip:x;height:990819;width:228600;"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unHmItQAAAAFAQAADwAAAAAAAAABACAAAAAiAAAAZHJzL2Rvd25yZXYueG1sUEsBAhQAFAAAAAgA&#10;h07iQCgK3JrwAQAArwMAAA4AAAAAAAAAAQAgAAAAIwEAAGRycy9lMm9Eb2MueG1sUEsFBgAAAAAG&#10;AAYAWQEAAIUFAAAAAA==&#10;">
                  <v:fill on="f" focussize="0,0"/>
                  <v:stroke color="#000000" joinstyle="round"/>
                  <v:imagedata o:title=""/>
                  <o:lock v:ext="edit" aspectratio="f"/>
                </v:line>
                <v:line id="直接连接符 9" o:spid="_x0000_s1026" o:spt="20" style="position:absolute;left:1714600;top:693314;height:891717;width:457100;"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R+mM1AAA&#10;AAUBAAAPAAAAAAAAAAEAIAAAACIAAABkcnMvZG93bnJldi54bWxQSwECFAAUAAAACACHTuJADW2I&#10;qukBAAClAwAADgAAAAAAAAABACAAAAAjAQAAZHJzL2Uyb0RvYy54bWxQSwUGAAAAAAYABgBZAQAA&#10;fgUAAAAA&#10;">
                  <v:fill on="f" focussize="0,0"/>
                  <v:stroke color="#000000" joinstyle="round"/>
                  <v:imagedata o:title=""/>
                  <o:lock v:ext="edit" aspectratio="f"/>
                </v:line>
                <v:line id="直接连接符 10" o:spid="_x0000_s1026" o:spt="20" style="position:absolute;left:2743500;top:693314;flip:x;height:891717;width:227100;"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Lpx5iLUAAAABQEAAA8AAAAAAAAAAQAgAAAAIgAAAGRycy9kb3ducmV2LnhtbFBLAQIUABQAAAAI&#10;AIdO4kDzLN9r8QEAALADAAAOAAAAAAAAAAEAIAAAACMBAABkcnMvZTJvRG9jLnhtbFBLBQYAAAAA&#10;BgAGAFkBAACGBQAAAAA=&#10;">
                  <v:fill on="f" focussize="0,0"/>
                  <v:stroke color="#000000" joinstyle="round"/>
                  <v:imagedata o:title=""/>
                  <o:lock v:ext="edit" aspectratio="f"/>
                </v:line>
                <v:line id="直接连接符 11" o:spid="_x0000_s1026" o:spt="20" style="position:absolute;left:4000300;top:693314;flip:x;height:891717;width:228500;" filled="f" stroked="t" coordsize="21600,21600" o:gfxdata="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6ceYi1AAAAAUBAAAPAAAAAAAAAAEAIAAAACIAAABkcnMvZG93bnJldi54bWxQSwECFAAUAAAA&#10;CACHTuJA4V9rXfIBAACxAwAADgAAAAAAAAABACAAAAAjAQAAZHJzL2Uyb0RvYy54bWxQSwUGAAAA&#10;AAYABgBZAQAAhwUAAAAA&#10;">
                  <v:fill on="f" focussize="0,0"/>
                  <v:stroke color="#000000" joinstyle="round"/>
                  <v:imagedata o:title=""/>
                  <o:lock v:ext="edit" aspectratio="f"/>
                </v:line>
                <v:line id="直接连接符 12" o:spid="_x0000_s1026" o:spt="20" style="position:absolute;left:4228800;top:693314;height:891717;width:457200;"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kfp&#10;jNQAAAAFAQAADwAAAAAAAAABACAAAAAiAAAAZHJzL2Rvd25yZXYueG1sUEsBAhQAFAAAAAgAh07i&#10;QFifjXvtAQAApwMAAA4AAAAAAAAAAQAgAAAAIwEAAGRycy9lMm9Eb2MueG1sUEsFBgAAAAAGAAYA&#10;WQEAAIIFAAAAAA==&#10;">
                  <v:fill on="f" focussize="0,0"/>
                  <v:stroke color="#000000" joinstyle="round"/>
                  <v:imagedata o:title=""/>
                  <o:lock v:ext="edit" aspectratio="f"/>
                </v:line>
                <v:line id="直接连接符 13" o:spid="_x0000_s1026" o:spt="20" style="position:absolute;left:2972100;top:693314;height:891717;width:457100;"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2R+mM&#10;1AAAAAUBAAAPAAAAAAAAAAEAIAAAACIAAABkcnMvZG93bnJldi54bWxQSwECFAAUAAAACACHTuJA&#10;shckPuwBAACnAwAADgAAAAAAAAABACAAAAAjAQAAZHJzL2Uyb0RvYy54bWxQSwUGAAAAAAYABgBZ&#10;AQAAgQUAAAAA&#10;">
                  <v:fill on="f" focussize="0,0"/>
                  <v:stroke color="#000000" joinstyle="round"/>
                  <v:imagedata o:title=""/>
                  <o:lock v:ext="edit" aspectratio="f"/>
                </v:line>
                <v:shape id="文本框 14" o:spid="_x0000_s1026" o:spt="202" type="#_x0000_t202" style="position:absolute;left:2628900;top:1585031;height:1485829;width:342400;" fillcolor="#FFFFFF" filled="t" stroked="t" coordsize="21600,21600" o:gfxdata="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Qwckk1AAAAAUBAAAPAAAAAAAAAAEAIAAAACIAAABkcnMvZG93&#10;bnJldi54bWxQSwECFAAUAAAACACHTuJATKRuwwQCAAAEBAAADgAAAAAAAAABACAAAAAjAQAAZHJz&#10;L2Uyb0RvYy54bWxQSwUGAAAAAAYABgBZAQAAmQUAAAAA&#10;">
                  <v:fill on="t" focussize="0,0"/>
                  <v:stroke color="#000000" joinstyle="miter"/>
                  <v:imagedata o:title=""/>
                  <o:lock v:ext="edit" aspectratio="f"/>
                  <v:textbox style="layout-flow:vertical-ideographic;">
                    <w:txbxContent>
                      <w:p>
                        <w:pPr>
                          <w:ind w:firstLine="210" w:firstLineChars="100"/>
                        </w:pPr>
                        <w:r>
                          <w:rPr>
                            <w:rFonts w:hint="eastAsia"/>
                          </w:rPr>
                          <w:t>产品质量控制岗位</w:t>
                        </w:r>
                      </w:p>
                    </w:txbxContent>
                  </v:textbox>
                </v:shape>
                <v:shape id="文本框 15" o:spid="_x0000_s1026" o:spt="202" type="#_x0000_t202" style="position:absolute;left:4457400;top:1585031;height:1485829;width:343200;" fillcolor="#FFFFFF" filled="t" stroked="t" coordsize="21600,21600" o:gfxdata="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Qwckk1AAAAAUBAAAPAAAAAAAAAAEAIAAAACIAAABkcnMvZG93&#10;bnJldi54bWxQSwECFAAUAAAACACHTuJALYLNKAQCAAAEBAAADgAAAAAAAAABACAAAAAjAQAAZHJz&#10;L2Uyb0RvYy54bWxQSwUGAAAAAAYABgBZAQAAmQUAAAAA&#10;">
                  <v:fill on="t" focussize="0,0"/>
                  <v:stroke color="#000000" joinstyle="miter"/>
                  <v:imagedata o:title=""/>
                  <o:lock v:ext="edit" aspectratio="f"/>
                  <v:textbox style="layout-flow:vertical-ideographic;">
                    <w:txbxContent>
                      <w:p>
                        <w:r>
                          <w:rPr>
                            <w:rFonts w:hint="eastAsia"/>
                          </w:rPr>
                          <w:t xml:space="preserve">  危险产品管理岗位</w:t>
                        </w:r>
                      </w:p>
                    </w:txbxContent>
                  </v:textbox>
                </v:shape>
                <v:shape id="文本框 16" o:spid="_x0000_s1026" o:spt="202" type="#_x0000_t202" style="position:absolute;left:3886300;top:1585031;height:1485829;width:343300;" fillcolor="#FFFFFF" filled="t" stroked="t" coordsize="21600,21600" o:gfxdata="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Qwckk1AAAAAUBAAAPAAAAAAAAAAEAIAAAACIAAABkcnMvZG93bnJl&#10;di54bWxQSwECFAAUAAAACACHTuJAN5ppFQECAAAEBAAADgAAAAAAAAABACAAAAAjAQAAZHJzL2Uy&#10;b0RvYy54bWxQSwUGAAAAAAYABgBZAQAAlgUAAAAA&#10;">
                  <v:fill on="t" focussize="0,0"/>
                  <v:stroke color="#000000" joinstyle="miter"/>
                  <v:imagedata o:title=""/>
                  <o:lock v:ext="edit" aspectratio="f"/>
                  <v:textbox style="layout-flow:vertical-ideographic;">
                    <w:txbxContent>
                      <w:p>
                        <w:pPr>
                          <w:ind w:firstLine="210" w:firstLineChars="100"/>
                        </w:pPr>
                        <w:r>
                          <w:rPr>
                            <w:rFonts w:hint="eastAsia"/>
                          </w:rPr>
                          <w:t>安全生产管理能力</w:t>
                        </w:r>
                      </w:p>
                    </w:txbxContent>
                  </v:textbox>
                </v:shape>
                <v:shape id="文本框 17" o:spid="_x0000_s1026" o:spt="202" type="#_x0000_t202" style="position:absolute;left:3200600;top:1585031;height:1485829;width:343300;" fillcolor="#FFFFFF" filled="t" stroked="t" coordsize="21600,21600" o:gfxdata="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Qwckk1AAAAAUBAAAPAAAAAAAAAAEAIAAAACIAAABkcnMvZG93bnJl&#10;di54bWxQSwECFAAUAAAACACHTuJArVr9PwECAAAEBAAADgAAAAAAAAABACAAAAAjAQAAZHJzL2Uy&#10;b0RvYy54bWxQSwUGAAAAAAYABgBZAQAAlgUAAAAA&#10;">
                  <v:fill on="t" focussize="0,0"/>
                  <v:stroke color="#000000" joinstyle="miter"/>
                  <v:imagedata o:title=""/>
                  <o:lock v:ext="edit" aspectratio="f"/>
                  <v:textbox style="layout-flow:vertical-ideographic;">
                    <w:txbxContent>
                      <w:p>
                        <w:r>
                          <w:rPr>
                            <w:rFonts w:hint="eastAsia"/>
                          </w:rPr>
                          <w:t xml:space="preserve">  产品质量检测岗位</w:t>
                        </w:r>
                      </w:p>
                    </w:txbxContent>
                  </v:textbox>
                </v:shape>
                <v:shape id="文本框 18" o:spid="_x0000_s1026" o:spt="202" type="#_x0000_t202" style="position:absolute;left:1371400;top:1585031;height:1485829;width:343200;" fillcolor="#FFFFFF" filled="t" stroked="t" coordsize="21600,21600" o:gfxdata="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DBySTUAAAABQEAAA8AAAAAAAAAAQAgAAAAIgAAAGRycy9kb3du&#10;cmV2LnhtbFBLAQIUABQAAAAIAIdO4kCLMIvWAwIAAAQEAAAOAAAAAAAAAAEAIAAAACMBAABkcnMv&#10;ZTJvRG9jLnhtbFBLBQYAAAAABgAGAFkBAACYBQAAAAA=&#10;">
                  <v:fill on="t" focussize="0,0"/>
                  <v:stroke color="#000000" joinstyle="miter"/>
                  <v:imagedata o:title=""/>
                  <o:lock v:ext="edit" aspectratio="f"/>
                  <v:textbox style="layout-flow:vertical-ideographic;">
                    <w:txbxContent>
                      <w:p>
                        <w:pPr>
                          <w:ind w:firstLine="210" w:firstLineChars="100"/>
                        </w:pPr>
                        <w:r>
                          <w:rPr>
                            <w:rFonts w:hint="eastAsia"/>
                          </w:rPr>
                          <w:t>典型工艺管理岗位</w:t>
                        </w:r>
                      </w:p>
                      <w:p/>
                    </w:txbxContent>
                  </v:textbox>
                </v:shape>
                <v:shape id="文本框 19" o:spid="_x0000_s1026" o:spt="202" type="#_x0000_t202" style="position:absolute;left:1943100;top:1585031;height:1485829;width:343300;" fillcolor="#FFFFFF" filled="t" stroked="t" coordsize="21600,21600" o:gfxdata="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DBySTUAAAABQEAAA8AAAAAAAAAAQAgAAAAIgAAAGRycy9kb3du&#10;cmV2LnhtbFBLAQIUABQAAAAIAIdO4kCnyiBFAwIAAAQEAAAOAAAAAAAAAAEAIAAAACMBAABkcnMv&#10;ZTJvRG9jLnhtbFBLBQYAAAAABgAGAFkBAACYBQAAAAA=&#10;">
                  <v:fill on="t" focussize="0,0"/>
                  <v:stroke color="#000000" joinstyle="miter"/>
                  <v:imagedata o:title=""/>
                  <o:lock v:ext="edit" aspectratio="f"/>
                  <v:textbox style="layout-flow:vertical-ideographic;">
                    <w:txbxContent>
                      <w:p>
                        <w:pPr>
                          <w:ind w:firstLine="210" w:firstLineChars="100"/>
                        </w:pPr>
                        <w:r>
                          <w:rPr>
                            <w:rFonts w:hint="eastAsia"/>
                          </w:rPr>
                          <w:t>普通工艺管理岗位</w:t>
                        </w:r>
                      </w:p>
                      <w:p/>
                    </w:txbxContent>
                  </v:textbox>
                </v:shape>
                <v:shape id="文本框 20" o:spid="_x0000_s1026" o:spt="202" type="#_x0000_t202" style="position:absolute;left:228500;top:1585031;height:1485829;width:342500;" fillcolor="#FFFFFF" filled="t" stroked="t" coordsize="21600,21600" o:gfxdata="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JDBySTUAAAABQEAAA8AAAAAAAAAAQAgAAAAIgAAAGRycy9kb3ducmV2&#10;LnhtbFBLAQIUABQAAAAIAIdO4kAE+xZ2AAIAAAMEAAAOAAAAAAAAAAEAIAAAACMBAABkcnMvZTJv&#10;RG9jLnhtbFBLBQYAAAAABgAGAFkBAACVBQAAAAA=&#10;">
                  <v:fill on="t" focussize="0,0"/>
                  <v:stroke color="#000000" joinstyle="miter"/>
                  <v:imagedata o:title=""/>
                  <o:lock v:ext="edit" aspectratio="f"/>
                  <v:textbox style="layout-flow:vertical-ideographic;">
                    <w:txbxContent>
                      <w:p>
                        <w:pPr>
                          <w:ind w:firstLine="420" w:firstLineChars="200"/>
                        </w:pPr>
                        <w:r>
                          <w:rPr>
                            <w:rFonts w:hint="eastAsia"/>
                          </w:rPr>
                          <w:t>DCS操作岗位</w:t>
                        </w:r>
                      </w:p>
                      <w:p/>
                    </w:txbxContent>
                  </v:textbox>
                </v:shape>
                <v:line id="直接连接符 21" o:spid="_x0000_s1026" o:spt="20" style="position:absolute;left:343200;top:792515;height:792515;width:571000;" filled="f" stroked="t" coordsize="21600,21600" o:gfxdata="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2R+mM1AAAAAUB&#10;AAAPAAAAAAAAAAEAIAAAACIAAABkcnMvZG93bnJldi54bWxQSwECFAAUAAAACACHTuJAcw3ZmeYB&#10;AACmAwAADgAAAAAAAAABACAAAAAjAQAAZHJzL2Uyb0RvYy54bWxQSwUGAAAAAAYABgBZAQAAewUA&#10;AAAA&#10;">
                  <v:fill on="f" focussize="0,0"/>
                  <v:stroke color="#000000" joinstyle="round"/>
                  <v:imagedata o:title=""/>
                  <o:lock v:ext="edit" aspectratio="f"/>
                </v:line>
                <v:shape id="文本框 22" o:spid="_x0000_s1026" o:spt="202" type="#_x0000_t202" style="position:absolute;left:800300;top:1585031;height:1485829;width:341800;" fillcolor="#FFFFFF" filled="t" stroked="t" coordsize="21600,21600" o:gfxdata="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DBySTUAAAABQEAAA8AAAAAAAAAAQAgAAAAIgAAAGRycy9kb3du&#10;cmV2LnhtbFBLAQIUABQAAAAIAIdO4kCxc3jzAwIAAAMEAAAOAAAAAAAAAAEAIAAAACMBAABkcnMv&#10;ZTJvRG9jLnhtbFBLBQYAAAAABgAGAFkBAACYBQAAAAA=&#10;">
                  <v:fill on="t" focussize="0,0"/>
                  <v:stroke color="#000000" joinstyle="miter"/>
                  <v:imagedata o:title=""/>
                  <o:lock v:ext="edit" aspectratio="f"/>
                  <v:textbox style="layout-flow:vertical-ideographic;">
                    <w:txbxContent>
                      <w:p>
                        <w:pPr>
                          <w:ind w:firstLine="315" w:firstLineChars="150"/>
                        </w:pPr>
                        <w:r>
                          <w:rPr>
                            <w:rFonts w:hint="eastAsia"/>
                          </w:rPr>
                          <w:t>化工仪表操作岗位</w:t>
                        </w:r>
                      </w:p>
                      <w:p/>
                    </w:txbxContent>
                  </v:textbox>
                </v:shape>
                <w10:wrap type="none"/>
                <w10:anchorlock/>
              </v:group>
            </w:pict>
          </mc:Fallback>
        </mc:AlternateContent>
      </w:r>
    </w:p>
    <w:p>
      <w:pPr>
        <w:spacing w:line="360" w:lineRule="auto"/>
        <w:ind w:firstLine="560" w:firstLineChars="200"/>
        <w:rPr>
          <w:rFonts w:hint="eastAsia" w:ascii="Times New Roman" w:hAnsi="Times New Roman"/>
          <w:color w:val="auto"/>
          <w:sz w:val="24"/>
          <w:highlight w:val="none"/>
        </w:rPr>
      </w:pPr>
      <w:r>
        <w:rPr>
          <w:rFonts w:ascii="Times New Roman" w:hAnsi="Times New Roman"/>
          <w:color w:val="auto"/>
          <w:sz w:val="28"/>
          <w:highlight w:val="none"/>
        </w:rPr>
        <mc:AlternateContent>
          <mc:Choice Requires="wps">
            <w:drawing>
              <wp:anchor distT="0" distB="0" distL="114300" distR="114300" simplePos="0" relativeHeight="251668480" behindDoc="0" locked="0" layoutInCell="1" allowOverlap="1">
                <wp:simplePos x="0" y="0"/>
                <wp:positionH relativeFrom="column">
                  <wp:posOffset>228600</wp:posOffset>
                </wp:positionH>
                <wp:positionV relativeFrom="paragraph">
                  <wp:posOffset>1882140</wp:posOffset>
                </wp:positionV>
                <wp:extent cx="635" cy="0"/>
                <wp:effectExtent l="0" t="0" r="0" b="0"/>
                <wp:wrapNone/>
                <wp:docPr id="26" name="直接连接符 26"/>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8pt;margin-top:148.2pt;height:0pt;width:0.05pt;z-index:251668480;mso-width-relative:page;mso-height-relative:page;" filled="f" stroked="t" coordsize="21600,21600" o:gfxdata="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V/19YAAAAJAQAADwAAAAAA&#10;AAABACAAAAAiAAAAZHJzL2Rvd25yZXYueG1sUEsBAhQAFAAAAAgAh07iQAnC16LcAQAAogMAAA4A&#10;AAAAAAAAAQAgAAAAJQEAAGRycy9lMm9Eb2MueG1sUEsFBgAAAAAGAAYAWQEAAHMFAAAAAA==&#10;">
                <v:fill on="f" focussize="0,0"/>
                <v:stroke color="#000000" joinstyle="round"/>
                <v:imagedata o:title=""/>
                <o:lock v:ext="edit" aspectratio="f"/>
              </v:line>
            </w:pict>
          </mc:Fallback>
        </mc:AlternateContent>
      </w:r>
    </w:p>
    <w:p>
      <w:pPr>
        <w:spacing w:line="360" w:lineRule="auto"/>
        <w:ind w:left="720" w:firstLine="1440" w:firstLineChars="600"/>
        <w:rPr>
          <w:rFonts w:ascii="Times New Roman" w:hAnsi="Times New Roman"/>
          <w:color w:val="auto"/>
          <w:sz w:val="24"/>
          <w:highlight w:val="none"/>
        </w:rPr>
      </w:pPr>
      <w:r>
        <w:rPr>
          <w:rFonts w:hint="eastAsia" w:ascii="Times New Roman" w:hAnsi="Times New Roman"/>
          <w:color w:val="auto"/>
          <w:sz w:val="24"/>
          <w:highlight w:val="none"/>
        </w:rPr>
        <w:t>图3.1职业岗位群、典型工作任务分析</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（二）发展岗位群</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1</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工艺管理岗位</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工艺管理岗位属于管理岗位，从业人员可以是仅从事技术工作的工艺管理员，也可以是技术与管理并重的工段长或车间主任。在工作中，此类岗位的人员不仅要能熟练操作各类化工设备，而且应熟悉化工生产的工艺流程及其原理，能对生产过程进行科学、合理的指挥调度。</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2</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质量监控岗位</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产品的品质必须依靠专用的仪器设备，借助于化学原理或产品的某些特性进行检测。检测方法的多样性同时也带来了检测结果的多样性，国家对这类检测过程及化工产品的质量需要通过国家标准加以规范。因此，从事质量监控工作的人员不仅需要懂得分析原理，而且应熟悉国家的相关标准及其获取方法。从事质量监控工作的人员应是既懂得分析，又懂得工艺的人员，他们应能从分析结果中查找产生问题的原因。</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3</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安全管理岗位</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煤炭深加工与利用的生产过程产生的生副产品与产品多属于易燃易爆范围，的处置不当会可造成环境污染或埋下隐患，因此，在现代化工生产过程中要配备安全生产管理员。安全生产管理员不仅要掌握生产原料与产品的易燃易爆性，而且要通晓其毒害作用，懂得这类物质对环境的影响，掌握安全、健康、清洁生产的原理，有处置简单安全事故的能力。</w:t>
      </w:r>
    </w:p>
    <w:p>
      <w:pPr>
        <w:pStyle w:val="3"/>
        <w:snapToGrid w:val="0"/>
        <w:spacing w:before="0" w:after="0" w:line="360" w:lineRule="auto"/>
        <w:ind w:firstLine="640" w:firstLineChars="200"/>
        <w:rPr>
          <w:rFonts w:ascii="Times New Roman" w:hAnsi="Times New Roman"/>
          <w:b w:val="0"/>
          <w:bCs/>
          <w:color w:val="auto"/>
          <w:highlight w:val="none"/>
        </w:rPr>
      </w:pPr>
      <w:bookmarkStart w:id="50" w:name="_Toc361599146"/>
      <w:bookmarkStart w:id="51" w:name="_Toc361913262"/>
      <w:bookmarkStart w:id="52" w:name="_Toc361941174"/>
      <w:bookmarkStart w:id="53" w:name="_Toc361933256"/>
      <w:bookmarkStart w:id="54" w:name="_Toc31206"/>
      <w:r>
        <w:rPr>
          <w:rFonts w:hint="eastAsia" w:ascii="Times New Roman" w:hAnsi="Times New Roman"/>
          <w:b w:val="0"/>
          <w:bCs/>
          <w:color w:val="auto"/>
          <w:highlight w:val="none"/>
        </w:rPr>
        <w:t>三、课程安排</w:t>
      </w:r>
      <w:bookmarkEnd w:id="50"/>
      <w:bookmarkEnd w:id="51"/>
      <w:bookmarkEnd w:id="52"/>
      <w:bookmarkEnd w:id="53"/>
      <w:bookmarkEnd w:id="54"/>
    </w:p>
    <w:p>
      <w:pPr>
        <w:autoSpaceDE w:val="0"/>
        <w:autoSpaceDN w:val="0"/>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通过对岗位进行技能分析，要求煤炭深加工与利用专业毕业生掌握煤化学、煤化工有关的基本理论、基本知识，具备煤炭气化、液化生产技术及其他化工生产技术的项目建设、开发、管理及服务的基本技能，掌握煤炭气化、液化等化工生产的主要设备和仪器操作的基本能力，具有应用基础理论分析和解决化工生产中的实际问题的能力。基于工作过程系统化的课程是一种在结构、内容、导向、方法等方面完全不同于传统学科型的课程模式。</w:t>
      </w:r>
    </w:p>
    <w:p>
      <w:pPr>
        <w:spacing w:line="360" w:lineRule="auto"/>
        <w:ind w:firstLine="480" w:firstLineChars="200"/>
        <w:jc w:val="center"/>
        <w:rPr>
          <w:rFonts w:ascii="Times New Roman" w:hAnsi="Times New Roman"/>
          <w:bCs/>
          <w:color w:val="auto"/>
          <w:sz w:val="24"/>
          <w:highlight w:val="none"/>
        </w:rPr>
      </w:pPr>
      <w:r>
        <w:rPr>
          <w:rFonts w:hint="eastAsia" w:ascii="Times New Roman" w:hAnsi="Times New Roman"/>
          <w:bCs/>
          <w:color w:val="auto"/>
          <w:sz w:val="24"/>
          <w:highlight w:val="none"/>
        </w:rPr>
        <w:t>表3.1  职业岗位、相关课程、职业能力分析表</w:t>
      </w:r>
    </w:p>
    <w:tbl>
      <w:tblPr>
        <w:tblStyle w:val="15"/>
        <w:tblW w:w="7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1808"/>
        <w:gridCol w:w="1538"/>
        <w:gridCol w:w="1441"/>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465" w:type="dxa"/>
            <w:vMerge w:val="restart"/>
            <w:noWrap/>
            <w:vAlign w:val="center"/>
          </w:tcPr>
          <w:p>
            <w:pPr>
              <w:autoSpaceDN w:val="0"/>
              <w:spacing w:line="360" w:lineRule="auto"/>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职业岗位</w:t>
            </w:r>
          </w:p>
        </w:tc>
        <w:tc>
          <w:tcPr>
            <w:tcW w:w="1808" w:type="dxa"/>
            <w:vMerge w:val="restart"/>
            <w:noWrap/>
            <w:vAlign w:val="center"/>
          </w:tcPr>
          <w:p>
            <w:pPr>
              <w:autoSpaceDN w:val="0"/>
              <w:spacing w:line="360" w:lineRule="auto"/>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相关课程</w:t>
            </w:r>
          </w:p>
        </w:tc>
        <w:tc>
          <w:tcPr>
            <w:tcW w:w="4667" w:type="dxa"/>
            <w:gridSpan w:val="3"/>
            <w:noWrap/>
            <w:vAlign w:val="center"/>
          </w:tcPr>
          <w:p>
            <w:pPr>
              <w:autoSpaceDN w:val="0"/>
              <w:spacing w:line="360" w:lineRule="auto"/>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465" w:type="dxa"/>
            <w:vMerge w:val="continue"/>
            <w:noWrap/>
            <w:vAlign w:val="center"/>
          </w:tcPr>
          <w:p>
            <w:pPr>
              <w:spacing w:line="360" w:lineRule="auto"/>
              <w:jc w:val="center"/>
              <w:rPr>
                <w:rFonts w:ascii="Times New Roman" w:hAnsi="Times New Roman"/>
                <w:color w:val="auto"/>
                <w:sz w:val="21"/>
                <w:szCs w:val="21"/>
                <w:highlight w:val="none"/>
              </w:rPr>
            </w:pPr>
          </w:p>
        </w:tc>
        <w:tc>
          <w:tcPr>
            <w:tcW w:w="1808" w:type="dxa"/>
            <w:vMerge w:val="continue"/>
            <w:noWrap/>
            <w:vAlign w:val="center"/>
          </w:tcPr>
          <w:p>
            <w:pPr>
              <w:spacing w:line="360" w:lineRule="auto"/>
              <w:jc w:val="center"/>
              <w:rPr>
                <w:rFonts w:ascii="Times New Roman" w:hAnsi="Times New Roman"/>
                <w:color w:val="auto"/>
                <w:sz w:val="21"/>
                <w:szCs w:val="21"/>
                <w:highlight w:val="none"/>
              </w:rPr>
            </w:pPr>
          </w:p>
        </w:tc>
        <w:tc>
          <w:tcPr>
            <w:tcW w:w="1538" w:type="dxa"/>
            <w:noWrap/>
            <w:vAlign w:val="center"/>
          </w:tcPr>
          <w:p>
            <w:pPr>
              <w:autoSpaceDN w:val="0"/>
              <w:spacing w:line="360" w:lineRule="auto"/>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专业能力</w:t>
            </w:r>
          </w:p>
        </w:tc>
        <w:tc>
          <w:tcPr>
            <w:tcW w:w="1441" w:type="dxa"/>
            <w:noWrap/>
            <w:vAlign w:val="center"/>
          </w:tcPr>
          <w:p>
            <w:pPr>
              <w:autoSpaceDN w:val="0"/>
              <w:spacing w:line="360" w:lineRule="auto"/>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社会能力</w:t>
            </w:r>
          </w:p>
        </w:tc>
        <w:tc>
          <w:tcPr>
            <w:tcW w:w="1688" w:type="dxa"/>
            <w:noWrap/>
            <w:vAlign w:val="center"/>
          </w:tcPr>
          <w:p>
            <w:pPr>
              <w:autoSpaceDN w:val="0"/>
              <w:spacing w:line="360" w:lineRule="auto"/>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方法能力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2" w:hRule="atLeast"/>
          <w:jc w:val="center"/>
        </w:trPr>
        <w:tc>
          <w:tcPr>
            <w:tcW w:w="1465"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生</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产</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操</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作</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岗</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位</w:t>
            </w:r>
          </w:p>
        </w:tc>
        <w:tc>
          <w:tcPr>
            <w:tcW w:w="1808"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基础化学、化工单元操作、化工仪表使用、化工制图、化工设备基础、煤的气化、洁净煤技术等</w:t>
            </w:r>
          </w:p>
        </w:tc>
        <w:tc>
          <w:tcPr>
            <w:tcW w:w="1538"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电气、仪表的使用、维护、操作调控能力；生产异常现象判断处理能力</w:t>
            </w:r>
          </w:p>
        </w:tc>
        <w:tc>
          <w:tcPr>
            <w:tcW w:w="1441"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具有较强的口头表达与书面表达能力；团队协作精神；</w:t>
            </w:r>
          </w:p>
        </w:tc>
        <w:tc>
          <w:tcPr>
            <w:tcW w:w="1688"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能独立或小组协作制定工作计划并进行实施；能科学分析和解决问题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7" w:hRule="atLeast"/>
          <w:jc w:val="center"/>
        </w:trPr>
        <w:tc>
          <w:tcPr>
            <w:tcW w:w="1465"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生</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产</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管</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理</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岗</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位</w:t>
            </w:r>
          </w:p>
        </w:tc>
        <w:tc>
          <w:tcPr>
            <w:tcW w:w="1808"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化工单元操作、化工设备基础、煤炭深加工与利用工艺学、煤的气化、无机化工生产技术等</w:t>
            </w:r>
          </w:p>
        </w:tc>
        <w:tc>
          <w:tcPr>
            <w:tcW w:w="1538"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控制能力，物料输送、传热、分离过程控制能力，生产异常现象判断处理能力</w:t>
            </w:r>
          </w:p>
        </w:tc>
        <w:tc>
          <w:tcPr>
            <w:tcW w:w="1441"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具有较强的口头表达与书面表达能力；具有团队协作精神；能克服困难、具良好心理素质</w:t>
            </w:r>
          </w:p>
        </w:tc>
        <w:tc>
          <w:tcPr>
            <w:tcW w:w="1688"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能通过各种媒体资源查找所需信息；能独立或小组协作制定工作计划并进行实施；能科学分析和解决问题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jc w:val="center"/>
        </w:trPr>
        <w:tc>
          <w:tcPr>
            <w:tcW w:w="1465"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安</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全</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管</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理</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岗</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位</w:t>
            </w:r>
          </w:p>
        </w:tc>
        <w:tc>
          <w:tcPr>
            <w:tcW w:w="1808"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化工安全技术、化工环境保护</w:t>
            </w:r>
          </w:p>
        </w:tc>
        <w:tc>
          <w:tcPr>
            <w:tcW w:w="1538"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危险源的识别与处理能力</w:t>
            </w:r>
          </w:p>
        </w:tc>
        <w:tc>
          <w:tcPr>
            <w:tcW w:w="1441"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安全生产管理能力</w:t>
            </w:r>
          </w:p>
        </w:tc>
        <w:tc>
          <w:tcPr>
            <w:tcW w:w="1688"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能独立或小组协作制定工作计划并进行实施；能科学分析和解决问题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8" w:hRule="atLeast"/>
          <w:jc w:val="center"/>
        </w:trPr>
        <w:tc>
          <w:tcPr>
            <w:tcW w:w="1465"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质</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量</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监</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控</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岗</w:t>
            </w:r>
          </w:p>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位</w:t>
            </w:r>
          </w:p>
        </w:tc>
        <w:tc>
          <w:tcPr>
            <w:tcW w:w="1808"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 xml:space="preserve">相关分析化学、煤化学、煤质分析、仪器操作、质量管理等 </w:t>
            </w:r>
          </w:p>
        </w:tc>
        <w:tc>
          <w:tcPr>
            <w:tcW w:w="1538"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产品质量管理能力、常规分析能力</w:t>
            </w:r>
          </w:p>
        </w:tc>
        <w:tc>
          <w:tcPr>
            <w:tcW w:w="1441"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产品质量国标检索、产品分析综合实训</w:t>
            </w:r>
          </w:p>
        </w:tc>
        <w:tc>
          <w:tcPr>
            <w:tcW w:w="1688" w:type="dxa"/>
            <w:noWrap/>
            <w:vAlign w:val="center"/>
          </w:tcPr>
          <w:p>
            <w:pPr>
              <w:autoSpaceDN w:val="0"/>
              <w:jc w:val="center"/>
              <w:textAlignment w:val="center"/>
              <w:rPr>
                <w:rFonts w:ascii="Times New Roman" w:hAnsi="Times New Roman"/>
                <w:color w:val="auto"/>
                <w:sz w:val="21"/>
                <w:szCs w:val="21"/>
                <w:highlight w:val="none"/>
              </w:rPr>
            </w:pPr>
            <w:r>
              <w:rPr>
                <w:rFonts w:hint="eastAsia" w:ascii="Times New Roman" w:hAnsi="Times New Roman"/>
                <w:color w:val="auto"/>
                <w:sz w:val="21"/>
                <w:szCs w:val="21"/>
                <w:highlight w:val="none"/>
              </w:rPr>
              <w:t>能独立或小组协作制定工作计划并进行实施；能科学分析和解决问题</w:t>
            </w:r>
          </w:p>
        </w:tc>
      </w:tr>
    </w:tbl>
    <w:p>
      <w:pPr>
        <w:autoSpaceDE w:val="0"/>
        <w:autoSpaceDN w:val="0"/>
        <w:spacing w:line="360" w:lineRule="auto"/>
        <w:ind w:firstLine="480" w:firstLineChars="200"/>
        <w:rPr>
          <w:rFonts w:ascii="Times New Roman" w:hAnsi="Times New Roman"/>
          <w:color w:val="auto"/>
          <w:sz w:val="24"/>
          <w:highlight w:val="none"/>
        </w:rPr>
      </w:pPr>
    </w:p>
    <w:p>
      <w:pPr>
        <w:autoSpaceDE w:val="0"/>
        <w:autoSpaceDN w:val="0"/>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但是在开发和实施这种类型的课程需要关注如下问题：</w:t>
      </w:r>
    </w:p>
    <w:p>
      <w:pPr>
        <w:autoSpaceDE w:val="0"/>
        <w:autoSpaceDN w:val="0"/>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1</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基于工作过程系统化的课程开发首先需要对社会经济、区域产业结构、企业情况及职业岗位进行调研，课程开发团队要与企业管理人员、技术人员共同分析工作过程，确定职业行动领域，选择典型的行动领域作为课程开发重点。</w:t>
      </w:r>
    </w:p>
    <w:p>
      <w:pPr>
        <w:autoSpaceDE w:val="0"/>
        <w:autoSpaceDN w:val="0"/>
        <w:spacing w:line="360" w:lineRule="auto"/>
        <w:ind w:firstLine="235" w:firstLineChars="98"/>
        <w:rPr>
          <w:rFonts w:ascii="Times New Roman" w:hAnsi="Times New Roman"/>
          <w:color w:val="auto"/>
          <w:sz w:val="24"/>
          <w:highlight w:val="none"/>
        </w:rPr>
      </w:pPr>
      <w:r>
        <w:rPr>
          <w:rFonts w:hint="eastAsia" w:ascii="Times New Roman" w:hAnsi="Times New Roman"/>
          <w:color w:val="auto"/>
          <w:sz w:val="24"/>
          <w:highlight w:val="none"/>
        </w:rPr>
        <w:t xml:space="preserve">  2</w:t>
      </w:r>
      <w:r>
        <w:rPr>
          <w:rFonts w:hint="eastAsia" w:ascii="Times New Roman" w:hAnsi="Times New Roman"/>
          <w:color w:val="auto"/>
          <w:sz w:val="24"/>
          <w:highlight w:val="none"/>
          <w:lang w:val="en-US" w:eastAsia="zh-CN"/>
        </w:rPr>
        <w:t>.</w:t>
      </w:r>
      <w:r>
        <w:rPr>
          <w:rFonts w:hint="eastAsia" w:ascii="Times New Roman" w:hAnsi="Times New Roman"/>
          <w:color w:val="auto"/>
          <w:sz w:val="24"/>
          <w:highlight w:val="none"/>
        </w:rPr>
        <w:t>基于工作过程系统化的课程体系打破了单一的学习模式，教学过程是教师在做中教，学生在做中学。教学环境应与工作环境接近，实现学校文化与企业文化的有机融合。所以，建设的校内实训基地应是生产型的“教学工厂”，既可以生产，又具备教学功能，彻底摆脱理论验证型的教学模式。加强实训、实习基地建设。在院领导的指导下，将基地很好的发挥实习作用，培养学生的实践能力；同时可以加强与企业的合作，使实习基地转变为就业基地，提高学生的对口就业力。</w:t>
      </w:r>
    </w:p>
    <w:p>
      <w:pPr>
        <w:autoSpaceDE w:val="0"/>
        <w:autoSpaceDN w:val="0"/>
        <w:spacing w:line="360" w:lineRule="auto"/>
        <w:ind w:firstLine="235" w:firstLineChars="98"/>
        <w:rPr>
          <w:rFonts w:ascii="Times New Roman" w:hAnsi="Times New Roman"/>
          <w:color w:val="auto"/>
          <w:sz w:val="24"/>
          <w:highlight w:val="none"/>
        </w:rPr>
      </w:pPr>
      <w:r>
        <w:rPr>
          <w:rFonts w:ascii="Times New Roman" w:hAnsi="Times New Roman"/>
          <w:color w:val="auto"/>
          <w:sz w:val="24"/>
          <w:highlight w:val="none"/>
        </w:rPr>
        <w:t xml:space="preserve"> 3</w:t>
      </w:r>
      <w:r>
        <w:rPr>
          <w:rFonts w:hint="eastAsia" w:ascii="Times New Roman" w:hAnsi="Times New Roman"/>
          <w:color w:val="auto"/>
          <w:sz w:val="24"/>
          <w:highlight w:val="none"/>
          <w:lang w:val="en-US" w:eastAsia="zh-CN"/>
        </w:rPr>
        <w:t>.</w:t>
      </w:r>
      <w:r>
        <w:rPr>
          <w:rFonts w:hint="eastAsia" w:ascii="Times New Roman" w:hAnsi="Times New Roman"/>
          <w:color w:val="auto"/>
          <w:sz w:val="24"/>
          <w:highlight w:val="none"/>
        </w:rPr>
        <w:t>落实学生应用与发展创新相结合、落实产教结合、；理论和实践结合的原则，强化职业应用能力的培养，强化就业能力。</w:t>
      </w:r>
      <w:bookmarkEnd w:id="34"/>
      <w:bookmarkEnd w:id="35"/>
      <w:bookmarkEnd w:id="36"/>
    </w:p>
    <w:p>
      <w:pPr>
        <w:autoSpaceDE w:val="0"/>
        <w:autoSpaceDN w:val="0"/>
        <w:spacing w:line="360" w:lineRule="auto"/>
        <w:ind w:firstLine="235" w:firstLineChars="98"/>
        <w:rPr>
          <w:rFonts w:ascii="Times New Roman" w:hAnsi="Times New Roman"/>
          <w:color w:val="auto"/>
          <w:sz w:val="24"/>
          <w:highlight w:val="none"/>
        </w:rPr>
      </w:pPr>
    </w:p>
    <w:p>
      <w:pPr>
        <w:autoSpaceDE w:val="0"/>
        <w:autoSpaceDN w:val="0"/>
        <w:spacing w:line="360" w:lineRule="auto"/>
        <w:ind w:firstLine="235" w:firstLineChars="98"/>
        <w:rPr>
          <w:rFonts w:ascii="Times New Roman" w:hAnsi="Times New Roman"/>
          <w:color w:val="auto"/>
          <w:sz w:val="24"/>
          <w:highlight w:val="none"/>
        </w:rPr>
      </w:pPr>
    </w:p>
    <w:p>
      <w:pPr>
        <w:autoSpaceDE w:val="0"/>
        <w:autoSpaceDN w:val="0"/>
        <w:spacing w:line="360" w:lineRule="auto"/>
        <w:ind w:firstLine="235" w:firstLineChars="98"/>
        <w:rPr>
          <w:rFonts w:ascii="Times New Roman" w:hAnsi="Times New Roman"/>
          <w:color w:val="auto"/>
          <w:sz w:val="24"/>
          <w:highlight w:val="none"/>
        </w:rPr>
      </w:pPr>
    </w:p>
    <w:p>
      <w:pPr>
        <w:autoSpaceDE w:val="0"/>
        <w:autoSpaceDN w:val="0"/>
        <w:spacing w:line="360" w:lineRule="auto"/>
        <w:ind w:firstLine="235" w:firstLineChars="98"/>
        <w:rPr>
          <w:rFonts w:ascii="Times New Roman" w:hAnsi="Times New Roman"/>
          <w:color w:val="auto"/>
          <w:sz w:val="24"/>
          <w:highlight w:val="none"/>
        </w:rPr>
      </w:pPr>
    </w:p>
    <w:p>
      <w:pPr>
        <w:autoSpaceDE w:val="0"/>
        <w:autoSpaceDN w:val="0"/>
        <w:spacing w:line="360" w:lineRule="auto"/>
        <w:ind w:firstLine="235" w:firstLineChars="98"/>
        <w:rPr>
          <w:rFonts w:ascii="Times New Roman" w:hAnsi="Times New Roman"/>
          <w:color w:val="auto"/>
          <w:sz w:val="24"/>
          <w:highlight w:val="none"/>
        </w:rPr>
      </w:pPr>
    </w:p>
    <w:p>
      <w:pPr>
        <w:autoSpaceDE w:val="0"/>
        <w:autoSpaceDN w:val="0"/>
        <w:spacing w:line="360" w:lineRule="auto"/>
        <w:ind w:firstLine="235" w:firstLineChars="98"/>
        <w:rPr>
          <w:rFonts w:ascii="Times New Roman" w:hAnsi="Times New Roman"/>
          <w:color w:val="auto"/>
          <w:sz w:val="24"/>
          <w:highlight w:val="none"/>
        </w:rPr>
      </w:pPr>
    </w:p>
    <w:p>
      <w:pPr>
        <w:autoSpaceDE w:val="0"/>
        <w:autoSpaceDN w:val="0"/>
        <w:spacing w:line="360" w:lineRule="auto"/>
        <w:rPr>
          <w:rFonts w:ascii="Times New Roman" w:hAnsi="Times New Roman"/>
          <w:color w:val="auto"/>
          <w:sz w:val="24"/>
          <w:highlight w:val="none"/>
        </w:rPr>
      </w:pPr>
    </w:p>
    <w:p>
      <w:pPr>
        <w:pStyle w:val="2"/>
        <w:spacing w:before="0" w:after="0" w:line="360" w:lineRule="auto"/>
        <w:jc w:val="center"/>
        <w:rPr>
          <w:rFonts w:ascii="Times New Roman" w:hAnsi="Times New Roman" w:eastAsia="黑体" w:cs="黑体"/>
          <w:b w:val="0"/>
          <w:bCs w:val="0"/>
          <w:color w:val="auto"/>
          <w:sz w:val="36"/>
          <w:szCs w:val="36"/>
          <w:highlight w:val="none"/>
        </w:rPr>
      </w:pPr>
      <w:bookmarkStart w:id="55" w:name="_Toc2617"/>
      <w:r>
        <w:rPr>
          <w:rFonts w:hint="eastAsia" w:ascii="Times New Roman" w:hAnsi="Times New Roman" w:eastAsia="黑体" w:cs="黑体"/>
          <w:b w:val="0"/>
          <w:bCs w:val="0"/>
          <w:color w:val="auto"/>
          <w:sz w:val="36"/>
          <w:szCs w:val="36"/>
          <w:highlight w:val="none"/>
        </w:rPr>
        <w:t>第四部分 煤炭深加工与利用专业核心课程标准</w:t>
      </w:r>
      <w:bookmarkEnd w:id="55"/>
    </w:p>
    <w:p>
      <w:pPr>
        <w:pStyle w:val="3"/>
        <w:spacing w:before="0" w:after="0" w:line="360" w:lineRule="auto"/>
        <w:rPr>
          <w:rFonts w:ascii="Times New Roman" w:hAnsi="Times New Roman"/>
          <w:b w:val="0"/>
          <w:bCs/>
          <w:color w:val="auto"/>
          <w:highlight w:val="none"/>
        </w:rPr>
      </w:pPr>
      <w:bookmarkStart w:id="56" w:name="_Toc361913077"/>
      <w:bookmarkStart w:id="57" w:name="_Toc17238585"/>
      <w:bookmarkStart w:id="58" w:name="_Toc23806"/>
      <w:bookmarkStart w:id="59" w:name="_Toc3958"/>
      <w:bookmarkStart w:id="60" w:name="_Toc341338646"/>
      <w:bookmarkStart w:id="61" w:name="_Toc339913816"/>
      <w:bookmarkStart w:id="62" w:name="_Toc339985617"/>
      <w:r>
        <w:rPr>
          <w:rFonts w:hint="eastAsia" w:ascii="Times New Roman" w:hAnsi="Times New Roman"/>
          <w:b w:val="0"/>
          <w:bCs/>
          <w:color w:val="auto"/>
          <w:highlight w:val="none"/>
        </w:rPr>
        <w:t>一、《化工单元操作》核心课程标准</w:t>
      </w:r>
      <w:bookmarkEnd w:id="56"/>
      <w:bookmarkEnd w:id="57"/>
      <w:bookmarkEnd w:id="58"/>
    </w:p>
    <w:bookmarkEnd w:id="59"/>
    <w:tbl>
      <w:tblPr>
        <w:tblStyle w:val="15"/>
        <w:tblW w:w="8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3233"/>
        <w:gridCol w:w="159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17" w:type="dxa"/>
            <w:noWrap/>
            <w:vAlign w:val="center"/>
          </w:tcPr>
          <w:p>
            <w:pPr>
              <w:spacing w:line="360" w:lineRule="auto"/>
              <w:jc w:val="center"/>
              <w:rPr>
                <w:color w:val="auto"/>
                <w:sz w:val="21"/>
                <w:szCs w:val="21"/>
                <w:highlight w:val="none"/>
              </w:rPr>
            </w:pPr>
            <w:r>
              <w:rPr>
                <w:rFonts w:hAnsi="宋体"/>
                <w:color w:val="auto"/>
                <w:sz w:val="21"/>
                <w:szCs w:val="21"/>
                <w:highlight w:val="none"/>
              </w:rPr>
              <w:t>课程编码</w:t>
            </w:r>
          </w:p>
        </w:tc>
        <w:tc>
          <w:tcPr>
            <w:tcW w:w="3233" w:type="dxa"/>
            <w:noWrap/>
            <w:vAlign w:val="center"/>
          </w:tcPr>
          <w:p>
            <w:pPr>
              <w:spacing w:line="360" w:lineRule="auto"/>
              <w:jc w:val="center"/>
              <w:rPr>
                <w:rFonts w:hint="default" w:eastAsiaTheme="minorEastAsia"/>
                <w:color w:val="auto"/>
                <w:sz w:val="21"/>
                <w:szCs w:val="21"/>
                <w:highlight w:val="none"/>
                <w:lang w:val="en-US" w:eastAsia="zh-CN"/>
              </w:rPr>
            </w:pPr>
            <w:r>
              <w:rPr>
                <w:color w:val="auto"/>
                <w:sz w:val="21"/>
                <w:szCs w:val="21"/>
                <w:highlight w:val="none"/>
              </w:rPr>
              <w:t>10030</w:t>
            </w:r>
            <w:r>
              <w:rPr>
                <w:rFonts w:hint="eastAsia"/>
                <w:color w:val="auto"/>
                <w:sz w:val="21"/>
                <w:szCs w:val="21"/>
                <w:highlight w:val="none"/>
                <w:lang w:val="en-US" w:eastAsia="zh-CN"/>
              </w:rPr>
              <w:t>62</w:t>
            </w:r>
          </w:p>
        </w:tc>
        <w:tc>
          <w:tcPr>
            <w:tcW w:w="1599" w:type="dxa"/>
            <w:noWrap/>
            <w:vAlign w:val="center"/>
          </w:tcPr>
          <w:p>
            <w:pPr>
              <w:spacing w:line="360" w:lineRule="auto"/>
              <w:jc w:val="center"/>
              <w:rPr>
                <w:color w:val="auto"/>
                <w:sz w:val="21"/>
                <w:szCs w:val="21"/>
                <w:highlight w:val="none"/>
              </w:rPr>
            </w:pPr>
            <w:r>
              <w:rPr>
                <w:rFonts w:hAnsi="宋体"/>
                <w:color w:val="auto"/>
                <w:sz w:val="21"/>
                <w:szCs w:val="21"/>
                <w:highlight w:val="none"/>
              </w:rPr>
              <w:t>课程类别</w:t>
            </w:r>
          </w:p>
        </w:tc>
        <w:tc>
          <w:tcPr>
            <w:tcW w:w="1969" w:type="dxa"/>
            <w:noWrap/>
            <w:vAlign w:val="center"/>
          </w:tcPr>
          <w:p>
            <w:pPr>
              <w:spacing w:line="360" w:lineRule="auto"/>
              <w:jc w:val="center"/>
              <w:rPr>
                <w:color w:val="auto"/>
                <w:sz w:val="21"/>
                <w:szCs w:val="21"/>
                <w:highlight w:val="none"/>
              </w:rPr>
            </w:pPr>
            <w:r>
              <w:rPr>
                <w:rFonts w:hAnsi="宋体"/>
                <w:color w:val="auto"/>
                <w:sz w:val="21"/>
                <w:szCs w:val="21"/>
                <w:highlight w:val="none"/>
              </w:rPr>
              <w:t>专业学习领域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17" w:type="dxa"/>
            <w:noWrap/>
            <w:vAlign w:val="center"/>
          </w:tcPr>
          <w:p>
            <w:pPr>
              <w:spacing w:line="360" w:lineRule="auto"/>
              <w:jc w:val="center"/>
              <w:rPr>
                <w:color w:val="auto"/>
                <w:sz w:val="21"/>
                <w:szCs w:val="21"/>
                <w:highlight w:val="none"/>
              </w:rPr>
            </w:pPr>
            <w:r>
              <w:rPr>
                <w:rFonts w:hAnsi="宋体"/>
                <w:color w:val="auto"/>
                <w:sz w:val="21"/>
                <w:szCs w:val="21"/>
                <w:highlight w:val="none"/>
              </w:rPr>
              <w:t>计划学时</w:t>
            </w:r>
          </w:p>
        </w:tc>
        <w:tc>
          <w:tcPr>
            <w:tcW w:w="3233" w:type="dxa"/>
            <w:noWrap/>
            <w:vAlign w:val="center"/>
          </w:tcPr>
          <w:p>
            <w:pPr>
              <w:spacing w:line="360" w:lineRule="auto"/>
              <w:jc w:val="center"/>
              <w:rPr>
                <w:color w:val="auto"/>
                <w:sz w:val="21"/>
                <w:szCs w:val="21"/>
                <w:highlight w:val="none"/>
              </w:rPr>
            </w:pPr>
            <w:r>
              <w:rPr>
                <w:color w:val="auto"/>
                <w:sz w:val="21"/>
                <w:szCs w:val="21"/>
                <w:highlight w:val="none"/>
              </w:rPr>
              <w:t>144</w:t>
            </w:r>
          </w:p>
        </w:tc>
        <w:tc>
          <w:tcPr>
            <w:tcW w:w="1599" w:type="dxa"/>
            <w:noWrap/>
            <w:vAlign w:val="center"/>
          </w:tcPr>
          <w:p>
            <w:pPr>
              <w:spacing w:line="360" w:lineRule="auto"/>
              <w:jc w:val="center"/>
              <w:rPr>
                <w:color w:val="auto"/>
                <w:sz w:val="21"/>
                <w:szCs w:val="21"/>
                <w:highlight w:val="none"/>
              </w:rPr>
            </w:pPr>
            <w:r>
              <w:rPr>
                <w:rFonts w:hAnsi="宋体"/>
                <w:color w:val="auto"/>
                <w:sz w:val="21"/>
                <w:szCs w:val="21"/>
                <w:highlight w:val="none"/>
              </w:rPr>
              <w:t>课程类型</w:t>
            </w:r>
          </w:p>
        </w:tc>
        <w:tc>
          <w:tcPr>
            <w:tcW w:w="1969" w:type="dxa"/>
            <w:noWrap/>
            <w:vAlign w:val="center"/>
          </w:tcPr>
          <w:p>
            <w:pPr>
              <w:spacing w:line="360" w:lineRule="auto"/>
              <w:jc w:val="center"/>
              <w:rPr>
                <w:color w:val="auto"/>
                <w:sz w:val="21"/>
                <w:szCs w:val="21"/>
                <w:highlight w:val="none"/>
              </w:rPr>
            </w:pPr>
            <w:r>
              <w:rPr>
                <w:color w:val="auto"/>
                <w:sz w:val="21"/>
                <w:szCs w:val="21"/>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17" w:type="dxa"/>
            <w:noWrap/>
            <w:vAlign w:val="center"/>
          </w:tcPr>
          <w:p>
            <w:pPr>
              <w:spacing w:line="360" w:lineRule="auto"/>
              <w:jc w:val="center"/>
              <w:rPr>
                <w:color w:val="auto"/>
                <w:sz w:val="21"/>
                <w:szCs w:val="21"/>
                <w:highlight w:val="none"/>
              </w:rPr>
            </w:pPr>
            <w:r>
              <w:rPr>
                <w:rFonts w:hAnsi="宋体"/>
                <w:color w:val="auto"/>
                <w:sz w:val="21"/>
                <w:szCs w:val="21"/>
                <w:highlight w:val="none"/>
              </w:rPr>
              <w:t>适用专业</w:t>
            </w:r>
          </w:p>
        </w:tc>
        <w:tc>
          <w:tcPr>
            <w:tcW w:w="3233" w:type="dxa"/>
            <w:noWrap/>
            <w:vAlign w:val="center"/>
          </w:tcPr>
          <w:p>
            <w:pPr>
              <w:spacing w:line="360" w:lineRule="auto"/>
              <w:jc w:val="center"/>
              <w:rPr>
                <w:color w:val="auto"/>
                <w:sz w:val="21"/>
                <w:szCs w:val="21"/>
                <w:highlight w:val="none"/>
              </w:rPr>
            </w:pPr>
            <w:r>
              <w:rPr>
                <w:rFonts w:hAnsi="宋体"/>
                <w:color w:val="auto"/>
                <w:sz w:val="21"/>
                <w:szCs w:val="21"/>
                <w:highlight w:val="none"/>
              </w:rPr>
              <w:t>煤</w:t>
            </w:r>
            <w:r>
              <w:rPr>
                <w:rFonts w:hint="eastAsia" w:hAnsi="宋体"/>
                <w:color w:val="auto"/>
                <w:sz w:val="21"/>
                <w:szCs w:val="21"/>
                <w:highlight w:val="none"/>
              </w:rPr>
              <w:t>炭深加工与利用</w:t>
            </w:r>
          </w:p>
        </w:tc>
        <w:tc>
          <w:tcPr>
            <w:tcW w:w="1599" w:type="dxa"/>
            <w:noWrap/>
            <w:vAlign w:val="center"/>
          </w:tcPr>
          <w:p>
            <w:pPr>
              <w:spacing w:line="360" w:lineRule="auto"/>
              <w:jc w:val="center"/>
              <w:rPr>
                <w:color w:val="auto"/>
                <w:sz w:val="21"/>
                <w:szCs w:val="21"/>
                <w:highlight w:val="none"/>
              </w:rPr>
            </w:pPr>
            <w:r>
              <w:rPr>
                <w:rFonts w:hAnsi="宋体"/>
                <w:color w:val="auto"/>
                <w:sz w:val="21"/>
                <w:szCs w:val="21"/>
                <w:highlight w:val="none"/>
              </w:rPr>
              <w:t>课程性质</w:t>
            </w:r>
          </w:p>
        </w:tc>
        <w:tc>
          <w:tcPr>
            <w:tcW w:w="1969" w:type="dxa"/>
            <w:noWrap/>
            <w:vAlign w:val="center"/>
          </w:tcPr>
          <w:p>
            <w:pPr>
              <w:spacing w:line="360" w:lineRule="auto"/>
              <w:jc w:val="center"/>
              <w:rPr>
                <w:color w:val="auto"/>
                <w:sz w:val="21"/>
                <w:szCs w:val="21"/>
                <w:highlight w:val="none"/>
              </w:rPr>
            </w:pPr>
            <w:r>
              <w:rPr>
                <w:rFonts w:hAnsi="宋体"/>
                <w:color w:val="auto"/>
                <w:sz w:val="21"/>
                <w:szCs w:val="21"/>
                <w:highlight w:val="none"/>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17" w:type="dxa"/>
            <w:noWrap/>
            <w:vAlign w:val="center"/>
          </w:tcPr>
          <w:p>
            <w:pPr>
              <w:spacing w:line="360" w:lineRule="auto"/>
              <w:jc w:val="center"/>
              <w:rPr>
                <w:color w:val="auto"/>
                <w:sz w:val="21"/>
                <w:szCs w:val="21"/>
                <w:highlight w:val="none"/>
              </w:rPr>
            </w:pPr>
            <w:r>
              <w:rPr>
                <w:rFonts w:hAnsi="宋体"/>
                <w:color w:val="auto"/>
                <w:sz w:val="21"/>
                <w:szCs w:val="21"/>
                <w:highlight w:val="none"/>
              </w:rPr>
              <w:t>开课学期</w:t>
            </w:r>
          </w:p>
        </w:tc>
        <w:tc>
          <w:tcPr>
            <w:tcW w:w="3233" w:type="dxa"/>
            <w:noWrap/>
            <w:vAlign w:val="center"/>
          </w:tcPr>
          <w:p>
            <w:pPr>
              <w:spacing w:line="360" w:lineRule="auto"/>
              <w:jc w:val="center"/>
              <w:rPr>
                <w:color w:val="auto"/>
                <w:sz w:val="21"/>
                <w:szCs w:val="21"/>
                <w:highlight w:val="none"/>
              </w:rPr>
            </w:pPr>
            <w:r>
              <w:rPr>
                <w:rFonts w:hAnsi="宋体"/>
                <w:color w:val="auto"/>
                <w:sz w:val="21"/>
                <w:szCs w:val="21"/>
                <w:highlight w:val="none"/>
              </w:rPr>
              <w:t>第</w:t>
            </w:r>
            <w:r>
              <w:rPr>
                <w:rFonts w:hint="eastAsia"/>
                <w:color w:val="auto"/>
                <w:sz w:val="21"/>
                <w:szCs w:val="21"/>
                <w:highlight w:val="none"/>
              </w:rPr>
              <w:t>2、3</w:t>
            </w:r>
            <w:r>
              <w:rPr>
                <w:rFonts w:hAnsi="宋体"/>
                <w:color w:val="auto"/>
                <w:sz w:val="21"/>
                <w:szCs w:val="21"/>
                <w:highlight w:val="none"/>
              </w:rPr>
              <w:t>学期</w:t>
            </w:r>
          </w:p>
        </w:tc>
        <w:tc>
          <w:tcPr>
            <w:tcW w:w="1599" w:type="dxa"/>
            <w:noWrap/>
            <w:vAlign w:val="center"/>
          </w:tcPr>
          <w:p>
            <w:pPr>
              <w:spacing w:line="360" w:lineRule="auto"/>
              <w:jc w:val="center"/>
              <w:rPr>
                <w:color w:val="auto"/>
                <w:sz w:val="21"/>
                <w:szCs w:val="21"/>
                <w:highlight w:val="none"/>
              </w:rPr>
            </w:pPr>
            <w:r>
              <w:rPr>
                <w:rFonts w:hAnsi="宋体"/>
                <w:color w:val="auto"/>
                <w:sz w:val="21"/>
                <w:szCs w:val="21"/>
                <w:highlight w:val="none"/>
              </w:rPr>
              <w:t>学分</w:t>
            </w:r>
          </w:p>
        </w:tc>
        <w:tc>
          <w:tcPr>
            <w:tcW w:w="1969" w:type="dxa"/>
            <w:noWrap/>
            <w:vAlign w:val="center"/>
          </w:tcPr>
          <w:p>
            <w:pPr>
              <w:spacing w:line="360" w:lineRule="auto"/>
              <w:jc w:val="center"/>
              <w:rPr>
                <w:color w:val="auto"/>
                <w:sz w:val="21"/>
                <w:szCs w:val="21"/>
                <w:highlight w:val="none"/>
              </w:rPr>
            </w:pPr>
            <w:r>
              <w:rPr>
                <w:color w:val="auto"/>
                <w:sz w:val="21"/>
                <w:szCs w:val="21"/>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17" w:type="dxa"/>
            <w:noWrap/>
            <w:vAlign w:val="center"/>
          </w:tcPr>
          <w:p>
            <w:pPr>
              <w:spacing w:line="360" w:lineRule="auto"/>
              <w:jc w:val="center"/>
              <w:rPr>
                <w:color w:val="auto"/>
                <w:sz w:val="21"/>
                <w:szCs w:val="21"/>
                <w:highlight w:val="none"/>
              </w:rPr>
            </w:pPr>
            <w:r>
              <w:rPr>
                <w:rFonts w:hAnsi="宋体"/>
                <w:color w:val="auto"/>
                <w:sz w:val="21"/>
                <w:szCs w:val="21"/>
                <w:highlight w:val="none"/>
              </w:rPr>
              <w:t>先行课程</w:t>
            </w:r>
          </w:p>
        </w:tc>
        <w:tc>
          <w:tcPr>
            <w:tcW w:w="3233" w:type="dxa"/>
            <w:noWrap/>
            <w:vAlign w:val="center"/>
          </w:tcPr>
          <w:p>
            <w:pPr>
              <w:spacing w:line="360" w:lineRule="auto"/>
              <w:jc w:val="center"/>
              <w:rPr>
                <w:color w:val="auto"/>
                <w:sz w:val="21"/>
                <w:szCs w:val="21"/>
                <w:highlight w:val="none"/>
              </w:rPr>
            </w:pPr>
            <w:r>
              <w:rPr>
                <w:rFonts w:hAnsi="宋体"/>
                <w:color w:val="auto"/>
                <w:sz w:val="21"/>
                <w:szCs w:val="21"/>
                <w:highlight w:val="none"/>
              </w:rPr>
              <w:t>基础化学</w:t>
            </w:r>
            <w:r>
              <w:rPr>
                <w:rFonts w:hint="eastAsia" w:hAnsi="宋体"/>
                <w:color w:val="auto"/>
                <w:sz w:val="21"/>
                <w:szCs w:val="21"/>
                <w:highlight w:val="none"/>
              </w:rPr>
              <w:t>，高等数学</w:t>
            </w:r>
          </w:p>
        </w:tc>
        <w:tc>
          <w:tcPr>
            <w:tcW w:w="1599" w:type="dxa"/>
            <w:noWrap/>
            <w:vAlign w:val="center"/>
          </w:tcPr>
          <w:p>
            <w:pPr>
              <w:spacing w:line="360" w:lineRule="auto"/>
              <w:jc w:val="center"/>
              <w:rPr>
                <w:color w:val="auto"/>
                <w:sz w:val="21"/>
                <w:szCs w:val="21"/>
                <w:highlight w:val="none"/>
              </w:rPr>
            </w:pPr>
            <w:r>
              <w:rPr>
                <w:rFonts w:hAnsi="宋体"/>
                <w:color w:val="auto"/>
                <w:sz w:val="21"/>
                <w:szCs w:val="21"/>
                <w:highlight w:val="none"/>
              </w:rPr>
              <w:t>开课单位</w:t>
            </w:r>
          </w:p>
        </w:tc>
        <w:tc>
          <w:tcPr>
            <w:tcW w:w="1969" w:type="dxa"/>
            <w:noWrap/>
            <w:vAlign w:val="center"/>
          </w:tcPr>
          <w:p>
            <w:pPr>
              <w:spacing w:line="360" w:lineRule="auto"/>
              <w:jc w:val="center"/>
              <w:rPr>
                <w:color w:val="auto"/>
                <w:sz w:val="21"/>
                <w:szCs w:val="21"/>
                <w:highlight w:val="none"/>
              </w:rPr>
            </w:pPr>
            <w:r>
              <w:rPr>
                <w:rFonts w:hAnsi="宋体"/>
                <w:color w:val="auto"/>
                <w:sz w:val="21"/>
                <w:szCs w:val="21"/>
                <w:highlight w:val="none"/>
              </w:rPr>
              <w:t>晋城职业技术学院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17" w:type="dxa"/>
            <w:noWrap/>
            <w:vAlign w:val="center"/>
          </w:tcPr>
          <w:p>
            <w:pPr>
              <w:spacing w:line="360" w:lineRule="auto"/>
              <w:jc w:val="center"/>
              <w:rPr>
                <w:color w:val="auto"/>
                <w:sz w:val="21"/>
                <w:szCs w:val="21"/>
                <w:highlight w:val="none"/>
              </w:rPr>
            </w:pPr>
            <w:r>
              <w:rPr>
                <w:rFonts w:hAnsi="宋体"/>
                <w:color w:val="auto"/>
                <w:sz w:val="21"/>
                <w:szCs w:val="21"/>
                <w:highlight w:val="none"/>
              </w:rPr>
              <w:t>平行课程</w:t>
            </w:r>
          </w:p>
        </w:tc>
        <w:tc>
          <w:tcPr>
            <w:tcW w:w="3233" w:type="dxa"/>
            <w:noWrap/>
            <w:vAlign w:val="center"/>
          </w:tcPr>
          <w:p>
            <w:pPr>
              <w:widowControl/>
              <w:jc w:val="center"/>
              <w:rPr>
                <w:color w:val="auto"/>
                <w:sz w:val="21"/>
                <w:szCs w:val="21"/>
                <w:highlight w:val="none"/>
              </w:rPr>
            </w:pPr>
            <w:r>
              <w:rPr>
                <w:rFonts w:hAnsi="宋体"/>
                <w:color w:val="auto"/>
                <w:sz w:val="21"/>
                <w:szCs w:val="21"/>
                <w:highlight w:val="none"/>
              </w:rPr>
              <w:t>工业分析</w:t>
            </w:r>
            <w:r>
              <w:rPr>
                <w:rFonts w:hint="eastAsia" w:hAnsi="宋体"/>
                <w:color w:val="auto"/>
                <w:sz w:val="21"/>
                <w:szCs w:val="21"/>
                <w:highlight w:val="none"/>
              </w:rPr>
              <w:t>、化工制图</w:t>
            </w:r>
          </w:p>
        </w:tc>
        <w:tc>
          <w:tcPr>
            <w:tcW w:w="1599" w:type="dxa"/>
            <w:noWrap/>
            <w:vAlign w:val="center"/>
          </w:tcPr>
          <w:p>
            <w:pPr>
              <w:spacing w:line="360" w:lineRule="auto"/>
              <w:jc w:val="center"/>
              <w:rPr>
                <w:color w:val="auto"/>
                <w:sz w:val="21"/>
                <w:szCs w:val="21"/>
                <w:highlight w:val="none"/>
              </w:rPr>
            </w:pPr>
            <w:r>
              <w:rPr>
                <w:rFonts w:hAnsi="宋体"/>
                <w:color w:val="auto"/>
                <w:sz w:val="21"/>
                <w:szCs w:val="21"/>
                <w:highlight w:val="none"/>
              </w:rPr>
              <w:t>考核类型</w:t>
            </w:r>
          </w:p>
        </w:tc>
        <w:tc>
          <w:tcPr>
            <w:tcW w:w="1969" w:type="dxa"/>
            <w:noWrap/>
            <w:vAlign w:val="center"/>
          </w:tcPr>
          <w:p>
            <w:pPr>
              <w:spacing w:line="360" w:lineRule="auto"/>
              <w:jc w:val="center"/>
              <w:rPr>
                <w:color w:val="auto"/>
                <w:sz w:val="21"/>
                <w:szCs w:val="21"/>
                <w:highlight w:val="none"/>
              </w:rPr>
            </w:pPr>
            <w:r>
              <w:rPr>
                <w:rFonts w:hAnsi="宋体"/>
                <w:color w:val="auto"/>
                <w:sz w:val="21"/>
                <w:szCs w:val="21"/>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317" w:type="dxa"/>
            <w:noWrap/>
            <w:vAlign w:val="center"/>
          </w:tcPr>
          <w:p>
            <w:pPr>
              <w:spacing w:line="360" w:lineRule="auto"/>
              <w:jc w:val="center"/>
              <w:rPr>
                <w:color w:val="auto"/>
                <w:sz w:val="21"/>
                <w:szCs w:val="21"/>
                <w:highlight w:val="none"/>
              </w:rPr>
            </w:pPr>
            <w:r>
              <w:rPr>
                <w:rFonts w:hAnsi="宋体"/>
                <w:color w:val="auto"/>
                <w:sz w:val="21"/>
                <w:szCs w:val="21"/>
                <w:highlight w:val="none"/>
              </w:rPr>
              <w:t>后继课程</w:t>
            </w:r>
          </w:p>
        </w:tc>
        <w:tc>
          <w:tcPr>
            <w:tcW w:w="6801" w:type="dxa"/>
            <w:gridSpan w:val="3"/>
            <w:noWrap/>
            <w:vAlign w:val="center"/>
          </w:tcPr>
          <w:p>
            <w:pPr>
              <w:spacing w:line="360" w:lineRule="auto"/>
              <w:jc w:val="center"/>
              <w:rPr>
                <w:color w:val="auto"/>
                <w:sz w:val="21"/>
                <w:szCs w:val="21"/>
                <w:highlight w:val="none"/>
              </w:rPr>
            </w:pPr>
            <w:r>
              <w:rPr>
                <w:rFonts w:hint="eastAsia" w:hAnsi="宋体"/>
                <w:color w:val="auto"/>
                <w:sz w:val="21"/>
                <w:szCs w:val="21"/>
                <w:highlight w:val="none"/>
              </w:rPr>
              <w:t>化工设备基础、</w:t>
            </w:r>
            <w:r>
              <w:rPr>
                <w:rFonts w:hint="eastAsia" w:hAnsi="宋体"/>
                <w:color w:val="auto"/>
                <w:sz w:val="21"/>
                <w:szCs w:val="21"/>
                <w:highlight w:val="none"/>
                <w:lang w:val="en-US" w:eastAsia="zh-CN"/>
              </w:rPr>
              <w:t>洁净煤技术</w:t>
            </w:r>
            <w:r>
              <w:rPr>
                <w:rFonts w:hAnsi="宋体"/>
                <w:color w:val="auto"/>
                <w:sz w:val="21"/>
                <w:szCs w:val="21"/>
                <w:highlight w:val="none"/>
              </w:rPr>
              <w:t>，煤化工</w:t>
            </w:r>
            <w:r>
              <w:rPr>
                <w:rFonts w:hint="eastAsia" w:hAnsi="宋体"/>
                <w:color w:val="auto"/>
                <w:sz w:val="21"/>
                <w:szCs w:val="21"/>
                <w:highlight w:val="none"/>
              </w:rPr>
              <w:t>生产技术</w:t>
            </w:r>
          </w:p>
        </w:tc>
      </w:tr>
    </w:tbl>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bookmarkStart w:id="63" w:name="_Toc17666"/>
      <w:r>
        <w:rPr>
          <w:rFonts w:hint="eastAsia" w:ascii="Times New Roman" w:hAnsi="Times New Roman" w:eastAsia="黑体" w:cs="黑体"/>
          <w:bCs/>
          <w:color w:val="auto"/>
          <w:sz w:val="30"/>
          <w:szCs w:val="30"/>
          <w:highlight w:val="none"/>
          <w:lang w:val="en-US" w:eastAsia="zh-CN"/>
        </w:rPr>
        <w:t>（一）课程性质与定位</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1</w:t>
      </w:r>
      <w:r>
        <w:rPr>
          <w:rFonts w:hint="eastAsia" w:ascii="Times New Roman" w:hAnsi="Times New Roman" w:eastAsia="宋体"/>
          <w:color w:val="auto"/>
          <w:sz w:val="24"/>
          <w:highlight w:val="none"/>
          <w:lang w:val="en-US" w:eastAsia="zh-CN"/>
        </w:rPr>
        <w:t>.</w:t>
      </w:r>
      <w:r>
        <w:rPr>
          <w:rFonts w:hint="eastAsia" w:ascii="Times New Roman" w:hAnsi="Times New Roman" w:eastAsia="宋体"/>
          <w:color w:val="auto"/>
          <w:sz w:val="24"/>
          <w:highlight w:val="none"/>
        </w:rPr>
        <w:t>课程性质</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化工单元操作是以典型化工单元操作为研究对象，应用基础学科的相关原理，对各单元操作过程进行设计优化或操作优化的一门课程。它是化工类专业及其相近专业的一门基础技术课程和主干课程，带有很强的技术性、工程性及实用性，是构造应用化工高等技术应用型专门人才知识结构、素质结构与能力结构的必修课，是培养学生工程技术观点和化工核心实践技能的重要课程。</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2</w:t>
      </w:r>
      <w:r>
        <w:rPr>
          <w:rFonts w:hint="eastAsia" w:ascii="Times New Roman" w:hAnsi="Times New Roman" w:eastAsia="宋体"/>
          <w:color w:val="auto"/>
          <w:sz w:val="24"/>
          <w:highlight w:val="none"/>
          <w:lang w:val="en-US" w:eastAsia="zh-CN"/>
        </w:rPr>
        <w:t>.</w:t>
      </w:r>
      <w:r>
        <w:rPr>
          <w:rFonts w:hint="eastAsia" w:ascii="Times New Roman" w:hAnsi="Times New Roman" w:eastAsia="宋体"/>
          <w:color w:val="auto"/>
          <w:sz w:val="24"/>
          <w:highlight w:val="none"/>
        </w:rPr>
        <w:t>课程定位</w:t>
      </w:r>
    </w:p>
    <w:p>
      <w:pPr>
        <w:spacing w:line="360" w:lineRule="auto"/>
        <w:ind w:firstLine="480" w:firstLineChars="200"/>
        <w:rPr>
          <w:rFonts w:hint="eastAsia" w:ascii="Times New Roman" w:hAnsi="Times New Roman" w:eastAsia="宋体"/>
          <w:color w:val="auto"/>
          <w:sz w:val="24"/>
          <w:highlight w:val="none"/>
        </w:rPr>
      </w:pPr>
      <w:r>
        <w:rPr>
          <w:rFonts w:hint="eastAsia" w:ascii="Times New Roman" w:hAnsi="Times New Roman" w:eastAsia="宋体"/>
          <w:color w:val="auto"/>
          <w:sz w:val="24"/>
          <w:highlight w:val="none"/>
        </w:rPr>
        <w:t>本课程是煤炭深加工与利用专业的专业核心类课程，专业课程体系符合高职高专教育类高端技能型人才培养目标和专业相关技术领域职业岗位（群）的任职要求，与《无机分析及化学》、《有机化学》、《化工制图》、《物理化学》等前续课程密切衔接，为后续课程《无机生产技术》、《化工顶岗实习》、《毕业设计》等打下坚实的基础。</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（二）课程设计理念</w:t>
      </w:r>
    </w:p>
    <w:p>
      <w:pPr>
        <w:spacing w:line="360" w:lineRule="auto"/>
        <w:ind w:firstLine="480" w:firstLineChars="200"/>
        <w:rPr>
          <w:rFonts w:hint="default" w:ascii="Times New Roman" w:hAnsi="Times New Roman" w:eastAsia="宋体"/>
          <w:color w:val="auto"/>
          <w:sz w:val="24"/>
          <w:highlight w:val="none"/>
          <w:lang w:val="en-US" w:eastAsia="zh-CN"/>
        </w:rPr>
        <w:sectPr>
          <w:headerReference r:id="rId5" w:type="default"/>
          <w:footerReference r:id="rId6" w:type="default"/>
          <w:pgSz w:w="11906" w:h="16838"/>
          <w:pgMar w:top="1440" w:right="1797" w:bottom="1440" w:left="1797" w:header="851" w:footer="992" w:gutter="0"/>
          <w:cols w:space="720" w:num="1"/>
          <w:docGrid w:type="lines" w:linePitch="312" w:charSpace="0"/>
        </w:sectPr>
      </w:pPr>
      <w:r>
        <w:rPr>
          <w:rFonts w:hint="eastAsia" w:ascii="Times New Roman" w:hAnsi="Times New Roman" w:eastAsia="宋体"/>
          <w:color w:val="auto"/>
          <w:sz w:val="24"/>
          <w:highlight w:val="none"/>
        </w:rPr>
        <w:t>针对本课程实践性及实用性强的特点，我们在充分对化工企业岗位设置及岗位能力需求进行调研的基础上，以工作过程为导向，以职业能力培养为重</w:t>
      </w:r>
      <w:r>
        <w:rPr>
          <w:rFonts w:hint="eastAsia" w:ascii="Times New Roman" w:hAnsi="Times New Roman" w:eastAsia="宋体"/>
          <w:color w:val="auto"/>
          <w:sz w:val="24"/>
          <w:highlight w:val="none"/>
          <w:lang w:val="en-US" w:eastAsia="zh-CN"/>
        </w:rPr>
        <w:t>点，与</w:t>
      </w:r>
      <w:r>
        <w:rPr>
          <w:rFonts w:hint="eastAsia" w:ascii="Times New Roman" w:hAnsi="Times New Roman" w:eastAsia="宋体"/>
          <w:color w:val="auto"/>
          <w:sz w:val="24"/>
          <w:highlight w:val="none"/>
        </w:rPr>
        <w:t>行业企业合作</w:t>
      </w:r>
      <w:r>
        <w:rPr>
          <w:rFonts w:hint="eastAsia" w:ascii="Times New Roman" w:hAnsi="Times New Roman" w:eastAsia="宋体"/>
          <w:color w:val="auto"/>
          <w:sz w:val="24"/>
          <w:highlight w:val="none"/>
          <w:lang w:eastAsia="zh-CN"/>
        </w:rPr>
        <w:t>，</w:t>
      </w:r>
      <w:r>
        <w:rPr>
          <w:rFonts w:hint="eastAsia" w:ascii="Times New Roman" w:hAnsi="Times New Roman" w:eastAsia="宋体"/>
          <w:color w:val="auto"/>
          <w:sz w:val="24"/>
          <w:highlight w:val="none"/>
        </w:rPr>
        <w:t>进行基于工作过程系统化的课程开发与设计，充分体现职业性、实践性和开放性的要求。在课程设置中，按职业岗位工作过程的完整性配置课程、</w:t>
      </w:r>
    </w:p>
    <w:p>
      <w:pPr>
        <w:spacing w:line="360" w:lineRule="auto"/>
        <w:rPr>
          <w:rFonts w:ascii="Times New Roman" w:hAnsi="Times New Roman" w:eastAsia="宋体"/>
          <w:color w:val="auto"/>
          <w:sz w:val="24"/>
          <w:highlight w:val="none"/>
        </w:rPr>
      </w:pPr>
      <w:r>
        <w:rPr>
          <w:rFonts w:hint="eastAsia" w:ascii="Times New Roman" w:hAnsi="Times New Roman" w:eastAsia="宋体"/>
          <w:color w:val="auto"/>
          <w:sz w:val="24"/>
          <w:highlight w:val="none"/>
        </w:rPr>
        <w:t>备及进行操作，从而培养学生物料平衡能力、工艺计算能力、设备操作能力、设备维护保养能力，培养学生良好的职业道德和职业素质，理论联系实际解决实际生产问题的能力。</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课程设计始终按照“化工岗位群——岗位典型的工作任务——完成任务需要的基本能力——培养能力所必须的基本技术——培养技术必须的训练项目——相应的理论知识”这条主线来构建基于工作过程的课程体系和课程内容。</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（三）课程目标</w:t>
      </w:r>
    </w:p>
    <w:p>
      <w:pPr>
        <w:pStyle w:val="14"/>
        <w:spacing w:beforeAutospacing="0" w:afterAutospacing="0" w:line="360" w:lineRule="auto"/>
        <w:ind w:firstLine="480" w:firstLineChars="200"/>
        <w:jc w:val="both"/>
        <w:rPr>
          <w:rFonts w:ascii="Times New Roman" w:hAnsi="Times New Roman" w:eastAsia="宋体"/>
          <w:color w:val="auto"/>
          <w:highlight w:val="none"/>
        </w:rPr>
      </w:pPr>
      <w:r>
        <w:rPr>
          <w:rFonts w:hint="eastAsia" w:ascii="Times New Roman" w:hAnsi="Times New Roman" w:eastAsia="宋体"/>
          <w:color w:val="auto"/>
          <w:highlight w:val="none"/>
        </w:rPr>
        <w:t>1</w:t>
      </w:r>
      <w:r>
        <w:rPr>
          <w:rFonts w:hint="eastAsia" w:ascii="Times New Roman" w:hAnsi="Times New Roman" w:eastAsia="宋体"/>
          <w:color w:val="auto"/>
          <w:highlight w:val="none"/>
          <w:lang w:eastAsia="zh-CN"/>
        </w:rPr>
        <w:t>.</w:t>
      </w:r>
      <w:r>
        <w:rPr>
          <w:rFonts w:hint="eastAsia" w:ascii="Times New Roman" w:hAnsi="Times New Roman" w:eastAsia="宋体"/>
          <w:color w:val="auto"/>
          <w:highlight w:val="none"/>
        </w:rPr>
        <w:t>专业知识</w:t>
      </w:r>
    </w:p>
    <w:p>
      <w:pPr>
        <w:pStyle w:val="14"/>
        <w:spacing w:beforeAutospacing="0" w:afterAutospacing="0" w:line="360" w:lineRule="auto"/>
        <w:ind w:firstLine="480" w:firstLineChars="200"/>
        <w:jc w:val="both"/>
        <w:rPr>
          <w:rFonts w:ascii="Times New Roman" w:hAnsi="Times New Roman" w:eastAsia="宋体"/>
          <w:color w:val="auto"/>
          <w:highlight w:val="none"/>
        </w:rPr>
      </w:pPr>
      <w:r>
        <w:rPr>
          <w:rFonts w:hint="eastAsia" w:ascii="Times New Roman" w:hAnsi="Times New Roman" w:eastAsia="宋体"/>
          <w:color w:val="auto"/>
          <w:highlight w:val="none"/>
        </w:rPr>
        <w:t>本课要求学生综合运用基础化学、物理化学、化工制图等基础知识来分析和解决化工生产过程中的工程问题。通过本课程的学习，在知识层面学生应掌握的内容：</w:t>
      </w:r>
    </w:p>
    <w:tbl>
      <w:tblPr>
        <w:tblStyle w:val="15"/>
        <w:tblW w:w="84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（1）掌握化工单元操作的基本知识与原理；</w:t>
            </w:r>
          </w:p>
        </w:tc>
        <w:tc>
          <w:tcPr>
            <w:tcW w:w="4182"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（2）掌握化工操作设备的构造与选用方法；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（3）掌握化工单元操作的相关工艺计算；</w:t>
            </w:r>
          </w:p>
        </w:tc>
        <w:tc>
          <w:tcPr>
            <w:tcW w:w="4182"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（4）理解工艺条件对化工单元操作的影响；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（5）理解化工生产中节能环保的基本知识与原理；</w:t>
            </w:r>
          </w:p>
        </w:tc>
        <w:tc>
          <w:tcPr>
            <w:tcW w:w="4182"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（6）了解化工企业生产管理常识、安全生产知识和成本核算基本方法。</w:t>
            </w:r>
          </w:p>
        </w:tc>
      </w:tr>
    </w:tbl>
    <w:p>
      <w:pPr>
        <w:pStyle w:val="14"/>
        <w:spacing w:beforeAutospacing="0" w:afterAutospacing="0" w:line="360" w:lineRule="auto"/>
        <w:ind w:firstLine="480" w:firstLineChars="200"/>
        <w:jc w:val="both"/>
        <w:rPr>
          <w:rFonts w:ascii="Times New Roman" w:hAnsi="Times New Roman" w:eastAsia="宋体"/>
          <w:color w:val="auto"/>
          <w:highlight w:val="none"/>
        </w:rPr>
      </w:pPr>
      <w:r>
        <w:rPr>
          <w:rFonts w:hint="eastAsia" w:ascii="Times New Roman" w:hAnsi="Times New Roman" w:eastAsia="宋体"/>
          <w:color w:val="auto"/>
          <w:highlight w:val="none"/>
        </w:rPr>
        <w:t>2</w:t>
      </w:r>
      <w:r>
        <w:rPr>
          <w:rFonts w:hint="eastAsia" w:ascii="Times New Roman" w:hAnsi="Times New Roman" w:eastAsia="宋体"/>
          <w:color w:val="auto"/>
          <w:highlight w:val="none"/>
          <w:lang w:eastAsia="zh-CN"/>
        </w:rPr>
        <w:t>.</w:t>
      </w:r>
      <w:r>
        <w:rPr>
          <w:rFonts w:hint="eastAsia" w:ascii="Times New Roman" w:hAnsi="Times New Roman" w:eastAsia="宋体"/>
          <w:color w:val="auto"/>
          <w:highlight w:val="none"/>
        </w:rPr>
        <w:t>专业技能</w:t>
      </w:r>
    </w:p>
    <w:p>
      <w:pPr>
        <w:pStyle w:val="14"/>
        <w:spacing w:beforeAutospacing="0" w:afterAutospacing="0" w:line="360" w:lineRule="auto"/>
        <w:ind w:firstLine="480" w:firstLineChars="200"/>
        <w:jc w:val="both"/>
        <w:rPr>
          <w:rFonts w:ascii="Times New Roman" w:hAnsi="Times New Roman" w:eastAsia="宋体"/>
          <w:color w:val="auto"/>
          <w:highlight w:val="none"/>
        </w:rPr>
      </w:pPr>
      <w:r>
        <w:rPr>
          <w:rFonts w:hint="eastAsia" w:ascii="Times New Roman" w:hAnsi="Times New Roman" w:eastAsia="宋体"/>
          <w:color w:val="auto"/>
          <w:highlight w:val="none"/>
        </w:rPr>
        <w:t>通过本课程的学习，达到以下技能目标：</w:t>
      </w:r>
    </w:p>
    <w:tbl>
      <w:tblPr>
        <w:tblStyle w:val="15"/>
        <w:tblW w:w="8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（1）会查阅有关工程计算图表和手册，能借助工程计算图表和手册进行简单的操作型和设计型计算；</w:t>
            </w:r>
          </w:p>
        </w:tc>
        <w:tc>
          <w:tcPr>
            <w:tcW w:w="4144"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（2）能识读带控制点的工艺流程图、配管图、设备平面布置图等，并能进行简单的管路设计与布置；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（3）能根据具体生产任务要求及物料特性，选择合适的单元操作及设备；</w:t>
            </w:r>
          </w:p>
        </w:tc>
        <w:tc>
          <w:tcPr>
            <w:tcW w:w="4144"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（4）能进行单元操作工艺参数计算，并据此进行单元操作设备选型和设计；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（5）能正确使用化工生产中的各种现场和远程仪表；</w:t>
            </w:r>
          </w:p>
        </w:tc>
        <w:tc>
          <w:tcPr>
            <w:tcW w:w="4144"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（6）能对生产中出现的各种突发事件进行应急处理。</w:t>
            </w:r>
          </w:p>
        </w:tc>
      </w:tr>
    </w:tbl>
    <w:p>
      <w:pPr>
        <w:pStyle w:val="14"/>
        <w:spacing w:beforeAutospacing="0" w:afterAutospacing="0" w:line="360" w:lineRule="auto"/>
        <w:ind w:firstLine="480" w:firstLineChars="200"/>
        <w:jc w:val="both"/>
        <w:rPr>
          <w:rFonts w:ascii="Times New Roman" w:hAnsi="Times New Roman" w:eastAsia="宋体"/>
          <w:color w:val="auto"/>
          <w:highlight w:val="none"/>
        </w:rPr>
        <w:sectPr>
          <w:footerReference r:id="rId7" w:type="default"/>
          <w:pgSz w:w="11906" w:h="16838"/>
          <w:pgMar w:top="1440" w:right="1797" w:bottom="1440" w:left="1797" w:header="851" w:footer="992" w:gutter="0"/>
          <w:cols w:space="720" w:num="1"/>
          <w:docGrid w:type="lines" w:linePitch="312" w:charSpace="0"/>
        </w:sectPr>
      </w:pPr>
    </w:p>
    <w:p>
      <w:pPr>
        <w:pStyle w:val="14"/>
        <w:spacing w:beforeAutospacing="0" w:afterAutospacing="0" w:line="360" w:lineRule="auto"/>
        <w:jc w:val="both"/>
        <w:rPr>
          <w:rFonts w:ascii="Times New Roman" w:hAnsi="Times New Roman" w:eastAsia="宋体"/>
          <w:color w:val="auto"/>
          <w:highlight w:val="none"/>
        </w:rPr>
      </w:pPr>
      <w:r>
        <w:rPr>
          <w:rFonts w:hint="eastAsia" w:ascii="Times New Roman" w:hAnsi="Times New Roman" w:eastAsia="宋体"/>
          <w:color w:val="auto"/>
          <w:highlight w:val="none"/>
        </w:rPr>
        <w:t>3</w:t>
      </w:r>
      <w:r>
        <w:rPr>
          <w:rFonts w:hint="eastAsia" w:ascii="Times New Roman" w:hAnsi="Times New Roman" w:eastAsia="宋体"/>
          <w:color w:val="auto"/>
          <w:highlight w:val="none"/>
          <w:lang w:eastAsia="zh-CN"/>
        </w:rPr>
        <w:t>.</w:t>
      </w:r>
      <w:r>
        <w:rPr>
          <w:rFonts w:hint="eastAsia" w:ascii="Times New Roman" w:hAnsi="Times New Roman" w:eastAsia="宋体"/>
          <w:color w:val="auto"/>
          <w:highlight w:val="none"/>
        </w:rPr>
        <w:t>自身素质</w:t>
      </w:r>
    </w:p>
    <w:tbl>
      <w:tblPr>
        <w:tblStyle w:val="15"/>
        <w:tblW w:w="8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（1）培养学生自我学习、独立思考的能力，追求乐于探索、勇于创新的精神；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（2）培养学生获取和分析信息的能力素质，并能理论联系实际，综合分析化工生产实际问题并解决问题的能力；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（3）培养学生形成劳动保护、节能减排、安全生产、清洁生产的意识；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（4）培养学生团结合作、积极进取的精神；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noWrap/>
          </w:tcPr>
          <w:p>
            <w:pPr>
              <w:pStyle w:val="14"/>
              <w:spacing w:beforeAutospacing="0" w:afterAutospacing="0" w:line="360" w:lineRule="auto"/>
              <w:jc w:val="both"/>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（5）培养学生敬业爱岗、严格遵守操作规程的职业道德。</w:t>
            </w:r>
          </w:p>
        </w:tc>
      </w:tr>
    </w:tbl>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（四）课程教学内容及学时分配</w:t>
      </w:r>
    </w:p>
    <w:p>
      <w:pPr>
        <w:spacing w:line="360" w:lineRule="auto"/>
        <w:ind w:firstLine="480" w:firstLineChars="200"/>
        <w:rPr>
          <w:rFonts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rPr>
        <w:t>按企业常规的岗位设置及单元操作技术特点，将全课程分为三个领域、七个模块（即学习情境）。每个模块设置若干个教学项目，每个项目以具体的工作任务为对象实施。具体内容安排见表4.3。</w:t>
      </w:r>
    </w:p>
    <w:p>
      <w:pPr>
        <w:spacing w:after="156" w:afterLines="50" w:line="360" w:lineRule="auto"/>
        <w:jc w:val="center"/>
        <w:rPr>
          <w:rFonts w:ascii="Times New Roman" w:hAnsi="Times New Roman" w:eastAsia="宋体"/>
          <w:color w:val="auto"/>
          <w:kern w:val="0"/>
          <w:sz w:val="24"/>
          <w:highlight w:val="none"/>
        </w:rPr>
      </w:pPr>
      <w:r>
        <w:rPr>
          <w:rFonts w:ascii="Times New Roman" w:hAnsi="Times New Roman" w:eastAsia="宋体"/>
          <w:color w:val="auto"/>
          <w:kern w:val="0"/>
          <w:sz w:val="24"/>
          <w:highlight w:val="none"/>
        </w:rPr>
        <w:t>表</w:t>
      </w:r>
      <w:r>
        <w:rPr>
          <w:rFonts w:ascii="Times New Roman" w:hAnsi="Times New Roman" w:eastAsia="宋体" w:cs="Times New Roman"/>
          <w:color w:val="auto"/>
          <w:kern w:val="0"/>
          <w:sz w:val="24"/>
          <w:highlight w:val="none"/>
        </w:rPr>
        <w:t>4.1</w:t>
      </w:r>
      <w:r>
        <w:rPr>
          <w:rFonts w:hint="eastAsia" w:ascii="Times New Roman" w:hAnsi="Times New Roman" w:eastAsia="宋体"/>
          <w:color w:val="auto"/>
          <w:kern w:val="0"/>
          <w:sz w:val="24"/>
          <w:highlight w:val="none"/>
        </w:rPr>
        <w:t>《</w:t>
      </w:r>
      <w:r>
        <w:rPr>
          <w:rFonts w:ascii="Times New Roman" w:hAnsi="Times New Roman" w:eastAsia="宋体"/>
          <w:color w:val="auto"/>
          <w:kern w:val="0"/>
          <w:sz w:val="24"/>
          <w:highlight w:val="none"/>
        </w:rPr>
        <w:t>化工单元操作</w:t>
      </w:r>
      <w:r>
        <w:rPr>
          <w:rFonts w:hint="eastAsia" w:ascii="Times New Roman" w:hAnsi="Times New Roman" w:eastAsia="宋体"/>
          <w:color w:val="auto"/>
          <w:kern w:val="0"/>
          <w:sz w:val="24"/>
          <w:highlight w:val="none"/>
        </w:rPr>
        <w:t>》</w:t>
      </w:r>
      <w:r>
        <w:rPr>
          <w:rFonts w:ascii="Times New Roman" w:hAnsi="Times New Roman" w:eastAsia="宋体"/>
          <w:color w:val="auto"/>
          <w:kern w:val="0"/>
          <w:sz w:val="24"/>
          <w:highlight w:val="none"/>
        </w:rPr>
        <w:t>课程教学内容及学时安排</w:t>
      </w:r>
    </w:p>
    <w:tbl>
      <w:tblPr>
        <w:tblStyle w:val="15"/>
        <w:tblW w:w="9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2980"/>
        <w:gridCol w:w="2239"/>
        <w:gridCol w:w="1980"/>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noWrap/>
            <w:vAlign w:val="center"/>
          </w:tcPr>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项目任务</w:t>
            </w:r>
          </w:p>
        </w:tc>
        <w:tc>
          <w:tcPr>
            <w:tcW w:w="2980" w:type="dxa"/>
            <w:noWrap/>
            <w:vAlign w:val="center"/>
          </w:tcPr>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学习情境描述及目标</w:t>
            </w:r>
          </w:p>
        </w:tc>
        <w:tc>
          <w:tcPr>
            <w:tcW w:w="2239" w:type="dxa"/>
            <w:noWrap/>
            <w:vAlign w:val="center"/>
          </w:tcPr>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学习内容</w:t>
            </w:r>
          </w:p>
        </w:tc>
        <w:tc>
          <w:tcPr>
            <w:tcW w:w="1980" w:type="dxa"/>
            <w:noWrap/>
            <w:vAlign w:val="center"/>
          </w:tcPr>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技能要求</w:t>
            </w:r>
          </w:p>
        </w:tc>
        <w:tc>
          <w:tcPr>
            <w:tcW w:w="747" w:type="dxa"/>
            <w:noWrap/>
            <w:vAlign w:val="center"/>
          </w:tcPr>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3" w:hRule="atLeast"/>
          <w:jc w:val="center"/>
        </w:trPr>
        <w:tc>
          <w:tcPr>
            <w:tcW w:w="1076" w:type="dxa"/>
            <w:noWrap/>
            <w:vAlign w:val="center"/>
          </w:tcPr>
          <w:p>
            <w:pPr>
              <w:pStyle w:val="7"/>
              <w:snapToGrid w:val="0"/>
              <w:spacing w:line="440" w:lineRule="exact"/>
              <w:jc w:val="center"/>
              <w:rPr>
                <w:rFonts w:ascii="Times New Roman" w:hAnsi="Times New Roman" w:eastAsia="宋体" w:cs="Times New Roman"/>
                <w:bCs/>
                <w:color w:val="auto"/>
                <w:kern w:val="0"/>
                <w:highlight w:val="none"/>
              </w:rPr>
            </w:pPr>
            <w:r>
              <w:rPr>
                <w:rFonts w:ascii="Times New Roman" w:hAnsi="Times New Roman" w:eastAsia="宋体" w:cs="Times New Roman"/>
                <w:bCs/>
                <w:color w:val="auto"/>
                <w:kern w:val="0"/>
                <w:highlight w:val="none"/>
              </w:rPr>
              <w:t>一、流体输送过程及设备的选择与操作</w:t>
            </w:r>
          </w:p>
        </w:tc>
        <w:tc>
          <w:tcPr>
            <w:tcW w:w="2980" w:type="dxa"/>
            <w:noWrap/>
            <w:vAlign w:val="center"/>
          </w:tcPr>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1. 常见化工管路的设计、安装</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2. 流体压力和液位的测量</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3. 流量的测量和调节</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4. 离心泵的选用、操作及安装</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5. 其它流体输送设备的应用</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kern w:val="0"/>
                <w:szCs w:val="21"/>
                <w:highlight w:val="none"/>
              </w:rPr>
            </w:pPr>
            <w:r>
              <w:rPr>
                <w:rFonts w:ascii="Times New Roman" w:hAnsi="Times New Roman" w:eastAsia="宋体"/>
                <w:color w:val="auto"/>
                <w:szCs w:val="21"/>
                <w:highlight w:val="none"/>
              </w:rPr>
              <w:t>6. 管道拆装实训</w:t>
            </w:r>
            <w:r>
              <w:rPr>
                <w:rFonts w:hint="eastAsia" w:ascii="Times New Roman" w:hAnsi="Times New Roman" w:eastAsia="宋体"/>
                <w:color w:val="auto"/>
                <w:szCs w:val="21"/>
                <w:highlight w:val="none"/>
              </w:rPr>
              <w:t>。</w:t>
            </w:r>
          </w:p>
        </w:tc>
        <w:tc>
          <w:tcPr>
            <w:tcW w:w="2239" w:type="dxa"/>
            <w:noWrap/>
            <w:vAlign w:val="center"/>
          </w:tcPr>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①</w:t>
            </w:r>
            <w:r>
              <w:rPr>
                <w:rFonts w:ascii="Times New Roman" w:hAnsi="Times New Roman" w:eastAsia="宋体"/>
                <w:color w:val="auto"/>
                <w:szCs w:val="21"/>
                <w:highlight w:val="none"/>
              </w:rPr>
              <w:t>流体流动基本原理</w:t>
            </w:r>
            <w:r>
              <w:rPr>
                <w:rFonts w:hint="eastAsia" w:ascii="Times New Roman" w:hAnsi="Times New Roman" w:eastAsia="宋体"/>
                <w:color w:val="auto"/>
                <w:szCs w:val="21"/>
                <w:highlight w:val="none"/>
              </w:rPr>
              <w:t>，</w:t>
            </w:r>
            <w:r>
              <w:rPr>
                <w:rFonts w:ascii="Times New Roman" w:hAnsi="Times New Roman" w:eastAsia="宋体"/>
                <w:color w:val="auto"/>
                <w:szCs w:val="21"/>
                <w:highlight w:val="none"/>
              </w:rPr>
              <w:t>连续性方程，柏努利方程，范宁公式及应用</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②</w:t>
            </w:r>
            <w:r>
              <w:rPr>
                <w:rFonts w:ascii="Times New Roman" w:hAnsi="Times New Roman" w:eastAsia="宋体"/>
                <w:color w:val="auto"/>
                <w:szCs w:val="21"/>
                <w:highlight w:val="none"/>
              </w:rPr>
              <w:t>离心泵的原理及选用安装计算</w:t>
            </w:r>
            <w:r>
              <w:rPr>
                <w:rFonts w:hint="eastAsia" w:ascii="Times New Roman" w:hAnsi="Times New Roman" w:eastAsia="宋体"/>
                <w:color w:val="auto"/>
                <w:szCs w:val="21"/>
                <w:highlight w:val="none"/>
              </w:rPr>
              <w:t>。</w:t>
            </w:r>
          </w:p>
        </w:tc>
        <w:tc>
          <w:tcPr>
            <w:tcW w:w="1980" w:type="dxa"/>
            <w:noWrap/>
            <w:vAlign w:val="center"/>
          </w:tcPr>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①</w:t>
            </w:r>
            <w:r>
              <w:rPr>
                <w:rFonts w:ascii="Times New Roman" w:hAnsi="Times New Roman" w:eastAsia="宋体"/>
                <w:color w:val="auto"/>
                <w:szCs w:val="21"/>
                <w:highlight w:val="none"/>
              </w:rPr>
              <w:t>流量、压力的测量控制</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②</w:t>
            </w:r>
            <w:r>
              <w:rPr>
                <w:rFonts w:ascii="Times New Roman" w:hAnsi="Times New Roman" w:eastAsia="宋体"/>
                <w:color w:val="auto"/>
                <w:szCs w:val="21"/>
                <w:highlight w:val="none"/>
              </w:rPr>
              <w:t>管路系统的计算设计</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③</w:t>
            </w:r>
            <w:r>
              <w:rPr>
                <w:rFonts w:ascii="Times New Roman" w:hAnsi="Times New Roman" w:eastAsia="宋体"/>
                <w:color w:val="auto"/>
                <w:szCs w:val="21"/>
                <w:highlight w:val="none"/>
              </w:rPr>
              <w:t>离心泵的选用及安装、操作</w:t>
            </w:r>
            <w:r>
              <w:rPr>
                <w:rFonts w:hint="eastAsia" w:ascii="Times New Roman" w:hAnsi="Times New Roman" w:eastAsia="宋体"/>
                <w:color w:val="auto"/>
                <w:szCs w:val="21"/>
                <w:highlight w:val="none"/>
              </w:rPr>
              <w:t>。</w:t>
            </w:r>
          </w:p>
        </w:tc>
        <w:tc>
          <w:tcPr>
            <w:tcW w:w="747" w:type="dxa"/>
            <w:noWrap/>
            <w:vAlign w:val="center"/>
          </w:tcPr>
          <w:p>
            <w:pPr>
              <w:pStyle w:val="7"/>
              <w:snapToGrid w:val="0"/>
              <w:spacing w:line="440" w:lineRule="exact"/>
              <w:jc w:val="center"/>
              <w:rPr>
                <w:rFonts w:ascii="Times New Roman" w:hAnsi="Times New Roman" w:eastAsia="宋体" w:cs="Times New Roman"/>
                <w:color w:val="auto"/>
                <w:kern w:val="0"/>
                <w:highlight w:val="none"/>
              </w:rPr>
            </w:pPr>
            <w:r>
              <w:rPr>
                <w:rFonts w:ascii="Times New Roman" w:hAnsi="Times New Roman" w:eastAsia="宋体" w:cs="Times New Roman"/>
                <w:color w:val="auto"/>
                <w:kern w:val="0"/>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6" w:type="dxa"/>
            <w:noWrap/>
            <w:vAlign w:val="center"/>
          </w:tcPr>
          <w:p>
            <w:pPr>
              <w:pStyle w:val="7"/>
              <w:snapToGrid w:val="0"/>
              <w:spacing w:line="440" w:lineRule="exact"/>
              <w:jc w:val="center"/>
              <w:rPr>
                <w:rFonts w:ascii="Times New Roman" w:hAnsi="Times New Roman" w:eastAsia="宋体" w:cs="Times New Roman"/>
                <w:bCs/>
                <w:color w:val="auto"/>
                <w:kern w:val="0"/>
                <w:highlight w:val="none"/>
              </w:rPr>
            </w:pPr>
            <w:r>
              <w:rPr>
                <w:rFonts w:ascii="Times New Roman" w:hAnsi="Times New Roman" w:eastAsia="宋体" w:cs="Times New Roman"/>
                <w:bCs/>
                <w:color w:val="auto"/>
                <w:kern w:val="0"/>
                <w:highlight w:val="none"/>
              </w:rPr>
              <w:t>二、非均相物系分离方案及设备的选择与操作</w:t>
            </w:r>
          </w:p>
        </w:tc>
        <w:tc>
          <w:tcPr>
            <w:tcW w:w="2980" w:type="dxa"/>
            <w:noWrap/>
            <w:vAlign w:val="center"/>
          </w:tcPr>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1. 气固分离流程及设备选择</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2. 液固分离设备的认识、操作</w:t>
            </w:r>
            <w:r>
              <w:rPr>
                <w:rFonts w:hint="eastAsia" w:ascii="Times New Roman" w:hAnsi="Times New Roman" w:eastAsia="宋体"/>
                <w:color w:val="auto"/>
                <w:szCs w:val="21"/>
                <w:highlight w:val="none"/>
              </w:rPr>
              <w:t>；</w:t>
            </w:r>
          </w:p>
          <w:p>
            <w:pPr>
              <w:pStyle w:val="7"/>
              <w:snapToGrid w:val="0"/>
              <w:spacing w:line="440" w:lineRule="exact"/>
              <w:rPr>
                <w:rFonts w:ascii="Times New Roman" w:hAnsi="Times New Roman" w:eastAsia="宋体" w:cs="Times New Roman"/>
                <w:color w:val="auto"/>
                <w:kern w:val="0"/>
                <w:highlight w:val="none"/>
              </w:rPr>
            </w:pPr>
            <w:r>
              <w:rPr>
                <w:rFonts w:ascii="Times New Roman" w:hAnsi="Times New Roman" w:eastAsia="宋体" w:cs="Times New Roman"/>
                <w:color w:val="auto"/>
                <w:highlight w:val="none"/>
              </w:rPr>
              <w:t>3. 板框压滤机的操作</w:t>
            </w:r>
            <w:r>
              <w:rPr>
                <w:rFonts w:hint="eastAsia" w:ascii="Times New Roman" w:hAnsi="Times New Roman" w:eastAsia="宋体" w:cs="Times New Roman"/>
                <w:color w:val="auto"/>
                <w:highlight w:val="none"/>
              </w:rPr>
              <w:t>。</w:t>
            </w:r>
          </w:p>
        </w:tc>
        <w:tc>
          <w:tcPr>
            <w:tcW w:w="2239" w:type="dxa"/>
            <w:noWrap/>
            <w:vAlign w:val="center"/>
          </w:tcPr>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fldChar w:fldCharType="begin"/>
            </w:r>
            <w:r>
              <w:rPr>
                <w:rFonts w:ascii="Times New Roman" w:hAnsi="Times New Roman" w:eastAsia="宋体"/>
                <w:color w:val="auto"/>
                <w:szCs w:val="21"/>
                <w:highlight w:val="none"/>
              </w:rPr>
              <w:instrText xml:space="preserve"> = 1 \* GB3 </w:instrText>
            </w:r>
            <w:r>
              <w:rPr>
                <w:rFonts w:ascii="Times New Roman" w:hAnsi="Times New Roman" w:eastAsia="宋体"/>
                <w:color w:val="auto"/>
                <w:szCs w:val="21"/>
                <w:highlight w:val="none"/>
              </w:rPr>
              <w:fldChar w:fldCharType="separate"/>
            </w:r>
            <w:r>
              <w:rPr>
                <w:rFonts w:hint="eastAsia" w:ascii="宋体" w:hAnsi="宋体" w:eastAsia="宋体" w:cs="宋体"/>
                <w:color w:val="auto"/>
                <w:szCs w:val="21"/>
                <w:highlight w:val="none"/>
              </w:rPr>
              <w:t>①</w:t>
            </w:r>
            <w:r>
              <w:rPr>
                <w:rFonts w:ascii="Times New Roman" w:hAnsi="Times New Roman" w:eastAsia="宋体"/>
                <w:color w:val="auto"/>
                <w:szCs w:val="21"/>
                <w:highlight w:val="none"/>
              </w:rPr>
              <w:fldChar w:fldCharType="end"/>
            </w:r>
            <w:r>
              <w:rPr>
                <w:rFonts w:ascii="Times New Roman" w:hAnsi="Times New Roman" w:eastAsia="宋体"/>
                <w:color w:val="auto"/>
                <w:szCs w:val="21"/>
                <w:highlight w:val="none"/>
              </w:rPr>
              <w:t>重力沉降原理，沉降速度的计算；沉降室、旋风分离器等设备的结构和工作原理</w:t>
            </w:r>
            <w:r>
              <w:rPr>
                <w:rFonts w:hint="eastAsia" w:ascii="Times New Roman" w:hAnsi="Times New Roman" w:eastAsia="宋体"/>
                <w:color w:val="auto"/>
                <w:szCs w:val="21"/>
                <w:highlight w:val="none"/>
              </w:rPr>
              <w:t>；</w:t>
            </w:r>
          </w:p>
          <w:p>
            <w:pPr>
              <w:pStyle w:val="7"/>
              <w:snapToGrid w:val="0"/>
              <w:spacing w:line="440" w:lineRule="exact"/>
              <w:rPr>
                <w:rFonts w:ascii="Times New Roman" w:hAnsi="Times New Roman" w:eastAsia="宋体" w:cs="Times New Roman"/>
                <w:color w:val="auto"/>
                <w:highlight w:val="none"/>
              </w:rPr>
            </w:pPr>
            <w:r>
              <w:rPr>
                <w:rFonts w:hint="eastAsia" w:hAnsi="宋体" w:eastAsia="宋体" w:cs="宋体"/>
                <w:color w:val="auto"/>
                <w:highlight w:val="none"/>
              </w:rPr>
              <w:t>②</w:t>
            </w:r>
            <w:r>
              <w:rPr>
                <w:rFonts w:ascii="Times New Roman" w:hAnsi="Times New Roman" w:eastAsia="宋体" w:cs="Times New Roman"/>
                <w:color w:val="auto"/>
                <w:highlight w:val="none"/>
              </w:rPr>
              <w:t>过滤基本概念，板框过滤机的工作原理和特点</w:t>
            </w:r>
            <w:r>
              <w:rPr>
                <w:rFonts w:hint="eastAsia" w:ascii="Times New Roman" w:hAnsi="Times New Roman" w:eastAsia="宋体" w:cs="Times New Roman"/>
                <w:color w:val="auto"/>
                <w:highlight w:val="none"/>
              </w:rPr>
              <w:t>。</w:t>
            </w:r>
          </w:p>
        </w:tc>
        <w:tc>
          <w:tcPr>
            <w:tcW w:w="1980" w:type="dxa"/>
            <w:noWrap/>
            <w:vAlign w:val="center"/>
          </w:tcPr>
          <w:p>
            <w:pPr>
              <w:pStyle w:val="7"/>
              <w:snapToGrid w:val="0"/>
              <w:spacing w:line="440" w:lineRule="exact"/>
              <w:rPr>
                <w:rFonts w:ascii="Times New Roman" w:hAnsi="Times New Roman" w:eastAsia="宋体" w:cs="Times New Roman"/>
                <w:color w:val="auto"/>
                <w:highlight w:val="none"/>
              </w:rPr>
            </w:pPr>
            <w:r>
              <w:rPr>
                <w:rFonts w:ascii="Times New Roman" w:hAnsi="Times New Roman" w:eastAsia="宋体" w:cs="Times New Roman"/>
                <w:color w:val="auto"/>
                <w:highlight w:val="none"/>
              </w:rPr>
              <w:fldChar w:fldCharType="begin"/>
            </w:r>
            <w:r>
              <w:rPr>
                <w:rFonts w:ascii="Times New Roman" w:hAnsi="Times New Roman" w:eastAsia="宋体" w:cs="Times New Roman"/>
                <w:color w:val="auto"/>
                <w:highlight w:val="none"/>
              </w:rPr>
              <w:instrText xml:space="preserve"> = 1 \* GB3 </w:instrText>
            </w:r>
            <w:r>
              <w:rPr>
                <w:rFonts w:ascii="Times New Roman" w:hAnsi="Times New Roman" w:eastAsia="宋体" w:cs="Times New Roman"/>
                <w:color w:val="auto"/>
                <w:highlight w:val="none"/>
              </w:rPr>
              <w:fldChar w:fldCharType="separate"/>
            </w:r>
            <w:r>
              <w:rPr>
                <w:rFonts w:hint="eastAsia" w:hAnsi="宋体" w:eastAsia="宋体" w:cs="宋体"/>
                <w:color w:val="auto"/>
                <w:highlight w:val="none"/>
              </w:rPr>
              <w:t>①</w:t>
            </w:r>
            <w:r>
              <w:rPr>
                <w:rFonts w:ascii="Times New Roman" w:hAnsi="Times New Roman" w:eastAsia="宋体" w:cs="Times New Roman"/>
                <w:color w:val="auto"/>
                <w:highlight w:val="none"/>
              </w:rPr>
              <w:fldChar w:fldCharType="end"/>
            </w:r>
            <w:r>
              <w:rPr>
                <w:rFonts w:ascii="Times New Roman" w:hAnsi="Times New Roman" w:eastAsia="宋体" w:cs="Times New Roman"/>
                <w:color w:val="auto"/>
                <w:highlight w:val="none"/>
              </w:rPr>
              <w:t>能根据沉降、过滤的原理，正确合理的选择除尘器、过滤器</w:t>
            </w:r>
            <w:r>
              <w:rPr>
                <w:rFonts w:hint="eastAsia" w:ascii="Times New Roman" w:hAnsi="Times New Roman" w:eastAsia="宋体" w:cs="Times New Roman"/>
                <w:color w:val="auto"/>
                <w:highlight w:val="none"/>
              </w:rPr>
              <w:t>；</w:t>
            </w:r>
          </w:p>
          <w:p>
            <w:pPr>
              <w:pStyle w:val="7"/>
              <w:snapToGrid w:val="0"/>
              <w:spacing w:line="440" w:lineRule="exact"/>
              <w:rPr>
                <w:rFonts w:ascii="Times New Roman" w:hAnsi="Times New Roman" w:eastAsia="宋体" w:cs="Times New Roman"/>
                <w:color w:val="auto"/>
                <w:highlight w:val="none"/>
              </w:rPr>
            </w:pPr>
            <w:r>
              <w:rPr>
                <w:rFonts w:hint="eastAsia" w:hAnsi="宋体" w:eastAsia="宋体" w:cs="宋体"/>
                <w:color w:val="auto"/>
                <w:highlight w:val="none"/>
              </w:rPr>
              <w:t>②</w:t>
            </w:r>
            <w:r>
              <w:rPr>
                <w:rFonts w:ascii="Times New Roman" w:hAnsi="Times New Roman" w:eastAsia="宋体" w:cs="Times New Roman"/>
                <w:color w:val="auto"/>
                <w:highlight w:val="none"/>
              </w:rPr>
              <w:t>正确操作板框过滤机</w:t>
            </w:r>
            <w:r>
              <w:rPr>
                <w:rFonts w:hint="eastAsia" w:ascii="Times New Roman" w:hAnsi="Times New Roman" w:eastAsia="宋体" w:cs="Times New Roman"/>
                <w:color w:val="auto"/>
                <w:highlight w:val="none"/>
              </w:rPr>
              <w:t>。</w:t>
            </w:r>
          </w:p>
        </w:tc>
        <w:tc>
          <w:tcPr>
            <w:tcW w:w="747" w:type="dxa"/>
            <w:noWrap/>
            <w:vAlign w:val="center"/>
          </w:tcPr>
          <w:p>
            <w:pPr>
              <w:pStyle w:val="7"/>
              <w:snapToGrid w:val="0"/>
              <w:spacing w:line="440" w:lineRule="exact"/>
              <w:jc w:val="center"/>
              <w:rPr>
                <w:rFonts w:ascii="Times New Roman" w:hAnsi="Times New Roman" w:eastAsia="宋体" w:cs="Times New Roman"/>
                <w:color w:val="auto"/>
                <w:kern w:val="0"/>
                <w:highlight w:val="none"/>
              </w:rPr>
            </w:pPr>
            <w:r>
              <w:rPr>
                <w:rFonts w:ascii="Times New Roman" w:hAnsi="Times New Roman" w:eastAsia="宋体" w:cs="Times New Roman"/>
                <w:color w:val="auto"/>
                <w:kern w:val="0"/>
                <w:highlight w:val="none"/>
              </w:rPr>
              <w:t>14</w:t>
            </w:r>
          </w:p>
        </w:tc>
      </w:tr>
    </w:tbl>
    <w:p>
      <w:pPr>
        <w:spacing w:line="440" w:lineRule="exact"/>
        <w:jc w:val="center"/>
        <w:rPr>
          <w:rFonts w:ascii="Times New Roman" w:hAnsi="Times New Roman" w:eastAsia="宋体"/>
          <w:bCs/>
          <w:color w:val="auto"/>
          <w:kern w:val="0"/>
          <w:szCs w:val="21"/>
          <w:highlight w:val="none"/>
        </w:rPr>
        <w:sectPr>
          <w:footerReference r:id="rId8" w:type="default"/>
          <w:pgSz w:w="11906" w:h="16838"/>
          <w:pgMar w:top="1440" w:right="1797" w:bottom="1440" w:left="1797" w:header="851" w:footer="992" w:gutter="0"/>
          <w:cols w:space="720" w:num="1"/>
          <w:docGrid w:type="lines" w:linePitch="312" w:charSpace="0"/>
        </w:sectPr>
      </w:pPr>
    </w:p>
    <w:tbl>
      <w:tblPr>
        <w:tblStyle w:val="15"/>
        <w:tblW w:w="9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2980"/>
        <w:gridCol w:w="2239"/>
        <w:gridCol w:w="1980"/>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7" w:hRule="atLeast"/>
          <w:jc w:val="center"/>
        </w:trPr>
        <w:tc>
          <w:tcPr>
            <w:tcW w:w="1076" w:type="dxa"/>
            <w:noWrap/>
            <w:vAlign w:val="center"/>
          </w:tcPr>
          <w:p>
            <w:pPr>
              <w:spacing w:line="440" w:lineRule="exact"/>
              <w:jc w:val="center"/>
              <w:rPr>
                <w:rFonts w:ascii="Times New Roman" w:hAnsi="Times New Roman" w:eastAsia="宋体"/>
                <w:bCs/>
                <w:color w:val="auto"/>
                <w:kern w:val="0"/>
                <w:szCs w:val="21"/>
                <w:highlight w:val="none"/>
              </w:rPr>
            </w:pPr>
            <w:r>
              <w:rPr>
                <w:rFonts w:ascii="Times New Roman" w:hAnsi="Times New Roman" w:eastAsia="宋体"/>
                <w:bCs/>
                <w:color w:val="auto"/>
                <w:kern w:val="0"/>
                <w:szCs w:val="21"/>
                <w:highlight w:val="none"/>
              </w:rPr>
              <w:t>三</w:t>
            </w:r>
            <w:r>
              <w:rPr>
                <w:rFonts w:hint="eastAsia" w:ascii="Times New Roman" w:hAnsi="Times New Roman" w:eastAsia="宋体"/>
                <w:bCs/>
                <w:color w:val="auto"/>
                <w:kern w:val="0"/>
                <w:szCs w:val="21"/>
                <w:highlight w:val="none"/>
              </w:rPr>
              <w:t>、</w:t>
            </w:r>
            <w:r>
              <w:rPr>
                <w:rFonts w:ascii="Times New Roman" w:hAnsi="Times New Roman" w:eastAsia="宋体"/>
                <w:bCs/>
                <w:color w:val="auto"/>
                <w:kern w:val="0"/>
                <w:szCs w:val="21"/>
                <w:highlight w:val="none"/>
              </w:rPr>
              <w:t>传热过程及设备的选择与操作</w:t>
            </w:r>
          </w:p>
        </w:tc>
        <w:tc>
          <w:tcPr>
            <w:tcW w:w="2980" w:type="dxa"/>
            <w:noWrap/>
            <w:vAlign w:val="center"/>
          </w:tcPr>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1. 传热介质选择及用量确定</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2. 化工设备保温材料的选择和保温层厚度的计算</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3. 换热器的选择</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4. 换热器的操作</w:t>
            </w:r>
            <w:r>
              <w:rPr>
                <w:rFonts w:hint="eastAsia" w:ascii="Times New Roman" w:hAnsi="Times New Roman" w:eastAsia="宋体"/>
                <w:color w:val="auto"/>
                <w:szCs w:val="21"/>
                <w:highlight w:val="none"/>
              </w:rPr>
              <w:t>。</w:t>
            </w:r>
          </w:p>
        </w:tc>
        <w:tc>
          <w:tcPr>
            <w:tcW w:w="2239" w:type="dxa"/>
            <w:noWrap/>
            <w:vAlign w:val="center"/>
          </w:tcPr>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①</w:t>
            </w:r>
            <w:r>
              <w:rPr>
                <w:rFonts w:ascii="Times New Roman" w:hAnsi="Times New Roman" w:eastAsia="宋体"/>
                <w:color w:val="auto"/>
                <w:szCs w:val="21"/>
                <w:highlight w:val="none"/>
              </w:rPr>
              <w:t>传导传热、对流传热基本原理；</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②</w:t>
            </w:r>
            <w:r>
              <w:rPr>
                <w:rFonts w:ascii="Times New Roman" w:hAnsi="Times New Roman" w:eastAsia="宋体"/>
                <w:color w:val="auto"/>
                <w:szCs w:val="21"/>
                <w:highlight w:val="none"/>
              </w:rPr>
              <w:t>传热基本计算</w:t>
            </w:r>
            <w:r>
              <w:rPr>
                <w:rFonts w:hint="eastAsia" w:ascii="Times New Roman" w:hAnsi="Times New Roman" w:eastAsia="宋体"/>
                <w:color w:val="auto"/>
                <w:szCs w:val="21"/>
                <w:highlight w:val="none"/>
              </w:rPr>
              <w:t>。</w:t>
            </w:r>
          </w:p>
        </w:tc>
        <w:tc>
          <w:tcPr>
            <w:tcW w:w="1980" w:type="dxa"/>
            <w:noWrap/>
            <w:vAlign w:val="center"/>
          </w:tcPr>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①</w:t>
            </w:r>
            <w:r>
              <w:rPr>
                <w:rFonts w:ascii="Times New Roman" w:hAnsi="Times New Roman" w:eastAsia="宋体"/>
                <w:color w:val="auto"/>
                <w:szCs w:val="21"/>
                <w:highlight w:val="none"/>
              </w:rPr>
              <w:t>正确选择换热器；</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②</w:t>
            </w:r>
            <w:r>
              <w:rPr>
                <w:rFonts w:ascii="Times New Roman" w:hAnsi="Times New Roman" w:eastAsia="宋体"/>
                <w:color w:val="auto"/>
                <w:szCs w:val="21"/>
                <w:highlight w:val="none"/>
              </w:rPr>
              <w:t>换热过程的强化，节能的方法</w:t>
            </w:r>
            <w:r>
              <w:rPr>
                <w:rFonts w:hint="eastAsia" w:ascii="Times New Roman" w:hAnsi="Times New Roman" w:eastAsia="宋体"/>
                <w:color w:val="auto"/>
                <w:szCs w:val="21"/>
                <w:highlight w:val="none"/>
              </w:rPr>
              <w:t>。</w:t>
            </w:r>
          </w:p>
        </w:tc>
        <w:tc>
          <w:tcPr>
            <w:tcW w:w="747" w:type="dxa"/>
            <w:noWrap/>
            <w:vAlign w:val="center"/>
          </w:tcPr>
          <w:p>
            <w:pPr>
              <w:pStyle w:val="7"/>
              <w:snapToGrid w:val="0"/>
              <w:spacing w:line="440" w:lineRule="exact"/>
              <w:jc w:val="center"/>
              <w:rPr>
                <w:rFonts w:ascii="Times New Roman" w:hAnsi="Times New Roman" w:eastAsia="宋体" w:cs="Times New Roman"/>
                <w:color w:val="auto"/>
                <w:kern w:val="0"/>
                <w:highlight w:val="none"/>
              </w:rPr>
            </w:pPr>
            <w:r>
              <w:rPr>
                <w:rFonts w:ascii="Times New Roman" w:hAnsi="Times New Roman" w:eastAsia="宋体" w:cs="Times New Roman"/>
                <w:color w:val="auto"/>
                <w:kern w:val="0"/>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9" w:hRule="atLeast"/>
          <w:jc w:val="center"/>
        </w:trPr>
        <w:tc>
          <w:tcPr>
            <w:tcW w:w="1076" w:type="dxa"/>
            <w:noWrap/>
            <w:vAlign w:val="center"/>
          </w:tcPr>
          <w:p>
            <w:pPr>
              <w:spacing w:line="440" w:lineRule="exact"/>
              <w:jc w:val="center"/>
              <w:rPr>
                <w:rFonts w:ascii="Times New Roman" w:hAnsi="Times New Roman" w:eastAsia="宋体"/>
                <w:bCs/>
                <w:color w:val="auto"/>
                <w:kern w:val="0"/>
                <w:szCs w:val="21"/>
                <w:highlight w:val="none"/>
              </w:rPr>
            </w:pPr>
            <w:r>
              <w:rPr>
                <w:rFonts w:ascii="Times New Roman" w:hAnsi="Times New Roman" w:eastAsia="宋体"/>
                <w:bCs/>
                <w:color w:val="auto"/>
                <w:kern w:val="0"/>
                <w:szCs w:val="21"/>
                <w:highlight w:val="none"/>
              </w:rPr>
              <w:t>四、蒸发过程及设备的选择与操作</w:t>
            </w:r>
          </w:p>
        </w:tc>
        <w:tc>
          <w:tcPr>
            <w:tcW w:w="2980" w:type="dxa"/>
            <w:noWrap/>
            <w:vAlign w:val="center"/>
          </w:tcPr>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1.蒸发设备的选择和流程布置</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2. 确定单效蒸发的工艺参数</w:t>
            </w:r>
            <w:r>
              <w:rPr>
                <w:rFonts w:hint="eastAsia" w:ascii="Times New Roman" w:hAnsi="Times New Roman" w:eastAsia="宋体"/>
                <w:color w:val="auto"/>
                <w:szCs w:val="21"/>
                <w:highlight w:val="none"/>
              </w:rPr>
              <w:t>。</w:t>
            </w:r>
          </w:p>
        </w:tc>
        <w:tc>
          <w:tcPr>
            <w:tcW w:w="2239" w:type="dxa"/>
            <w:noWrap/>
            <w:vAlign w:val="center"/>
          </w:tcPr>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①</w:t>
            </w:r>
            <w:r>
              <w:rPr>
                <w:rFonts w:ascii="Times New Roman" w:hAnsi="Times New Roman" w:eastAsia="宋体"/>
                <w:color w:val="auto"/>
                <w:szCs w:val="21"/>
                <w:highlight w:val="none"/>
              </w:rPr>
              <w:t>蒸发基本原理及流程</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②</w:t>
            </w:r>
            <w:r>
              <w:rPr>
                <w:rFonts w:ascii="Times New Roman" w:hAnsi="Times New Roman" w:eastAsia="宋体"/>
                <w:color w:val="auto"/>
                <w:szCs w:val="21"/>
                <w:highlight w:val="none"/>
              </w:rPr>
              <w:t>单效蒸发计算</w:t>
            </w:r>
            <w:r>
              <w:rPr>
                <w:rFonts w:hint="eastAsia" w:ascii="Times New Roman" w:hAnsi="Times New Roman" w:eastAsia="宋体"/>
                <w:color w:val="auto"/>
                <w:szCs w:val="21"/>
                <w:highlight w:val="none"/>
              </w:rPr>
              <w:t>。</w:t>
            </w:r>
          </w:p>
        </w:tc>
        <w:tc>
          <w:tcPr>
            <w:tcW w:w="1980" w:type="dxa"/>
            <w:noWrap/>
            <w:vAlign w:val="center"/>
          </w:tcPr>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能根据物料特性及工艺要求，正确合理选择蒸发器</w:t>
            </w:r>
            <w:r>
              <w:rPr>
                <w:rFonts w:hint="eastAsia" w:ascii="Times New Roman" w:hAnsi="Times New Roman" w:eastAsia="宋体"/>
                <w:color w:val="auto"/>
                <w:szCs w:val="21"/>
                <w:highlight w:val="none"/>
              </w:rPr>
              <w:t>。</w:t>
            </w:r>
          </w:p>
        </w:tc>
        <w:tc>
          <w:tcPr>
            <w:tcW w:w="747" w:type="dxa"/>
            <w:noWrap/>
            <w:vAlign w:val="center"/>
          </w:tcPr>
          <w:p>
            <w:pPr>
              <w:pStyle w:val="7"/>
              <w:snapToGrid w:val="0"/>
              <w:spacing w:line="440" w:lineRule="exact"/>
              <w:jc w:val="center"/>
              <w:rPr>
                <w:rFonts w:ascii="Times New Roman" w:hAnsi="Times New Roman" w:eastAsia="宋体" w:cs="Times New Roman"/>
                <w:color w:val="auto"/>
                <w:kern w:val="0"/>
                <w:highlight w:val="none"/>
              </w:rPr>
            </w:pPr>
            <w:r>
              <w:rPr>
                <w:rFonts w:ascii="Times New Roman" w:hAnsi="Times New Roman" w:eastAsia="宋体" w:cs="Times New Roman"/>
                <w:color w:val="auto"/>
                <w:kern w:val="0"/>
                <w:highlight w:val="none"/>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7" w:hRule="atLeast"/>
          <w:jc w:val="center"/>
        </w:trPr>
        <w:tc>
          <w:tcPr>
            <w:tcW w:w="1076" w:type="dxa"/>
            <w:noWrap/>
            <w:vAlign w:val="center"/>
          </w:tcPr>
          <w:p>
            <w:pPr>
              <w:spacing w:line="440" w:lineRule="exact"/>
              <w:jc w:val="center"/>
              <w:rPr>
                <w:rFonts w:ascii="Times New Roman" w:hAnsi="Times New Roman" w:eastAsia="宋体"/>
                <w:bCs/>
                <w:color w:val="auto"/>
                <w:kern w:val="0"/>
                <w:szCs w:val="21"/>
                <w:highlight w:val="none"/>
              </w:rPr>
            </w:pPr>
            <w:r>
              <w:rPr>
                <w:rFonts w:ascii="Times New Roman" w:hAnsi="Times New Roman" w:eastAsia="宋体"/>
                <w:bCs/>
                <w:color w:val="auto"/>
                <w:kern w:val="0"/>
                <w:szCs w:val="21"/>
                <w:highlight w:val="none"/>
              </w:rPr>
              <w:t>五、蒸馏过程及设备的选择与操作</w:t>
            </w:r>
          </w:p>
        </w:tc>
        <w:tc>
          <w:tcPr>
            <w:tcW w:w="2980" w:type="dxa"/>
            <w:noWrap/>
            <w:vAlign w:val="center"/>
          </w:tcPr>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1. 认识、了解各种精馏设备</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2. 确定连续精馏操作的参数</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3. 精馏塔塔高和塔径的确定</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4. 板式精馏塔的操作和调节</w:t>
            </w:r>
            <w:r>
              <w:rPr>
                <w:rFonts w:hint="eastAsia" w:ascii="Times New Roman" w:hAnsi="Times New Roman" w:eastAsia="宋体"/>
                <w:color w:val="auto"/>
                <w:szCs w:val="21"/>
                <w:highlight w:val="none"/>
              </w:rPr>
              <w:t>。</w:t>
            </w:r>
          </w:p>
        </w:tc>
        <w:tc>
          <w:tcPr>
            <w:tcW w:w="2239" w:type="dxa"/>
            <w:noWrap/>
            <w:vAlign w:val="center"/>
          </w:tcPr>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①</w:t>
            </w:r>
            <w:r>
              <w:rPr>
                <w:rFonts w:ascii="Times New Roman" w:hAnsi="Times New Roman" w:eastAsia="宋体"/>
                <w:color w:val="auto"/>
                <w:szCs w:val="21"/>
                <w:highlight w:val="none"/>
              </w:rPr>
              <w:t>相平衡原理；</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②</w:t>
            </w:r>
            <w:r>
              <w:rPr>
                <w:rFonts w:ascii="Times New Roman" w:hAnsi="Times New Roman" w:eastAsia="宋体"/>
                <w:color w:val="auto"/>
                <w:szCs w:val="21"/>
                <w:highlight w:val="none"/>
              </w:rPr>
              <w:t>两组份连续精馏的相关计算；</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③</w:t>
            </w:r>
            <w:r>
              <w:rPr>
                <w:rFonts w:ascii="Times New Roman" w:hAnsi="Times New Roman" w:eastAsia="宋体"/>
                <w:color w:val="auto"/>
                <w:szCs w:val="21"/>
                <w:highlight w:val="none"/>
              </w:rPr>
              <w:t>板式精馏塔的类型及设计计算</w:t>
            </w:r>
            <w:r>
              <w:rPr>
                <w:rFonts w:hint="eastAsia" w:ascii="Times New Roman" w:hAnsi="Times New Roman" w:eastAsia="宋体"/>
                <w:color w:val="auto"/>
                <w:szCs w:val="21"/>
                <w:highlight w:val="none"/>
              </w:rPr>
              <w:t>。</w:t>
            </w:r>
          </w:p>
        </w:tc>
        <w:tc>
          <w:tcPr>
            <w:tcW w:w="1980" w:type="dxa"/>
            <w:noWrap/>
            <w:vAlign w:val="center"/>
          </w:tcPr>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①</w:t>
            </w:r>
            <w:r>
              <w:rPr>
                <w:rFonts w:ascii="Times New Roman" w:hAnsi="Times New Roman" w:eastAsia="宋体"/>
                <w:color w:val="auto"/>
                <w:szCs w:val="21"/>
                <w:highlight w:val="none"/>
              </w:rPr>
              <w:t>正确进行板式精馏塔塔板数的计算，并能分析其影响因素；</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②</w:t>
            </w:r>
            <w:r>
              <w:rPr>
                <w:rFonts w:ascii="Times New Roman" w:hAnsi="Times New Roman" w:eastAsia="宋体"/>
                <w:color w:val="auto"/>
                <w:szCs w:val="21"/>
                <w:highlight w:val="none"/>
              </w:rPr>
              <w:t>板式精馏塔的操作及工艺参数的调节</w:t>
            </w:r>
            <w:r>
              <w:rPr>
                <w:rFonts w:hint="eastAsia" w:ascii="Times New Roman" w:hAnsi="Times New Roman" w:eastAsia="宋体"/>
                <w:color w:val="auto"/>
                <w:szCs w:val="21"/>
                <w:highlight w:val="none"/>
              </w:rPr>
              <w:t>。</w:t>
            </w:r>
          </w:p>
        </w:tc>
        <w:tc>
          <w:tcPr>
            <w:tcW w:w="747" w:type="dxa"/>
            <w:noWrap/>
            <w:vAlign w:val="center"/>
          </w:tcPr>
          <w:p>
            <w:pPr>
              <w:pStyle w:val="7"/>
              <w:snapToGrid w:val="0"/>
              <w:spacing w:line="440" w:lineRule="exact"/>
              <w:jc w:val="center"/>
              <w:rPr>
                <w:rFonts w:ascii="Times New Roman" w:hAnsi="Times New Roman" w:eastAsia="宋体" w:cs="Times New Roman"/>
                <w:color w:val="auto"/>
                <w:kern w:val="0"/>
                <w:highlight w:val="none"/>
              </w:rPr>
            </w:pPr>
            <w:r>
              <w:rPr>
                <w:rFonts w:ascii="Times New Roman" w:hAnsi="Times New Roman" w:eastAsia="宋体" w:cs="Times New Roman"/>
                <w:color w:val="auto"/>
                <w:kern w:val="0"/>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7" w:hRule="atLeast"/>
          <w:jc w:val="center"/>
        </w:trPr>
        <w:tc>
          <w:tcPr>
            <w:tcW w:w="1076" w:type="dxa"/>
            <w:noWrap/>
            <w:vAlign w:val="center"/>
          </w:tcPr>
          <w:p>
            <w:pPr>
              <w:spacing w:line="440" w:lineRule="exact"/>
              <w:jc w:val="center"/>
              <w:rPr>
                <w:rFonts w:ascii="Times New Roman" w:hAnsi="Times New Roman" w:eastAsia="宋体"/>
                <w:bCs/>
                <w:color w:val="auto"/>
                <w:kern w:val="0"/>
                <w:szCs w:val="21"/>
                <w:highlight w:val="none"/>
              </w:rPr>
            </w:pPr>
            <w:r>
              <w:rPr>
                <w:rFonts w:ascii="Times New Roman" w:hAnsi="Times New Roman" w:eastAsia="宋体"/>
                <w:bCs/>
                <w:color w:val="auto"/>
                <w:kern w:val="0"/>
                <w:szCs w:val="21"/>
                <w:highlight w:val="none"/>
              </w:rPr>
              <w:t>六、吸收过程及设备的选择与操作</w:t>
            </w:r>
          </w:p>
        </w:tc>
        <w:tc>
          <w:tcPr>
            <w:tcW w:w="2980" w:type="dxa"/>
            <w:noWrap/>
            <w:vAlign w:val="center"/>
          </w:tcPr>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1. 认识、了解各种吸收设备</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2. 选择吸收剂，确定吸收剂用量</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3. 吸收塔塔高和塔径的确定</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4. 填料吸收塔的操作和调节</w:t>
            </w:r>
            <w:r>
              <w:rPr>
                <w:rFonts w:hint="eastAsia" w:ascii="Times New Roman" w:hAnsi="Times New Roman" w:eastAsia="宋体"/>
                <w:color w:val="auto"/>
                <w:szCs w:val="21"/>
                <w:highlight w:val="none"/>
              </w:rPr>
              <w:t>。</w:t>
            </w:r>
          </w:p>
        </w:tc>
        <w:tc>
          <w:tcPr>
            <w:tcW w:w="2239" w:type="dxa"/>
            <w:noWrap/>
            <w:vAlign w:val="center"/>
          </w:tcPr>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①</w:t>
            </w:r>
            <w:r>
              <w:rPr>
                <w:rFonts w:ascii="Times New Roman" w:hAnsi="Times New Roman" w:eastAsia="宋体"/>
                <w:color w:val="auto"/>
                <w:szCs w:val="21"/>
                <w:highlight w:val="none"/>
              </w:rPr>
              <w:t>吸收原理及亨利定律；</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②</w:t>
            </w:r>
            <w:r>
              <w:rPr>
                <w:rFonts w:ascii="Times New Roman" w:hAnsi="Times New Roman" w:eastAsia="宋体"/>
                <w:color w:val="auto"/>
                <w:szCs w:val="21"/>
                <w:highlight w:val="none"/>
              </w:rPr>
              <w:t>吸收速率方程及其意义；</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③</w:t>
            </w:r>
            <w:r>
              <w:rPr>
                <w:rFonts w:ascii="Times New Roman" w:hAnsi="Times New Roman" w:eastAsia="宋体"/>
                <w:color w:val="auto"/>
                <w:szCs w:val="21"/>
                <w:highlight w:val="none"/>
              </w:rPr>
              <w:t>吸收塔的类型及基本计算</w:t>
            </w:r>
            <w:r>
              <w:rPr>
                <w:rFonts w:hint="eastAsia" w:ascii="Times New Roman" w:hAnsi="Times New Roman" w:eastAsia="宋体"/>
                <w:color w:val="auto"/>
                <w:szCs w:val="21"/>
                <w:highlight w:val="none"/>
              </w:rPr>
              <w:t>。</w:t>
            </w:r>
          </w:p>
        </w:tc>
        <w:tc>
          <w:tcPr>
            <w:tcW w:w="1980" w:type="dxa"/>
            <w:noWrap/>
            <w:vAlign w:val="center"/>
          </w:tcPr>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①</w:t>
            </w:r>
            <w:r>
              <w:rPr>
                <w:rFonts w:ascii="Times New Roman" w:hAnsi="Times New Roman" w:eastAsia="宋体"/>
                <w:color w:val="auto"/>
                <w:szCs w:val="21"/>
                <w:highlight w:val="none"/>
              </w:rPr>
              <w:t>正确进行吸收塔设计型、操作型计算分析；</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②</w:t>
            </w:r>
            <w:r>
              <w:rPr>
                <w:rFonts w:ascii="Times New Roman" w:hAnsi="Times New Roman" w:eastAsia="宋体"/>
                <w:color w:val="auto"/>
                <w:szCs w:val="21"/>
                <w:highlight w:val="none"/>
              </w:rPr>
              <w:t>填料吸收塔的操作及工艺参数的调节</w:t>
            </w:r>
            <w:r>
              <w:rPr>
                <w:rFonts w:hint="eastAsia" w:ascii="Times New Roman" w:hAnsi="Times New Roman" w:eastAsia="宋体"/>
                <w:color w:val="auto"/>
                <w:szCs w:val="21"/>
                <w:highlight w:val="none"/>
              </w:rPr>
              <w:t>。</w:t>
            </w:r>
          </w:p>
        </w:tc>
        <w:tc>
          <w:tcPr>
            <w:tcW w:w="747" w:type="dxa"/>
            <w:noWrap/>
            <w:vAlign w:val="center"/>
          </w:tcPr>
          <w:p>
            <w:pPr>
              <w:pStyle w:val="7"/>
              <w:snapToGrid w:val="0"/>
              <w:spacing w:line="440" w:lineRule="exact"/>
              <w:jc w:val="center"/>
              <w:rPr>
                <w:rFonts w:ascii="Times New Roman" w:hAnsi="Times New Roman" w:eastAsia="宋体" w:cs="Times New Roman"/>
                <w:color w:val="auto"/>
                <w:kern w:val="0"/>
                <w:highlight w:val="none"/>
              </w:rPr>
            </w:pPr>
            <w:r>
              <w:rPr>
                <w:rFonts w:ascii="Times New Roman" w:hAnsi="Times New Roman" w:eastAsia="宋体" w:cs="Times New Roman"/>
                <w:color w:val="auto"/>
                <w:kern w:val="0"/>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9" w:hRule="atLeast"/>
          <w:jc w:val="center"/>
        </w:trPr>
        <w:tc>
          <w:tcPr>
            <w:tcW w:w="1076" w:type="dxa"/>
            <w:noWrap/>
            <w:vAlign w:val="center"/>
          </w:tcPr>
          <w:p>
            <w:pPr>
              <w:spacing w:line="440" w:lineRule="exact"/>
              <w:jc w:val="center"/>
              <w:rPr>
                <w:rFonts w:ascii="Times New Roman" w:hAnsi="Times New Roman" w:eastAsia="宋体"/>
                <w:bCs/>
                <w:color w:val="auto"/>
                <w:kern w:val="0"/>
                <w:szCs w:val="21"/>
                <w:highlight w:val="none"/>
              </w:rPr>
            </w:pPr>
            <w:r>
              <w:rPr>
                <w:rFonts w:ascii="Times New Roman" w:hAnsi="Times New Roman" w:eastAsia="宋体"/>
                <w:bCs/>
                <w:color w:val="auto"/>
                <w:kern w:val="0"/>
                <w:szCs w:val="21"/>
                <w:highlight w:val="none"/>
              </w:rPr>
              <w:t>七、干燥过程及设备的选择与操作</w:t>
            </w:r>
          </w:p>
        </w:tc>
        <w:tc>
          <w:tcPr>
            <w:tcW w:w="2980" w:type="dxa"/>
            <w:noWrap/>
            <w:vAlign w:val="center"/>
          </w:tcPr>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1. 认识、了解各种干燥设备</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2. 选择、确定干燥过程的操作条件</w:t>
            </w:r>
            <w:r>
              <w:rPr>
                <w:rFonts w:hint="eastAsia" w:ascii="Times New Roman" w:hAnsi="Times New Roman" w:eastAsia="宋体"/>
                <w:color w:val="auto"/>
                <w:szCs w:val="21"/>
                <w:highlight w:val="none"/>
              </w:rPr>
              <w:t>；</w:t>
            </w:r>
          </w:p>
          <w:p>
            <w:pPr>
              <w:spacing w:line="440" w:lineRule="exact"/>
              <w:rPr>
                <w:rFonts w:ascii="Times New Roman" w:hAnsi="Times New Roman" w:eastAsia="宋体"/>
                <w:color w:val="auto"/>
                <w:szCs w:val="21"/>
                <w:highlight w:val="none"/>
              </w:rPr>
            </w:pPr>
            <w:r>
              <w:rPr>
                <w:rFonts w:ascii="Times New Roman" w:hAnsi="Times New Roman" w:eastAsia="宋体"/>
                <w:color w:val="auto"/>
                <w:szCs w:val="21"/>
                <w:highlight w:val="none"/>
              </w:rPr>
              <w:t>3. 干燥器的操作和调节</w:t>
            </w:r>
            <w:r>
              <w:rPr>
                <w:rFonts w:hint="eastAsia" w:ascii="Times New Roman" w:hAnsi="Times New Roman" w:eastAsia="宋体"/>
                <w:color w:val="auto"/>
                <w:szCs w:val="21"/>
                <w:highlight w:val="none"/>
              </w:rPr>
              <w:t>。</w:t>
            </w:r>
          </w:p>
        </w:tc>
        <w:tc>
          <w:tcPr>
            <w:tcW w:w="2239" w:type="dxa"/>
            <w:noWrap/>
            <w:vAlign w:val="center"/>
          </w:tcPr>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①</w:t>
            </w:r>
            <w:r>
              <w:rPr>
                <w:rFonts w:ascii="Times New Roman" w:hAnsi="Times New Roman" w:eastAsia="宋体"/>
                <w:color w:val="auto"/>
                <w:szCs w:val="21"/>
                <w:highlight w:val="none"/>
              </w:rPr>
              <w:t>干燥原理及湿度图的应用；</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②</w:t>
            </w:r>
            <w:r>
              <w:rPr>
                <w:rFonts w:ascii="Times New Roman" w:hAnsi="Times New Roman" w:eastAsia="宋体"/>
                <w:color w:val="auto"/>
                <w:szCs w:val="21"/>
                <w:highlight w:val="none"/>
              </w:rPr>
              <w:t>干燥曲线及相关计算</w:t>
            </w:r>
            <w:r>
              <w:rPr>
                <w:rFonts w:hint="eastAsia" w:ascii="Times New Roman" w:hAnsi="Times New Roman" w:eastAsia="宋体"/>
                <w:color w:val="auto"/>
                <w:szCs w:val="21"/>
                <w:highlight w:val="none"/>
              </w:rPr>
              <w:t>。</w:t>
            </w:r>
          </w:p>
        </w:tc>
        <w:tc>
          <w:tcPr>
            <w:tcW w:w="1980" w:type="dxa"/>
            <w:noWrap/>
            <w:vAlign w:val="center"/>
          </w:tcPr>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①</w:t>
            </w:r>
            <w:r>
              <w:rPr>
                <w:rFonts w:ascii="Times New Roman" w:hAnsi="Times New Roman" w:eastAsia="宋体"/>
                <w:color w:val="auto"/>
                <w:szCs w:val="21"/>
                <w:highlight w:val="none"/>
              </w:rPr>
              <w:t>流化床干燥器的操作及工艺参数的调节；</w:t>
            </w:r>
          </w:p>
          <w:p>
            <w:pPr>
              <w:spacing w:line="440" w:lineRule="exact"/>
              <w:rPr>
                <w:rFonts w:ascii="Times New Roman" w:hAnsi="Times New Roman" w:eastAsia="宋体"/>
                <w:color w:val="auto"/>
                <w:szCs w:val="21"/>
                <w:highlight w:val="none"/>
              </w:rPr>
            </w:pPr>
            <w:r>
              <w:rPr>
                <w:rFonts w:hint="eastAsia" w:ascii="宋体" w:hAnsi="宋体" w:eastAsia="宋体" w:cs="宋体"/>
                <w:color w:val="auto"/>
                <w:szCs w:val="21"/>
                <w:highlight w:val="none"/>
              </w:rPr>
              <w:t>②</w:t>
            </w:r>
            <w:r>
              <w:rPr>
                <w:rFonts w:ascii="Times New Roman" w:hAnsi="Times New Roman" w:eastAsia="宋体"/>
                <w:color w:val="auto"/>
                <w:szCs w:val="21"/>
                <w:highlight w:val="none"/>
              </w:rPr>
              <w:t>干燥器的合理选择</w:t>
            </w:r>
            <w:r>
              <w:rPr>
                <w:rFonts w:hint="eastAsia" w:ascii="Times New Roman" w:hAnsi="Times New Roman" w:eastAsia="宋体"/>
                <w:color w:val="auto"/>
                <w:szCs w:val="21"/>
                <w:highlight w:val="none"/>
              </w:rPr>
              <w:t>。</w:t>
            </w:r>
          </w:p>
        </w:tc>
        <w:tc>
          <w:tcPr>
            <w:tcW w:w="747" w:type="dxa"/>
            <w:noWrap/>
            <w:vAlign w:val="center"/>
          </w:tcPr>
          <w:p>
            <w:pPr>
              <w:pStyle w:val="7"/>
              <w:snapToGrid w:val="0"/>
              <w:spacing w:line="440" w:lineRule="exact"/>
              <w:jc w:val="center"/>
              <w:rPr>
                <w:rFonts w:ascii="Times New Roman" w:hAnsi="Times New Roman" w:eastAsia="宋体" w:cs="Times New Roman"/>
                <w:color w:val="auto"/>
                <w:kern w:val="0"/>
                <w:highlight w:val="none"/>
              </w:rPr>
            </w:pPr>
            <w:r>
              <w:rPr>
                <w:rFonts w:ascii="Times New Roman" w:hAnsi="Times New Roman" w:eastAsia="宋体" w:cs="Times New Roman"/>
                <w:color w:val="auto"/>
                <w:kern w:val="0"/>
                <w:highlight w:val="none"/>
              </w:rPr>
              <w:t>16</w:t>
            </w:r>
          </w:p>
        </w:tc>
      </w:tr>
    </w:tbl>
    <w:p>
      <w:pPr>
        <w:spacing w:line="360" w:lineRule="auto"/>
        <w:ind w:firstLine="360" w:firstLineChars="150"/>
        <w:rPr>
          <w:rFonts w:ascii="Times New Roman" w:hAnsi="Times New Roman" w:eastAsia="宋体"/>
          <w:color w:val="auto"/>
          <w:sz w:val="24"/>
          <w:highlight w:val="none"/>
        </w:rPr>
      </w:pPr>
    </w:p>
    <w:p>
      <w:pPr>
        <w:spacing w:line="360" w:lineRule="auto"/>
        <w:ind w:firstLine="360" w:firstLineChars="150"/>
        <w:rPr>
          <w:rFonts w:ascii="Times New Roman" w:hAnsi="Times New Roman" w:eastAsia="宋体"/>
          <w:color w:val="auto"/>
          <w:sz w:val="24"/>
          <w:highlight w:val="none"/>
        </w:rPr>
        <w:sectPr>
          <w:footerReference r:id="rId9" w:type="default"/>
          <w:pgSz w:w="11906" w:h="16838"/>
          <w:pgMar w:top="1440" w:right="1797" w:bottom="1440" w:left="1797" w:header="851" w:footer="992" w:gutter="0"/>
          <w:cols w:space="720" w:num="1"/>
          <w:docGrid w:type="lines" w:linePitch="312" w:charSpace="0"/>
        </w:sectPr>
      </w:pP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（五）教学组织与教学方法</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1</w:t>
      </w:r>
      <w:r>
        <w:rPr>
          <w:rFonts w:hint="eastAsia" w:ascii="Times New Roman" w:hAnsi="Times New Roman" w:eastAsia="宋体"/>
          <w:color w:val="auto"/>
          <w:sz w:val="24"/>
          <w:highlight w:val="none"/>
          <w:lang w:eastAsia="zh-CN"/>
        </w:rPr>
        <w:t>.</w:t>
      </w:r>
      <w:r>
        <w:rPr>
          <w:rFonts w:hint="eastAsia" w:ascii="Times New Roman" w:hAnsi="Times New Roman" w:eastAsia="宋体"/>
          <w:color w:val="auto"/>
          <w:sz w:val="24"/>
          <w:highlight w:val="none"/>
        </w:rPr>
        <w:t>教学组织</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以“多媒体教学” 、“现场教学”为主的教学模式，将传统的课堂搬到实验、实训场所，强调“以学生为主体、以教师为主导”思想来设计教学活动，结合具体对象和模型，边讲边练、边学边做，实现了“理实一体化”教学。</w:t>
      </w:r>
    </w:p>
    <w:p>
      <w:pPr>
        <w:spacing w:line="360" w:lineRule="auto"/>
        <w:rPr>
          <w:rFonts w:ascii="Times New Roman" w:hAnsi="Times New Roman" w:eastAsia="宋体"/>
          <w:color w:val="auto"/>
          <w:sz w:val="24"/>
          <w:highlight w:val="none"/>
        </w:rPr>
      </w:pPr>
      <w:r>
        <w:rPr>
          <w:rFonts w:hint="eastAsia" w:ascii="Times New Roman" w:hAnsi="Times New Roman" w:eastAsia="宋体"/>
          <w:color w:val="auto"/>
          <w:sz w:val="24"/>
          <w:highlight w:val="none"/>
        </w:rPr>
        <w:t>每个任务均按照“课前准备”、“典型实例分析”、“知识链接”、“任务实施”、“知识拓展”、“技能检测”六个步骤完成。</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2</w:t>
      </w:r>
      <w:r>
        <w:rPr>
          <w:rFonts w:hint="eastAsia" w:ascii="Times New Roman" w:hAnsi="Times New Roman" w:eastAsia="宋体"/>
          <w:color w:val="auto"/>
          <w:sz w:val="24"/>
          <w:highlight w:val="none"/>
          <w:lang w:eastAsia="zh-CN"/>
        </w:rPr>
        <w:t>.</w:t>
      </w:r>
      <w:r>
        <w:rPr>
          <w:rFonts w:hint="eastAsia" w:ascii="Times New Roman" w:hAnsi="Times New Roman" w:eastAsia="宋体"/>
          <w:color w:val="auto"/>
          <w:sz w:val="24"/>
          <w:highlight w:val="none"/>
        </w:rPr>
        <w:t>教学方法</w:t>
      </w:r>
    </w:p>
    <w:p>
      <w:pPr>
        <w:spacing w:line="360" w:lineRule="auto"/>
        <w:rPr>
          <w:rFonts w:ascii="Times New Roman" w:hAnsi="Times New Roman" w:eastAsia="宋体"/>
          <w:color w:val="auto"/>
          <w:sz w:val="24"/>
          <w:highlight w:val="none"/>
        </w:rPr>
      </w:pPr>
      <w:r>
        <w:rPr>
          <w:rFonts w:hint="eastAsia" w:ascii="Times New Roman" w:hAnsi="Times New Roman" w:eastAsia="宋体"/>
          <w:color w:val="auto"/>
          <w:sz w:val="24"/>
          <w:highlight w:val="none"/>
        </w:rPr>
        <w:t xml:space="preserve">   （1）“任务驱动、项目导向”的教学方法</w:t>
      </w:r>
    </w:p>
    <w:p>
      <w:pPr>
        <w:spacing w:line="360" w:lineRule="auto"/>
        <w:rPr>
          <w:rFonts w:ascii="Times New Roman" w:hAnsi="Times New Roman" w:eastAsia="宋体"/>
          <w:color w:val="auto"/>
          <w:sz w:val="24"/>
          <w:highlight w:val="none"/>
        </w:rPr>
      </w:pPr>
      <w:r>
        <w:rPr>
          <w:rFonts w:hint="eastAsia" w:ascii="Times New Roman" w:hAnsi="Times New Roman" w:eastAsia="宋体"/>
          <w:color w:val="auto"/>
          <w:sz w:val="24"/>
          <w:highlight w:val="none"/>
        </w:rPr>
        <w:t xml:space="preserve">    本课程采用“任务驱动、项目导向”的教学方法进行教学，将课程设置成26个项目，全程贯通项目教学，项目选择采用实际工作任务，辅之以情境教学、案例教学等教学方法。整个教学按照“资讯</w:t>
      </w:r>
      <w:r>
        <w:rPr>
          <w:rFonts w:hint="eastAsia" w:ascii="Times New Roman" w:hAnsi="Times New Roman" w:eastAsia="宋体" w:cs="SSJ0+ZETBZa-3"/>
          <w:color w:val="auto"/>
          <w:sz w:val="24"/>
          <w:highlight w:val="none"/>
        </w:rPr>
        <w:t>—</w:t>
      </w:r>
      <w:r>
        <w:rPr>
          <w:rFonts w:hint="eastAsia" w:ascii="Times New Roman" w:hAnsi="Times New Roman" w:eastAsia="宋体"/>
          <w:color w:val="auto"/>
          <w:sz w:val="24"/>
          <w:highlight w:val="none"/>
        </w:rPr>
        <w:t>决策</w:t>
      </w:r>
      <w:r>
        <w:rPr>
          <w:rFonts w:hint="eastAsia" w:ascii="Times New Roman" w:hAnsi="Times New Roman" w:eastAsia="宋体" w:cs="SSJ0+ZETBZa-3"/>
          <w:color w:val="auto"/>
          <w:sz w:val="24"/>
          <w:highlight w:val="none"/>
        </w:rPr>
        <w:t>—</w:t>
      </w:r>
      <w:r>
        <w:rPr>
          <w:rFonts w:hint="eastAsia" w:ascii="Times New Roman" w:hAnsi="Times New Roman" w:eastAsia="宋体"/>
          <w:color w:val="auto"/>
          <w:sz w:val="24"/>
          <w:highlight w:val="none"/>
        </w:rPr>
        <w:t>计划</w:t>
      </w:r>
      <w:r>
        <w:rPr>
          <w:rFonts w:hint="eastAsia" w:ascii="Times New Roman" w:hAnsi="Times New Roman" w:eastAsia="宋体" w:cs="SSJ0+ZETBZa-3"/>
          <w:color w:val="auto"/>
          <w:sz w:val="24"/>
          <w:highlight w:val="none"/>
        </w:rPr>
        <w:t>—</w:t>
      </w:r>
      <w:r>
        <w:rPr>
          <w:rFonts w:hint="eastAsia" w:ascii="Times New Roman" w:hAnsi="Times New Roman" w:eastAsia="宋体"/>
          <w:color w:val="auto"/>
          <w:sz w:val="24"/>
          <w:highlight w:val="none"/>
        </w:rPr>
        <w:t>实施</w:t>
      </w:r>
      <w:r>
        <w:rPr>
          <w:rFonts w:hint="eastAsia" w:ascii="Times New Roman" w:hAnsi="Times New Roman" w:eastAsia="宋体" w:cs="SSJ0+ZETBZa-3"/>
          <w:color w:val="auto"/>
          <w:sz w:val="24"/>
          <w:highlight w:val="none"/>
        </w:rPr>
        <w:t>—</w:t>
      </w:r>
      <w:r>
        <w:rPr>
          <w:rFonts w:hint="eastAsia" w:ascii="Times New Roman" w:hAnsi="Times New Roman" w:eastAsia="宋体"/>
          <w:color w:val="auto"/>
          <w:sz w:val="24"/>
          <w:highlight w:val="none"/>
        </w:rPr>
        <w:t>检查</w:t>
      </w:r>
      <w:r>
        <w:rPr>
          <w:rFonts w:hint="eastAsia" w:ascii="Times New Roman" w:hAnsi="Times New Roman" w:eastAsia="宋体" w:cs="SSJ0+ZETBZa-3"/>
          <w:color w:val="auto"/>
          <w:sz w:val="24"/>
          <w:highlight w:val="none"/>
        </w:rPr>
        <w:t>—</w:t>
      </w:r>
      <w:r>
        <w:rPr>
          <w:rFonts w:hint="eastAsia" w:ascii="Times New Roman" w:hAnsi="Times New Roman" w:eastAsia="宋体"/>
          <w:color w:val="auto"/>
          <w:sz w:val="24"/>
          <w:highlight w:val="none"/>
        </w:rPr>
        <w:t>评价”六个步骤进行，即教师布置任务后，学生分组，收集资料→决策工作方案→制定工作计划，教师审核工作计划，提出改进意见→学生按工作计划实施项目→教师检查→学生互评，教师考核。这一过程中，始终以“任务驱动”为主线，将策划、任务分解、“教学做”有机结合起来。通过“任务驱动，项目导向”教学法，可以加强学生训练目的性，学生通过项目调研、项目实施、项目验收等环节的训练，培养了学生发现问题、分析问题和解决问题的能力和技术综合应用能力。</w:t>
      </w:r>
    </w:p>
    <w:p>
      <w:pPr>
        <w:autoSpaceDE w:val="0"/>
        <w:autoSpaceDN w:val="0"/>
        <w:adjustRightInd w:val="0"/>
        <w:spacing w:line="360" w:lineRule="auto"/>
        <w:ind w:firstLine="480" w:firstLineChars="200"/>
        <w:rPr>
          <w:rFonts w:ascii="Times New Roman" w:hAnsi="Times New Roman" w:eastAsia="宋体" w:cs="E-HZ+ZETBZb-4"/>
          <w:color w:val="auto"/>
          <w:kern w:val="0"/>
          <w:szCs w:val="21"/>
          <w:highlight w:val="none"/>
        </w:rPr>
      </w:pPr>
      <w:r>
        <w:rPr>
          <w:rFonts w:hint="eastAsia" w:ascii="Times New Roman" w:hAnsi="Times New Roman" w:eastAsia="宋体"/>
          <w:color w:val="auto"/>
          <w:kern w:val="0"/>
          <w:sz w:val="24"/>
          <w:highlight w:val="none"/>
        </w:rPr>
        <w:t>倡导以学生为主体自主完成六步全过程</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kern w:val="0"/>
          <w:sz w:val="24"/>
          <w:highlight w:val="none"/>
        </w:rPr>
        <w:t>充分挖掘对学生能力培养的因素</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kern w:val="0"/>
          <w:sz w:val="24"/>
          <w:highlight w:val="none"/>
        </w:rPr>
        <w:t>学生自主进行计划制定</w:t>
      </w:r>
      <w:r>
        <w:rPr>
          <w:rFonts w:hint="eastAsia" w:ascii="Times New Roman" w:hAnsi="Times New Roman" w:eastAsia="宋体" w:cs="SSJ0+ZETBZa-3"/>
          <w:color w:val="auto"/>
          <w:kern w:val="0"/>
          <w:sz w:val="24"/>
          <w:highlight w:val="none"/>
        </w:rPr>
        <w:t>、</w:t>
      </w:r>
      <w:r>
        <w:rPr>
          <w:rFonts w:hint="eastAsia" w:ascii="Times New Roman" w:hAnsi="Times New Roman" w:eastAsia="宋体"/>
          <w:color w:val="auto"/>
          <w:kern w:val="0"/>
          <w:sz w:val="24"/>
          <w:highlight w:val="none"/>
        </w:rPr>
        <w:t>过程实施</w:t>
      </w:r>
      <w:r>
        <w:rPr>
          <w:rFonts w:hint="eastAsia" w:ascii="Times New Roman" w:hAnsi="Times New Roman" w:eastAsia="宋体" w:cs="SSJ0+ZETBZa-3"/>
          <w:color w:val="auto"/>
          <w:kern w:val="0"/>
          <w:sz w:val="24"/>
          <w:highlight w:val="none"/>
        </w:rPr>
        <w:t>、</w:t>
      </w:r>
      <w:r>
        <w:rPr>
          <w:rFonts w:hint="eastAsia" w:ascii="Times New Roman" w:hAnsi="Times New Roman" w:eastAsia="宋体"/>
          <w:color w:val="auto"/>
          <w:kern w:val="0"/>
          <w:sz w:val="24"/>
          <w:highlight w:val="none"/>
        </w:rPr>
        <w:t>质量控制与管理及工作评价</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kern w:val="0"/>
          <w:sz w:val="24"/>
          <w:highlight w:val="none"/>
        </w:rPr>
        <w:t>同学之间协同配合</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kern w:val="0"/>
          <w:sz w:val="24"/>
          <w:highlight w:val="none"/>
        </w:rPr>
        <w:t>共同完成</w:t>
      </w:r>
      <w:r>
        <w:rPr>
          <w:rFonts w:hint="eastAsia" w:ascii="Times New Roman" w:hAnsi="Times New Roman" w:eastAsia="宋体" w:cs="SSJ0+ZETBZa-3"/>
          <w:color w:val="auto"/>
          <w:kern w:val="0"/>
          <w:sz w:val="24"/>
          <w:highlight w:val="none"/>
        </w:rPr>
        <w:t>“</w:t>
      </w:r>
      <w:r>
        <w:rPr>
          <w:rFonts w:hint="eastAsia" w:ascii="Times New Roman" w:hAnsi="Times New Roman" w:eastAsia="宋体"/>
          <w:color w:val="auto"/>
          <w:kern w:val="0"/>
          <w:sz w:val="24"/>
          <w:highlight w:val="none"/>
        </w:rPr>
        <w:t>工作任务</w:t>
      </w:r>
      <w:r>
        <w:rPr>
          <w:rFonts w:hint="eastAsia" w:ascii="Times New Roman" w:hAnsi="Times New Roman" w:eastAsia="宋体" w:cs="SSJ0+ZETBZc-6"/>
          <w:color w:val="auto"/>
          <w:kern w:val="0"/>
          <w:sz w:val="24"/>
          <w:highlight w:val="none"/>
        </w:rPr>
        <w:t>”</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kern w:val="0"/>
          <w:sz w:val="24"/>
          <w:highlight w:val="none"/>
        </w:rPr>
        <w:t>教师在其中只起到指导</w:t>
      </w:r>
      <w:r>
        <w:rPr>
          <w:rFonts w:hint="eastAsia" w:ascii="Times New Roman" w:hAnsi="Times New Roman" w:eastAsia="宋体" w:cs="SSJ0+ZETBZa-3"/>
          <w:color w:val="auto"/>
          <w:kern w:val="0"/>
          <w:sz w:val="24"/>
          <w:highlight w:val="none"/>
        </w:rPr>
        <w:t>、</w:t>
      </w:r>
      <w:r>
        <w:rPr>
          <w:rFonts w:hint="eastAsia" w:ascii="Times New Roman" w:hAnsi="Times New Roman" w:eastAsia="宋体"/>
          <w:color w:val="auto"/>
          <w:kern w:val="0"/>
          <w:sz w:val="24"/>
          <w:highlight w:val="none"/>
        </w:rPr>
        <w:t>答疑和归纳提升作用</w:t>
      </w:r>
      <w:r>
        <w:rPr>
          <w:rFonts w:hint="eastAsia" w:ascii="Times New Roman" w:hAnsi="Times New Roman" w:eastAsia="宋体" w:cs="SSJ0+ZETBZa-3"/>
          <w:color w:val="auto"/>
          <w:kern w:val="0"/>
          <w:sz w:val="24"/>
          <w:highlight w:val="none"/>
        </w:rPr>
        <w:t>。</w:t>
      </w:r>
      <w:r>
        <w:rPr>
          <w:rFonts w:hint="eastAsia" w:ascii="Times New Roman" w:hAnsi="Times New Roman" w:eastAsia="宋体"/>
          <w:color w:val="auto"/>
          <w:kern w:val="0"/>
          <w:sz w:val="24"/>
          <w:highlight w:val="none"/>
        </w:rPr>
        <w:t>学生以小组配合的学习形式</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kern w:val="0"/>
          <w:sz w:val="24"/>
          <w:highlight w:val="none"/>
        </w:rPr>
        <w:t>组内成员在完成每一次教学任务时都分工明确</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kern w:val="0"/>
          <w:sz w:val="24"/>
          <w:highlight w:val="none"/>
        </w:rPr>
        <w:t>按照规定完成资料收集</w:t>
      </w:r>
      <w:r>
        <w:rPr>
          <w:rFonts w:hint="eastAsia" w:ascii="Times New Roman" w:hAnsi="Times New Roman" w:eastAsia="宋体" w:cs="SSJ0+ZETBZa-3"/>
          <w:color w:val="auto"/>
          <w:kern w:val="0"/>
          <w:sz w:val="24"/>
          <w:highlight w:val="none"/>
        </w:rPr>
        <w:t>、</w:t>
      </w:r>
      <w:r>
        <w:rPr>
          <w:rFonts w:hint="eastAsia" w:ascii="Times New Roman" w:hAnsi="Times New Roman" w:eastAsia="宋体"/>
          <w:color w:val="auto"/>
          <w:kern w:val="0"/>
          <w:sz w:val="24"/>
          <w:highlight w:val="none"/>
        </w:rPr>
        <w:t>计划制定</w:t>
      </w:r>
      <w:r>
        <w:rPr>
          <w:rFonts w:hint="eastAsia" w:ascii="Times New Roman" w:hAnsi="Times New Roman" w:eastAsia="宋体" w:cs="SSJ0+ZETBZa-3"/>
          <w:color w:val="auto"/>
          <w:kern w:val="0"/>
          <w:sz w:val="24"/>
          <w:highlight w:val="none"/>
        </w:rPr>
        <w:t>、</w:t>
      </w:r>
      <w:r>
        <w:rPr>
          <w:rFonts w:hint="eastAsia" w:ascii="Times New Roman" w:hAnsi="Times New Roman" w:eastAsia="宋体"/>
          <w:color w:val="auto"/>
          <w:kern w:val="0"/>
          <w:sz w:val="24"/>
          <w:highlight w:val="none"/>
        </w:rPr>
        <w:t>拟定安全注意事项</w:t>
      </w:r>
      <w:r>
        <w:rPr>
          <w:rFonts w:hint="eastAsia" w:ascii="Times New Roman" w:hAnsi="Times New Roman" w:eastAsia="宋体" w:cs="SSJ0+ZETBZa-3"/>
          <w:color w:val="auto"/>
          <w:kern w:val="0"/>
          <w:sz w:val="24"/>
          <w:highlight w:val="none"/>
        </w:rPr>
        <w:t>、</w:t>
      </w:r>
      <w:r>
        <w:rPr>
          <w:rFonts w:hint="eastAsia" w:ascii="Times New Roman" w:hAnsi="Times New Roman" w:eastAsia="宋体"/>
          <w:color w:val="auto"/>
          <w:kern w:val="0"/>
          <w:sz w:val="24"/>
          <w:highlight w:val="none"/>
        </w:rPr>
        <w:t>熟悉操作规程</w:t>
      </w:r>
      <w:r>
        <w:rPr>
          <w:rFonts w:hint="eastAsia" w:ascii="Times New Roman" w:hAnsi="Times New Roman" w:eastAsia="宋体" w:cs="SSJ0+ZETBZa-3"/>
          <w:color w:val="auto"/>
          <w:kern w:val="0"/>
          <w:sz w:val="24"/>
          <w:highlight w:val="none"/>
        </w:rPr>
        <w:t>、</w:t>
      </w:r>
      <w:r>
        <w:rPr>
          <w:rFonts w:hint="eastAsia" w:ascii="Times New Roman" w:hAnsi="Times New Roman" w:eastAsia="宋体"/>
          <w:color w:val="auto"/>
          <w:kern w:val="0"/>
          <w:sz w:val="24"/>
          <w:highlight w:val="none"/>
        </w:rPr>
        <w:t>实施装置操作等工作任务</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kern w:val="0"/>
          <w:sz w:val="24"/>
          <w:highlight w:val="none"/>
        </w:rPr>
        <w:t>通过反复训练</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kern w:val="0"/>
          <w:sz w:val="24"/>
          <w:highlight w:val="none"/>
        </w:rPr>
        <w:t>使学生熟练掌握专业技能</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kern w:val="0"/>
          <w:sz w:val="24"/>
          <w:highlight w:val="none"/>
        </w:rPr>
        <w:t>学习到与操作有关的理论知识</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kern w:val="0"/>
          <w:sz w:val="24"/>
          <w:highlight w:val="none"/>
        </w:rPr>
        <w:t>特别是应用理论知识解决问题问题的能力得到提高</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kern w:val="0"/>
          <w:sz w:val="24"/>
          <w:highlight w:val="none"/>
        </w:rPr>
        <w:t>同时培养学生的团队合作精神</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kern w:val="0"/>
          <w:sz w:val="24"/>
          <w:highlight w:val="none"/>
        </w:rPr>
        <w:t>并在工作中享受自我实现的成就感</w:t>
      </w:r>
      <w:r>
        <w:rPr>
          <w:rFonts w:hint="eastAsia" w:ascii="Times New Roman" w:hAnsi="Times New Roman" w:eastAsia="宋体" w:cs="AdobeHeitiStd-Regular"/>
          <w:color w:val="auto"/>
          <w:kern w:val="0"/>
          <w:sz w:val="24"/>
          <w:highlight w:val="none"/>
        </w:rPr>
        <w:t>，</w:t>
      </w:r>
      <w:r>
        <w:rPr>
          <w:rFonts w:hint="eastAsia" w:ascii="Times New Roman" w:hAnsi="Times New Roman" w:eastAsia="宋体"/>
          <w:color w:val="auto"/>
          <w:sz w:val="24"/>
          <w:highlight w:val="none"/>
        </w:rPr>
        <w:t>充分发挥学生的主动性和创造性</w:t>
      </w:r>
      <w:r>
        <w:rPr>
          <w:rFonts w:hint="eastAsia" w:ascii="Times New Roman" w:hAnsi="Times New Roman" w:eastAsia="宋体" w:cs="SSJ0+ZETBZa-3"/>
          <w:color w:val="auto"/>
          <w:sz w:val="24"/>
          <w:highlight w:val="none"/>
        </w:rPr>
        <w:t>。</w:t>
      </w:r>
      <w:r>
        <w:rPr>
          <w:rFonts w:hint="eastAsia" w:ascii="Times New Roman" w:hAnsi="Times New Roman" w:eastAsia="宋体"/>
          <w:color w:val="auto"/>
          <w:sz w:val="24"/>
          <w:highlight w:val="none"/>
        </w:rPr>
        <w:t>每个学习任务结束时教师对任务相关的理论知识进行系统提炼</w:t>
      </w:r>
      <w:r>
        <w:rPr>
          <w:rFonts w:hint="eastAsia" w:ascii="Times New Roman" w:hAnsi="Times New Roman" w:eastAsia="宋体" w:cs="SSJ0+ZETBZa-3"/>
          <w:color w:val="auto"/>
          <w:sz w:val="24"/>
          <w:highlight w:val="none"/>
        </w:rPr>
        <w:t>。</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（2）小组合作学习法</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sectPr>
          <w:footerReference r:id="rId10" w:type="default"/>
          <w:pgSz w:w="11906" w:h="16838"/>
          <w:pgMar w:top="1440" w:right="1797" w:bottom="1440" w:left="1797" w:header="851" w:footer="992" w:gutter="0"/>
          <w:cols w:space="720" w:num="1"/>
          <w:docGrid w:type="lines" w:linePitch="312" w:charSpace="0"/>
        </w:sectPr>
      </w:pPr>
      <w:r>
        <w:rPr>
          <w:rFonts w:hint="eastAsia" w:ascii="Times New Roman" w:hAnsi="Times New Roman" w:eastAsia="宋体"/>
          <w:color w:val="auto"/>
          <w:kern w:val="0"/>
          <w:sz w:val="24"/>
          <w:highlight w:val="none"/>
        </w:rPr>
        <w:t>将学生分成若干小组，每个小组一般可由4—6名学生组成，每组推选一名小</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组长，以小组讨论方式进行合作学习，同学之间协同配合，共同制定工作计划，进行任务分配来完成具体的工作任务，教师在其中只起到指导、答疑和归纳提升作用。学生以小组配合的学习形式，组内成员在完成每一次教学任务时都分工明确，按照规定完成资料收集、计划制定、拟定安全注意事项、熟悉操作规程、实施装置操作等工作任务，通过反复训练，使学生熟练掌握专业技能，学习到与操作有关的理论知识，特别是应用理论知识解决问题问题的能力得到提高，同时培养学生的团队合作精神，并在工作中享受自我实现的成就感，充分发挥学生的主动性和创造性。</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（3）自主学习法</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在教学过程中，倡导以学生为主体自主完成六步全过程，充分挖掘对学生能力培养的因素。学生通过自主进行计划制定、过程实施、质量控制与管理及工作评价，可极大地发挥自身的能动性和主体性；通过完成任务所需的获取信息、设计方案、制定操作规程、操作等完整实践过程，可有效掌握职业技能、获得专业知识，从而构建自己的经验和知识体系。此外，还可以通过在线网站和教学录像、动画视频、电化教学片等内容，让学生进行自主学习。</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（六）考核标准与成绩评定方法</w:t>
      </w:r>
    </w:p>
    <w:p>
      <w:pPr>
        <w:spacing w:line="360" w:lineRule="auto"/>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 xml:space="preserve">    基于“工作过程导向”的课程中对学生的学习评价以过程性评价为主，结合阶段性评价和结果性评价，把教师评价、学生评价、企业评价有机结合作为主要形式。以完成工作任务的质量为依据，即学生按要求提交的方案、产品或技术报告等。教师对学生的评价以探究式评价为主，采用笔试与现场考核相结合的方式。考核内容主要是学生综合运用专业知识解决实际操作问题的能力，辅之以必需的基本知识。学生评价采用小组内互评和小组间互评结合的形式，要求对每一位学生的成果都应有同组学生和外组学生给出的评定结果。企业评价主要指在企业生产岗位上进行的项目课程，评价方式可以是问卷调查、所在岗位师傅的鉴定等形式。具体评价内容及指标如下：</w:t>
      </w:r>
    </w:p>
    <w:p>
      <w:pPr>
        <w:autoSpaceDE w:val="0"/>
        <w:autoSpaceDN w:val="0"/>
        <w:adjustRightInd w:val="0"/>
        <w:spacing w:before="156" w:beforeLines="50" w:after="156" w:afterLines="50" w:line="440" w:lineRule="exact"/>
        <w:jc w:val="center"/>
        <w:rPr>
          <w:rFonts w:ascii="Times New Roman" w:hAnsi="Times New Roman" w:eastAsia="宋体"/>
          <w:bCs/>
          <w:color w:val="auto"/>
          <w:kern w:val="0"/>
          <w:sz w:val="24"/>
          <w:highlight w:val="none"/>
        </w:rPr>
      </w:pPr>
    </w:p>
    <w:p>
      <w:pPr>
        <w:autoSpaceDE w:val="0"/>
        <w:autoSpaceDN w:val="0"/>
        <w:adjustRightInd w:val="0"/>
        <w:spacing w:before="156" w:beforeLines="50" w:after="156" w:afterLines="50" w:line="440" w:lineRule="exact"/>
        <w:jc w:val="center"/>
        <w:rPr>
          <w:rFonts w:ascii="Times New Roman" w:hAnsi="Times New Roman" w:eastAsia="宋体"/>
          <w:bCs/>
          <w:color w:val="auto"/>
          <w:kern w:val="0"/>
          <w:sz w:val="24"/>
          <w:highlight w:val="none"/>
        </w:rPr>
      </w:pPr>
    </w:p>
    <w:p>
      <w:pPr>
        <w:autoSpaceDE w:val="0"/>
        <w:autoSpaceDN w:val="0"/>
        <w:adjustRightInd w:val="0"/>
        <w:spacing w:before="156" w:beforeLines="50" w:after="156" w:afterLines="50" w:line="440" w:lineRule="exact"/>
        <w:jc w:val="center"/>
        <w:rPr>
          <w:rFonts w:ascii="Times New Roman" w:hAnsi="Times New Roman" w:eastAsia="宋体"/>
          <w:bCs/>
          <w:color w:val="auto"/>
          <w:kern w:val="0"/>
          <w:sz w:val="24"/>
          <w:highlight w:val="none"/>
        </w:rPr>
      </w:pPr>
    </w:p>
    <w:p>
      <w:pPr>
        <w:autoSpaceDE w:val="0"/>
        <w:autoSpaceDN w:val="0"/>
        <w:adjustRightInd w:val="0"/>
        <w:spacing w:before="156" w:beforeLines="50" w:after="156" w:afterLines="50" w:line="440" w:lineRule="exact"/>
        <w:jc w:val="center"/>
        <w:rPr>
          <w:rFonts w:ascii="Times New Roman" w:hAnsi="Times New Roman" w:eastAsia="宋体"/>
          <w:bCs/>
          <w:color w:val="auto"/>
          <w:kern w:val="0"/>
          <w:sz w:val="24"/>
          <w:highlight w:val="none"/>
        </w:rPr>
        <w:sectPr>
          <w:footerReference r:id="rId11" w:type="default"/>
          <w:pgSz w:w="11906" w:h="16838"/>
          <w:pgMar w:top="1440" w:right="1797" w:bottom="1440" w:left="1797" w:header="851" w:footer="992" w:gutter="0"/>
          <w:cols w:space="720" w:num="1"/>
          <w:docGrid w:type="lines" w:linePitch="312" w:charSpace="0"/>
        </w:sectPr>
      </w:pPr>
    </w:p>
    <w:p>
      <w:pPr>
        <w:autoSpaceDE w:val="0"/>
        <w:autoSpaceDN w:val="0"/>
        <w:adjustRightInd w:val="0"/>
        <w:spacing w:before="156" w:beforeLines="50" w:after="156" w:afterLines="50" w:line="440" w:lineRule="exact"/>
        <w:jc w:val="center"/>
        <w:rPr>
          <w:rFonts w:ascii="Times New Roman" w:hAnsi="Times New Roman" w:eastAsia="宋体"/>
          <w:bCs/>
          <w:color w:val="auto"/>
          <w:kern w:val="0"/>
          <w:sz w:val="24"/>
          <w:highlight w:val="none"/>
        </w:rPr>
      </w:pPr>
      <w:r>
        <w:rPr>
          <w:rFonts w:ascii="Times New Roman" w:hAnsi="Times New Roman" w:eastAsia="宋体"/>
          <w:bCs/>
          <w:color w:val="auto"/>
          <w:kern w:val="0"/>
          <w:sz w:val="24"/>
          <w:highlight w:val="none"/>
        </w:rPr>
        <w:t>表4.2《化工单元操作</w:t>
      </w:r>
      <w:r>
        <w:rPr>
          <w:rFonts w:hint="eastAsia" w:ascii="Times New Roman" w:hAnsi="Times New Roman" w:eastAsia="宋体"/>
          <w:bCs/>
          <w:color w:val="auto"/>
          <w:kern w:val="0"/>
          <w:sz w:val="24"/>
          <w:highlight w:val="none"/>
        </w:rPr>
        <w:t>》</w:t>
      </w:r>
      <w:r>
        <w:rPr>
          <w:rFonts w:ascii="Times New Roman" w:hAnsi="Times New Roman" w:eastAsia="宋体"/>
          <w:bCs/>
          <w:color w:val="auto"/>
          <w:kern w:val="0"/>
          <w:sz w:val="24"/>
          <w:highlight w:val="none"/>
        </w:rPr>
        <w:t>教学评价指标及权重</w:t>
      </w:r>
    </w:p>
    <w:tbl>
      <w:tblPr>
        <w:tblStyle w:val="15"/>
        <w:tblW w:w="8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2"/>
        <w:gridCol w:w="3569"/>
        <w:gridCol w:w="952"/>
        <w:gridCol w:w="2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noWrap/>
            <w:vAlign w:val="center"/>
          </w:tcPr>
          <w:p>
            <w:pPr>
              <w:autoSpaceDE w:val="0"/>
              <w:autoSpaceDN w:val="0"/>
              <w:adjustRightInd w:val="0"/>
              <w:jc w:val="center"/>
              <w:rPr>
                <w:rFonts w:ascii="Times New Roman" w:hAnsi="Times New Roman" w:eastAsia="宋体"/>
                <w:b/>
                <w:bCs/>
                <w:color w:val="auto"/>
                <w:kern w:val="0"/>
                <w:szCs w:val="21"/>
                <w:highlight w:val="none"/>
              </w:rPr>
            </w:pPr>
            <w:r>
              <w:rPr>
                <w:rFonts w:ascii="Times New Roman" w:hAnsi="Times New Roman" w:eastAsia="宋体"/>
                <w:b/>
                <w:bCs/>
                <w:color w:val="auto"/>
                <w:kern w:val="0"/>
                <w:szCs w:val="21"/>
                <w:highlight w:val="none"/>
              </w:rPr>
              <w:t>一级指标</w:t>
            </w:r>
          </w:p>
        </w:tc>
        <w:tc>
          <w:tcPr>
            <w:tcW w:w="3569" w:type="dxa"/>
            <w:noWrap/>
            <w:vAlign w:val="center"/>
          </w:tcPr>
          <w:p>
            <w:pPr>
              <w:autoSpaceDE w:val="0"/>
              <w:autoSpaceDN w:val="0"/>
              <w:adjustRightInd w:val="0"/>
              <w:jc w:val="center"/>
              <w:rPr>
                <w:rFonts w:ascii="Times New Roman" w:hAnsi="Times New Roman" w:eastAsia="宋体"/>
                <w:b/>
                <w:bCs/>
                <w:color w:val="auto"/>
                <w:kern w:val="0"/>
                <w:szCs w:val="21"/>
                <w:highlight w:val="none"/>
              </w:rPr>
            </w:pPr>
            <w:r>
              <w:rPr>
                <w:rFonts w:ascii="Times New Roman" w:hAnsi="Times New Roman" w:eastAsia="宋体"/>
                <w:b/>
                <w:bCs/>
                <w:color w:val="auto"/>
                <w:kern w:val="0"/>
                <w:szCs w:val="21"/>
                <w:highlight w:val="none"/>
              </w:rPr>
              <w:t>二级指标</w:t>
            </w:r>
          </w:p>
        </w:tc>
        <w:tc>
          <w:tcPr>
            <w:tcW w:w="952" w:type="dxa"/>
            <w:noWrap/>
            <w:vAlign w:val="center"/>
          </w:tcPr>
          <w:p>
            <w:pPr>
              <w:autoSpaceDE w:val="0"/>
              <w:autoSpaceDN w:val="0"/>
              <w:adjustRightInd w:val="0"/>
              <w:jc w:val="center"/>
              <w:rPr>
                <w:rFonts w:ascii="Times New Roman" w:hAnsi="Times New Roman" w:eastAsia="宋体"/>
                <w:b/>
                <w:bCs/>
                <w:color w:val="auto"/>
                <w:kern w:val="0"/>
                <w:szCs w:val="21"/>
                <w:highlight w:val="none"/>
              </w:rPr>
            </w:pPr>
            <w:r>
              <w:rPr>
                <w:rFonts w:ascii="Times New Roman" w:hAnsi="Times New Roman" w:eastAsia="宋体"/>
                <w:b/>
                <w:bCs/>
                <w:color w:val="auto"/>
                <w:kern w:val="0"/>
                <w:szCs w:val="21"/>
                <w:highlight w:val="none"/>
              </w:rPr>
              <w:t>权重</w:t>
            </w:r>
          </w:p>
        </w:tc>
        <w:tc>
          <w:tcPr>
            <w:tcW w:w="2337" w:type="dxa"/>
            <w:noWrap/>
            <w:vAlign w:val="center"/>
          </w:tcPr>
          <w:p>
            <w:pPr>
              <w:autoSpaceDE w:val="0"/>
              <w:autoSpaceDN w:val="0"/>
              <w:adjustRightInd w:val="0"/>
              <w:jc w:val="center"/>
              <w:rPr>
                <w:rFonts w:ascii="Times New Roman" w:hAnsi="Times New Roman" w:eastAsia="宋体"/>
                <w:b/>
                <w:bCs/>
                <w:color w:val="auto"/>
                <w:kern w:val="0"/>
                <w:szCs w:val="21"/>
                <w:highlight w:val="none"/>
              </w:rPr>
            </w:pPr>
            <w:r>
              <w:rPr>
                <w:rFonts w:ascii="Times New Roman" w:hAnsi="Times New Roman" w:eastAsia="宋体"/>
                <w:b/>
                <w:bCs/>
                <w:color w:val="auto"/>
                <w:kern w:val="0"/>
                <w:szCs w:val="21"/>
                <w:highlight w:val="none"/>
              </w:rPr>
              <w:t>评价方式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restart"/>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教师评价（70%）</w:t>
            </w:r>
          </w:p>
        </w:tc>
        <w:tc>
          <w:tcPr>
            <w:tcW w:w="3569"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知识考核</w:t>
            </w:r>
          </w:p>
        </w:tc>
        <w:tc>
          <w:tcPr>
            <w:tcW w:w="952"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10%</w:t>
            </w:r>
          </w:p>
        </w:tc>
        <w:tc>
          <w:tcPr>
            <w:tcW w:w="2337"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提问与讨论，作业分析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continue"/>
            <w:noWrap/>
            <w:vAlign w:val="center"/>
          </w:tcPr>
          <w:p>
            <w:pPr>
              <w:autoSpaceDE w:val="0"/>
              <w:autoSpaceDN w:val="0"/>
              <w:adjustRightInd w:val="0"/>
              <w:jc w:val="center"/>
              <w:rPr>
                <w:rFonts w:ascii="Times New Roman" w:hAnsi="Times New Roman" w:eastAsia="宋体"/>
                <w:color w:val="auto"/>
                <w:kern w:val="0"/>
                <w:szCs w:val="21"/>
                <w:highlight w:val="none"/>
              </w:rPr>
            </w:pPr>
          </w:p>
        </w:tc>
        <w:tc>
          <w:tcPr>
            <w:tcW w:w="3569"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技能考核</w:t>
            </w:r>
          </w:p>
        </w:tc>
        <w:tc>
          <w:tcPr>
            <w:tcW w:w="952"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20%</w:t>
            </w:r>
          </w:p>
        </w:tc>
        <w:tc>
          <w:tcPr>
            <w:tcW w:w="2337"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动手操作，作品质量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continue"/>
            <w:noWrap/>
            <w:vAlign w:val="center"/>
          </w:tcPr>
          <w:p>
            <w:pPr>
              <w:autoSpaceDE w:val="0"/>
              <w:autoSpaceDN w:val="0"/>
              <w:adjustRightInd w:val="0"/>
              <w:jc w:val="center"/>
              <w:rPr>
                <w:rFonts w:ascii="Times New Roman" w:hAnsi="Times New Roman" w:eastAsia="宋体"/>
                <w:color w:val="auto"/>
                <w:kern w:val="0"/>
                <w:szCs w:val="21"/>
                <w:highlight w:val="none"/>
              </w:rPr>
            </w:pPr>
          </w:p>
        </w:tc>
        <w:tc>
          <w:tcPr>
            <w:tcW w:w="3569"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态度考核</w:t>
            </w:r>
          </w:p>
        </w:tc>
        <w:tc>
          <w:tcPr>
            <w:tcW w:w="952"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20%</w:t>
            </w:r>
          </w:p>
        </w:tc>
        <w:tc>
          <w:tcPr>
            <w:tcW w:w="2337"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出勤纪律，工作态度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continue"/>
            <w:noWrap/>
            <w:vAlign w:val="center"/>
          </w:tcPr>
          <w:p>
            <w:pPr>
              <w:autoSpaceDE w:val="0"/>
              <w:autoSpaceDN w:val="0"/>
              <w:adjustRightInd w:val="0"/>
              <w:jc w:val="center"/>
              <w:rPr>
                <w:rFonts w:ascii="Times New Roman" w:hAnsi="Times New Roman" w:eastAsia="宋体"/>
                <w:color w:val="auto"/>
                <w:kern w:val="0"/>
                <w:szCs w:val="21"/>
                <w:highlight w:val="none"/>
              </w:rPr>
            </w:pPr>
          </w:p>
        </w:tc>
        <w:tc>
          <w:tcPr>
            <w:tcW w:w="3569"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期末考试</w:t>
            </w:r>
          </w:p>
        </w:tc>
        <w:tc>
          <w:tcPr>
            <w:tcW w:w="952"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20%</w:t>
            </w:r>
          </w:p>
        </w:tc>
        <w:tc>
          <w:tcPr>
            <w:tcW w:w="2337"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书面考试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restart"/>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学生自评（10%）</w:t>
            </w:r>
          </w:p>
        </w:tc>
        <w:tc>
          <w:tcPr>
            <w:tcW w:w="3569"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基本技能的获得</w:t>
            </w:r>
          </w:p>
        </w:tc>
        <w:tc>
          <w:tcPr>
            <w:tcW w:w="952"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6%</w:t>
            </w:r>
          </w:p>
        </w:tc>
        <w:tc>
          <w:tcPr>
            <w:tcW w:w="2337" w:type="dxa"/>
            <w:vMerge w:val="restart"/>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问卷调查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522" w:type="dxa"/>
            <w:vMerge w:val="continue"/>
            <w:noWrap/>
            <w:vAlign w:val="center"/>
          </w:tcPr>
          <w:p>
            <w:pPr>
              <w:autoSpaceDE w:val="0"/>
              <w:autoSpaceDN w:val="0"/>
              <w:adjustRightInd w:val="0"/>
              <w:jc w:val="center"/>
              <w:rPr>
                <w:rFonts w:ascii="Times New Roman" w:hAnsi="Times New Roman" w:eastAsia="宋体"/>
                <w:color w:val="auto"/>
                <w:kern w:val="0"/>
                <w:szCs w:val="21"/>
                <w:highlight w:val="none"/>
              </w:rPr>
            </w:pPr>
          </w:p>
        </w:tc>
        <w:tc>
          <w:tcPr>
            <w:tcW w:w="3569"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其它能力获得</w:t>
            </w:r>
          </w:p>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（创新能力、自主学习能力等）</w:t>
            </w:r>
          </w:p>
        </w:tc>
        <w:tc>
          <w:tcPr>
            <w:tcW w:w="952"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4%</w:t>
            </w:r>
          </w:p>
        </w:tc>
        <w:tc>
          <w:tcPr>
            <w:tcW w:w="2337" w:type="dxa"/>
            <w:vMerge w:val="continue"/>
            <w:noWrap/>
            <w:vAlign w:val="center"/>
          </w:tcPr>
          <w:p>
            <w:pPr>
              <w:autoSpaceDE w:val="0"/>
              <w:autoSpaceDN w:val="0"/>
              <w:adjustRightInd w:val="0"/>
              <w:jc w:val="center"/>
              <w:rPr>
                <w:rFonts w:ascii="Times New Roman" w:hAnsi="Times New Roman" w:eastAsia="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restart"/>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企业评价（20%）</w:t>
            </w:r>
          </w:p>
        </w:tc>
        <w:tc>
          <w:tcPr>
            <w:tcW w:w="3569"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工作态度</w:t>
            </w:r>
          </w:p>
        </w:tc>
        <w:tc>
          <w:tcPr>
            <w:tcW w:w="952"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8%</w:t>
            </w:r>
          </w:p>
        </w:tc>
        <w:tc>
          <w:tcPr>
            <w:tcW w:w="2337" w:type="dxa"/>
            <w:vMerge w:val="restart"/>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访问调查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22" w:type="dxa"/>
            <w:vMerge w:val="continue"/>
            <w:noWrap/>
            <w:vAlign w:val="center"/>
          </w:tcPr>
          <w:p>
            <w:pPr>
              <w:autoSpaceDE w:val="0"/>
              <w:autoSpaceDN w:val="0"/>
              <w:adjustRightInd w:val="0"/>
              <w:jc w:val="center"/>
              <w:rPr>
                <w:rFonts w:ascii="Times New Roman" w:hAnsi="Times New Roman" w:eastAsia="宋体"/>
                <w:color w:val="auto"/>
                <w:kern w:val="0"/>
                <w:szCs w:val="21"/>
                <w:highlight w:val="none"/>
              </w:rPr>
            </w:pPr>
          </w:p>
        </w:tc>
        <w:tc>
          <w:tcPr>
            <w:tcW w:w="3569"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工作能力</w:t>
            </w:r>
          </w:p>
        </w:tc>
        <w:tc>
          <w:tcPr>
            <w:tcW w:w="952"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8%</w:t>
            </w:r>
          </w:p>
        </w:tc>
        <w:tc>
          <w:tcPr>
            <w:tcW w:w="2337" w:type="dxa"/>
            <w:vMerge w:val="continue"/>
            <w:noWrap/>
            <w:vAlign w:val="center"/>
          </w:tcPr>
          <w:p>
            <w:pPr>
              <w:autoSpaceDE w:val="0"/>
              <w:autoSpaceDN w:val="0"/>
              <w:adjustRightInd w:val="0"/>
              <w:jc w:val="center"/>
              <w:rPr>
                <w:rFonts w:ascii="Times New Roman" w:hAnsi="Times New Roman" w:eastAsia="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522" w:type="dxa"/>
            <w:vMerge w:val="continue"/>
            <w:noWrap/>
            <w:vAlign w:val="center"/>
          </w:tcPr>
          <w:p>
            <w:pPr>
              <w:autoSpaceDE w:val="0"/>
              <w:autoSpaceDN w:val="0"/>
              <w:adjustRightInd w:val="0"/>
              <w:jc w:val="center"/>
              <w:rPr>
                <w:rFonts w:ascii="Times New Roman" w:hAnsi="Times New Roman" w:eastAsia="宋体"/>
                <w:color w:val="auto"/>
                <w:kern w:val="0"/>
                <w:szCs w:val="21"/>
                <w:highlight w:val="none"/>
              </w:rPr>
            </w:pPr>
          </w:p>
        </w:tc>
        <w:tc>
          <w:tcPr>
            <w:tcW w:w="3569"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团队意识</w:t>
            </w:r>
          </w:p>
        </w:tc>
        <w:tc>
          <w:tcPr>
            <w:tcW w:w="952" w:type="dxa"/>
            <w:noWrap/>
            <w:vAlign w:val="center"/>
          </w:tcPr>
          <w:p>
            <w:pPr>
              <w:autoSpaceDE w:val="0"/>
              <w:autoSpaceDN w:val="0"/>
              <w:adjustRightInd w:val="0"/>
              <w:jc w:val="center"/>
              <w:rPr>
                <w:rFonts w:ascii="Times New Roman" w:hAnsi="Times New Roman" w:eastAsia="宋体"/>
                <w:color w:val="auto"/>
                <w:kern w:val="0"/>
                <w:szCs w:val="21"/>
                <w:highlight w:val="none"/>
              </w:rPr>
            </w:pPr>
            <w:r>
              <w:rPr>
                <w:rFonts w:ascii="Times New Roman" w:hAnsi="Times New Roman" w:eastAsia="宋体"/>
                <w:color w:val="auto"/>
                <w:kern w:val="0"/>
                <w:szCs w:val="21"/>
                <w:highlight w:val="none"/>
              </w:rPr>
              <w:t>4%</w:t>
            </w:r>
          </w:p>
        </w:tc>
        <w:tc>
          <w:tcPr>
            <w:tcW w:w="2337" w:type="dxa"/>
            <w:vMerge w:val="continue"/>
            <w:noWrap/>
            <w:vAlign w:val="center"/>
          </w:tcPr>
          <w:p>
            <w:pPr>
              <w:autoSpaceDE w:val="0"/>
              <w:autoSpaceDN w:val="0"/>
              <w:adjustRightInd w:val="0"/>
              <w:jc w:val="center"/>
              <w:rPr>
                <w:rFonts w:ascii="Times New Roman" w:hAnsi="Times New Roman" w:eastAsia="宋体"/>
                <w:color w:val="auto"/>
                <w:kern w:val="0"/>
                <w:szCs w:val="21"/>
                <w:highlight w:val="none"/>
              </w:rPr>
            </w:pPr>
          </w:p>
        </w:tc>
      </w:tr>
    </w:tbl>
    <w:p>
      <w:pPr>
        <w:spacing w:line="360" w:lineRule="auto"/>
        <w:ind w:firstLine="360" w:firstLineChars="150"/>
        <w:rPr>
          <w:rFonts w:ascii="Times New Roman" w:hAnsi="Times New Roman" w:eastAsia="宋体"/>
          <w:color w:val="auto"/>
          <w:sz w:val="24"/>
          <w:highlight w:val="none"/>
        </w:rPr>
      </w:pP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（七）教学建议</w:t>
      </w:r>
    </w:p>
    <w:p>
      <w:pPr>
        <w:spacing w:line="360" w:lineRule="auto"/>
        <w:rPr>
          <w:rFonts w:ascii="Times New Roman" w:hAnsi="Times New Roman" w:eastAsia="宋体"/>
          <w:color w:val="auto"/>
          <w:sz w:val="24"/>
          <w:highlight w:val="none"/>
        </w:rPr>
      </w:pPr>
      <w:r>
        <w:rPr>
          <w:rFonts w:hint="eastAsia" w:ascii="Times New Roman" w:hAnsi="Times New Roman" w:eastAsia="宋体"/>
          <w:color w:val="auto"/>
          <w:sz w:val="24"/>
          <w:highlight w:val="none"/>
        </w:rPr>
        <w:t xml:space="preserve">    重视基础知识，加强学生的动手能力，借助现代化的教学手段，激发学生的学习兴趣，重视在教学过程中，激发和训练学生的创新思维，尽量与社会、生产生活相联系，培养学生的综合能力。</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（八）选用教材标及推荐教材和参考用书（或课程网站）</w:t>
      </w:r>
    </w:p>
    <w:bookmarkEnd w:id="63"/>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1</w:t>
      </w:r>
      <w:r>
        <w:rPr>
          <w:rFonts w:hint="eastAsia" w:ascii="Times New Roman" w:hAnsi="Times New Roman" w:eastAsia="宋体"/>
          <w:color w:val="auto"/>
          <w:kern w:val="0"/>
          <w:sz w:val="24"/>
          <w:highlight w:val="none"/>
          <w:lang w:eastAsia="zh-CN"/>
        </w:rPr>
        <w:t>.</w:t>
      </w:r>
      <w:r>
        <w:rPr>
          <w:rFonts w:hint="eastAsia" w:ascii="Times New Roman" w:hAnsi="Times New Roman" w:eastAsia="宋体"/>
          <w:color w:val="auto"/>
          <w:kern w:val="0"/>
          <w:sz w:val="24"/>
          <w:highlight w:val="none"/>
        </w:rPr>
        <w:t>推荐教材：</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（1）</w:t>
      </w:r>
      <w:r>
        <w:rPr>
          <w:color w:val="auto"/>
          <w:highlight w:val="none"/>
        </w:rPr>
        <w:fldChar w:fldCharType="begin"/>
      </w:r>
      <w:r>
        <w:rPr>
          <w:color w:val="auto"/>
          <w:highlight w:val="none"/>
        </w:rPr>
        <w:instrText xml:space="preserve"> HYPERLINK "http://search.bookuu.com/cd%5Bkeywords%5D_%25E5%2591%25A8%25E9%2595%25BF%25E4%25B8%25BD%2B%25E7%2594%25B0%25E6%25B5%25B7%25E7%258E%25B2.html" \t "_blank" \o "周长丽//田海玲" </w:instrText>
      </w:r>
      <w:r>
        <w:rPr>
          <w:color w:val="auto"/>
          <w:highlight w:val="none"/>
        </w:rPr>
        <w:fldChar w:fldCharType="separate"/>
      </w:r>
      <w:r>
        <w:rPr>
          <w:rFonts w:hint="eastAsia" w:ascii="Times New Roman" w:hAnsi="Times New Roman" w:eastAsia="宋体"/>
          <w:color w:val="auto"/>
          <w:kern w:val="0"/>
          <w:sz w:val="24"/>
          <w:highlight w:val="none"/>
        </w:rPr>
        <w:t>周长丽</w:t>
      </w:r>
      <w:r>
        <w:rPr>
          <w:rFonts w:hint="eastAsia" w:ascii="Times New Roman" w:hAnsi="Times New Roman" w:eastAsia="宋体"/>
          <w:color w:val="auto"/>
          <w:kern w:val="0"/>
          <w:sz w:val="24"/>
          <w:highlight w:val="none"/>
        </w:rPr>
        <w:fldChar w:fldCharType="end"/>
      </w:r>
      <w:r>
        <w:rPr>
          <w:rFonts w:hint="eastAsia" w:ascii="Times New Roman" w:hAnsi="Times New Roman" w:eastAsia="宋体"/>
          <w:color w:val="auto"/>
          <w:kern w:val="0"/>
          <w:sz w:val="24"/>
          <w:highlight w:val="none"/>
        </w:rPr>
        <w:t>. 化工单元操作. 化学工业出版社. 2010.</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（2）杨祖荣. 化工原理. 北京：高等教育出版社. 2008.</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2</w:t>
      </w:r>
      <w:r>
        <w:rPr>
          <w:rFonts w:hint="eastAsia" w:ascii="Times New Roman" w:hAnsi="Times New Roman" w:eastAsia="宋体"/>
          <w:color w:val="auto"/>
          <w:kern w:val="0"/>
          <w:sz w:val="24"/>
          <w:highlight w:val="none"/>
          <w:lang w:eastAsia="zh-CN"/>
        </w:rPr>
        <w:t>.</w:t>
      </w:r>
      <w:r>
        <w:rPr>
          <w:rFonts w:hint="eastAsia" w:ascii="Times New Roman" w:hAnsi="Times New Roman" w:eastAsia="宋体"/>
          <w:color w:val="auto"/>
          <w:kern w:val="0"/>
          <w:sz w:val="24"/>
          <w:highlight w:val="none"/>
        </w:rPr>
        <w:t>参考教学资料</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（1）陆美娟．化工原理．北京：化学工业出版社. 2008．</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（2）李居参. 化工单元操作实用技术. 高等教育出版社. 2008.</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（3）刘爱民. 化工单元操作技术. 高等教育出版社. 2006。</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（4）陈敏垣．化工原理．北京：化学工业出版社. 2004.</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（5）贾绍义编. 化工原理课程设计. 天津大学出版社. 2002.</w:t>
      </w:r>
    </w:p>
    <w:p>
      <w:pPr>
        <w:autoSpaceDE w:val="0"/>
        <w:autoSpaceDN w:val="0"/>
        <w:adjustRightInd w:val="0"/>
        <w:spacing w:line="360" w:lineRule="auto"/>
        <w:ind w:firstLine="480" w:firstLineChars="200"/>
        <w:rPr>
          <w:rFonts w:ascii="Times New Roman" w:hAnsi="Times New Roman" w:eastAsia="宋体"/>
          <w:color w:val="auto"/>
          <w:kern w:val="0"/>
          <w:sz w:val="24"/>
          <w:highlight w:val="none"/>
        </w:rPr>
      </w:pPr>
      <w:r>
        <w:rPr>
          <w:rFonts w:hint="eastAsia" w:ascii="Times New Roman" w:hAnsi="Times New Roman" w:eastAsia="宋体"/>
          <w:color w:val="auto"/>
          <w:kern w:val="0"/>
          <w:sz w:val="24"/>
          <w:highlight w:val="none"/>
        </w:rPr>
        <w:t>（6）化学工程手册编委会编. 化学工程手册. 化学工业出版社. 1996.</w:t>
      </w:r>
    </w:p>
    <w:p>
      <w:pPr>
        <w:autoSpaceDE w:val="0"/>
        <w:autoSpaceDN w:val="0"/>
        <w:adjustRightInd w:val="0"/>
        <w:spacing w:line="360" w:lineRule="auto"/>
        <w:ind w:firstLine="480" w:firstLineChars="200"/>
        <w:rPr>
          <w:rFonts w:ascii="宋体" w:hAnsi="宋体"/>
          <w:color w:val="auto"/>
          <w:kern w:val="0"/>
          <w:sz w:val="24"/>
          <w:highlight w:val="none"/>
        </w:rPr>
      </w:pPr>
      <w:r>
        <w:rPr>
          <w:rFonts w:hint="eastAsia" w:ascii="Times New Roman" w:hAnsi="Times New Roman" w:eastAsia="宋体"/>
          <w:color w:val="auto"/>
          <w:kern w:val="0"/>
          <w:sz w:val="24"/>
          <w:highlight w:val="none"/>
        </w:rPr>
        <w:t>（7）国家精品课程资源网</w:t>
      </w:r>
      <w:r>
        <w:rPr>
          <w:rFonts w:ascii="Times New Roman" w:hAnsi="Times New Roman" w:cs="Times New Roman"/>
          <w:color w:val="auto"/>
          <w:kern w:val="0"/>
          <w:sz w:val="24"/>
          <w:highlight w:val="none"/>
        </w:rPr>
        <w:t xml:space="preserve"> </w:t>
      </w:r>
      <w:r>
        <w:rPr>
          <w:color w:val="auto"/>
          <w:highlight w:val="none"/>
        </w:rPr>
        <w:fldChar w:fldCharType="begin"/>
      </w:r>
      <w:r>
        <w:rPr>
          <w:color w:val="auto"/>
          <w:highlight w:val="none"/>
        </w:rPr>
        <w:instrText xml:space="preserve"> HYPERLINK "http://www.jingpinke.com/" </w:instrText>
      </w:r>
      <w:r>
        <w:rPr>
          <w:color w:val="auto"/>
          <w:highlight w:val="none"/>
        </w:rPr>
        <w:fldChar w:fldCharType="separate"/>
      </w:r>
      <w:r>
        <w:rPr>
          <w:rFonts w:ascii="Times New Roman" w:hAnsi="Times New Roman" w:cs="Times New Roman"/>
          <w:color w:val="auto"/>
          <w:kern w:val="0"/>
          <w:sz w:val="24"/>
          <w:highlight w:val="none"/>
        </w:rPr>
        <w:t>http://www.jingpinke.com/</w:t>
      </w:r>
      <w:r>
        <w:rPr>
          <w:rFonts w:ascii="Times New Roman" w:hAnsi="Times New Roman" w:cs="Times New Roman"/>
          <w:color w:val="auto"/>
          <w:kern w:val="0"/>
          <w:sz w:val="24"/>
          <w:highlight w:val="none"/>
        </w:rPr>
        <w:fldChar w:fldCharType="end"/>
      </w:r>
    </w:p>
    <w:p>
      <w:pPr>
        <w:pStyle w:val="3"/>
        <w:spacing w:before="0" w:after="0" w:line="360" w:lineRule="auto"/>
        <w:rPr>
          <w:rFonts w:ascii="Times New Roman" w:hAnsi="Times New Roman"/>
          <w:b w:val="0"/>
          <w:bCs/>
          <w:color w:val="auto"/>
          <w:highlight w:val="none"/>
        </w:rPr>
      </w:pPr>
      <w:bookmarkStart w:id="64" w:name="_Toc12836"/>
      <w:r>
        <w:rPr>
          <w:rFonts w:hint="eastAsia" w:ascii="Times New Roman" w:hAnsi="Times New Roman"/>
          <w:b w:val="0"/>
          <w:bCs/>
          <w:color w:val="auto"/>
          <w:highlight w:val="none"/>
        </w:rPr>
        <w:t>二、</w:t>
      </w:r>
      <w:bookmarkEnd w:id="60"/>
      <w:bookmarkEnd w:id="61"/>
      <w:bookmarkEnd w:id="62"/>
      <w:r>
        <w:rPr>
          <w:rFonts w:hint="eastAsia" w:ascii="Times New Roman" w:hAnsi="Times New Roman"/>
          <w:b w:val="0"/>
          <w:bCs/>
          <w:color w:val="auto"/>
          <w:highlight w:val="none"/>
        </w:rPr>
        <w:t>《洁净煤技术》核心课程标准</w:t>
      </w:r>
      <w:bookmarkEnd w:id="64"/>
    </w:p>
    <w:tbl>
      <w:tblPr>
        <w:tblStyle w:val="15"/>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274"/>
        <w:gridCol w:w="162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课程编码</w:t>
            </w:r>
          </w:p>
        </w:tc>
        <w:tc>
          <w:tcPr>
            <w:tcW w:w="3274" w:type="dxa"/>
            <w:noWrap/>
            <w:vAlign w:val="center"/>
          </w:tcPr>
          <w:p>
            <w:pPr>
              <w:spacing w:line="360" w:lineRule="auto"/>
              <w:jc w:val="center"/>
              <w:rPr>
                <w:rFonts w:hint="default" w:eastAsiaTheme="minorEastAsia"/>
                <w:color w:val="auto"/>
                <w:szCs w:val="21"/>
                <w:highlight w:val="none"/>
                <w:lang w:val="en-US" w:eastAsia="zh-CN"/>
              </w:rPr>
            </w:pPr>
            <w:r>
              <w:rPr>
                <w:rFonts w:hint="eastAsia"/>
                <w:color w:val="auto"/>
                <w:szCs w:val="21"/>
                <w:highlight w:val="none"/>
                <w:lang w:val="en-US" w:eastAsia="zh-CN"/>
              </w:rPr>
              <w:t>1003073</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课程类别</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专业学习领域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计划学时</w:t>
            </w:r>
          </w:p>
        </w:tc>
        <w:tc>
          <w:tcPr>
            <w:tcW w:w="3274" w:type="dxa"/>
            <w:noWrap/>
            <w:vAlign w:val="center"/>
          </w:tcPr>
          <w:p>
            <w:pPr>
              <w:spacing w:line="360" w:lineRule="auto"/>
              <w:jc w:val="center"/>
              <w:rPr>
                <w:rFonts w:eastAsia="宋体"/>
                <w:color w:val="auto"/>
                <w:szCs w:val="21"/>
                <w:highlight w:val="none"/>
              </w:rPr>
            </w:pPr>
            <w:r>
              <w:rPr>
                <w:rFonts w:hint="eastAsia"/>
                <w:color w:val="auto"/>
                <w:szCs w:val="21"/>
                <w:highlight w:val="none"/>
              </w:rPr>
              <w:t>72</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课程类型</w:t>
            </w:r>
          </w:p>
        </w:tc>
        <w:tc>
          <w:tcPr>
            <w:tcW w:w="1994" w:type="dxa"/>
            <w:noWrap/>
            <w:vAlign w:val="center"/>
          </w:tcPr>
          <w:p>
            <w:pPr>
              <w:spacing w:line="360" w:lineRule="auto"/>
              <w:jc w:val="center"/>
              <w:rPr>
                <w:color w:val="auto"/>
                <w:szCs w:val="21"/>
                <w:highlight w:val="none"/>
              </w:rPr>
            </w:pPr>
            <w:r>
              <w:rPr>
                <w:color w:val="auto"/>
                <w:szCs w:val="21"/>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适用专业</w:t>
            </w:r>
          </w:p>
        </w:tc>
        <w:tc>
          <w:tcPr>
            <w:tcW w:w="3274" w:type="dxa"/>
            <w:noWrap/>
            <w:vAlign w:val="center"/>
          </w:tcPr>
          <w:p>
            <w:pPr>
              <w:spacing w:line="360" w:lineRule="auto"/>
              <w:jc w:val="center"/>
              <w:rPr>
                <w:rFonts w:eastAsia="宋体"/>
                <w:color w:val="auto"/>
                <w:szCs w:val="21"/>
                <w:highlight w:val="none"/>
              </w:rPr>
            </w:pPr>
            <w:r>
              <w:rPr>
                <w:rFonts w:hAnsi="宋体"/>
                <w:color w:val="auto"/>
                <w:szCs w:val="21"/>
                <w:highlight w:val="none"/>
              </w:rPr>
              <w:t>煤</w:t>
            </w:r>
            <w:r>
              <w:rPr>
                <w:rFonts w:hint="eastAsia" w:hAnsi="宋体"/>
                <w:color w:val="auto"/>
                <w:szCs w:val="21"/>
                <w:highlight w:val="none"/>
              </w:rPr>
              <w:t>炭深加工与利用</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课程性质</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开课学期</w:t>
            </w:r>
          </w:p>
        </w:tc>
        <w:tc>
          <w:tcPr>
            <w:tcW w:w="3274" w:type="dxa"/>
            <w:noWrap/>
            <w:vAlign w:val="center"/>
          </w:tcPr>
          <w:p>
            <w:pPr>
              <w:spacing w:line="360" w:lineRule="auto"/>
              <w:jc w:val="center"/>
              <w:rPr>
                <w:color w:val="auto"/>
                <w:szCs w:val="21"/>
                <w:highlight w:val="none"/>
              </w:rPr>
            </w:pPr>
            <w:r>
              <w:rPr>
                <w:rFonts w:hAnsi="宋体"/>
                <w:color w:val="auto"/>
                <w:szCs w:val="21"/>
                <w:highlight w:val="none"/>
              </w:rPr>
              <w:t>第</w:t>
            </w:r>
            <w:r>
              <w:rPr>
                <w:rFonts w:hint="eastAsia"/>
                <w:color w:val="auto"/>
                <w:szCs w:val="21"/>
                <w:highlight w:val="none"/>
              </w:rPr>
              <w:t>4</w:t>
            </w:r>
            <w:r>
              <w:rPr>
                <w:rFonts w:hAnsi="宋体"/>
                <w:color w:val="auto"/>
                <w:szCs w:val="21"/>
                <w:highlight w:val="none"/>
              </w:rPr>
              <w:t>学期</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学分</w:t>
            </w:r>
          </w:p>
        </w:tc>
        <w:tc>
          <w:tcPr>
            <w:tcW w:w="1994" w:type="dxa"/>
            <w:noWrap/>
            <w:vAlign w:val="center"/>
          </w:tcPr>
          <w:p>
            <w:pPr>
              <w:spacing w:line="360" w:lineRule="auto"/>
              <w:jc w:val="center"/>
              <w:rPr>
                <w:rFonts w:eastAsia="宋体"/>
                <w:color w:val="auto"/>
                <w:szCs w:val="21"/>
                <w:highlight w:val="none"/>
              </w:rPr>
            </w:pPr>
            <w:r>
              <w:rPr>
                <w:rFonts w:hint="eastAsia"/>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先行课程</w:t>
            </w:r>
          </w:p>
        </w:tc>
        <w:tc>
          <w:tcPr>
            <w:tcW w:w="3274" w:type="dxa"/>
            <w:noWrap/>
            <w:vAlign w:val="center"/>
          </w:tcPr>
          <w:p>
            <w:pPr>
              <w:spacing w:line="360" w:lineRule="auto"/>
              <w:jc w:val="center"/>
              <w:rPr>
                <w:rFonts w:eastAsia="宋体"/>
                <w:color w:val="auto"/>
                <w:szCs w:val="21"/>
                <w:highlight w:val="none"/>
              </w:rPr>
            </w:pPr>
            <w:r>
              <w:rPr>
                <w:rFonts w:hint="eastAsia" w:hAnsi="宋体"/>
                <w:color w:val="auto"/>
                <w:szCs w:val="21"/>
                <w:highlight w:val="none"/>
              </w:rPr>
              <w:t>化工单元操作、化工设备基础</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开课单位</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晋城职业技术学院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平行课程</w:t>
            </w:r>
          </w:p>
        </w:tc>
        <w:tc>
          <w:tcPr>
            <w:tcW w:w="3274" w:type="dxa"/>
            <w:noWrap/>
            <w:vAlign w:val="center"/>
          </w:tcPr>
          <w:p>
            <w:pPr>
              <w:widowControl/>
              <w:jc w:val="center"/>
              <w:rPr>
                <w:rFonts w:hint="eastAsia"/>
                <w:color w:val="auto"/>
                <w:szCs w:val="21"/>
                <w:highlight w:val="none"/>
              </w:rPr>
            </w:pPr>
            <w:r>
              <w:rPr>
                <w:rFonts w:hint="eastAsia"/>
                <w:color w:val="auto"/>
                <w:szCs w:val="21"/>
                <w:highlight w:val="none"/>
              </w:rPr>
              <w:t>煤炭气化、</w:t>
            </w:r>
            <w:r>
              <w:rPr>
                <w:rFonts w:hint="eastAsia"/>
                <w:color w:val="auto"/>
                <w:szCs w:val="21"/>
                <w:highlight w:val="none"/>
                <w:lang w:val="en-US" w:eastAsia="zh-CN"/>
              </w:rPr>
              <w:t>现代</w:t>
            </w:r>
            <w:r>
              <w:rPr>
                <w:rFonts w:hint="eastAsia"/>
                <w:color w:val="auto"/>
                <w:szCs w:val="21"/>
                <w:highlight w:val="none"/>
              </w:rPr>
              <w:t>煤化工技术、</w:t>
            </w:r>
          </w:p>
          <w:p>
            <w:pPr>
              <w:widowControl/>
              <w:jc w:val="center"/>
              <w:rPr>
                <w:rFonts w:eastAsia="宋体"/>
                <w:color w:val="auto"/>
                <w:szCs w:val="21"/>
                <w:highlight w:val="none"/>
              </w:rPr>
            </w:pPr>
            <w:r>
              <w:rPr>
                <w:rFonts w:hint="eastAsia"/>
                <w:color w:val="auto"/>
                <w:szCs w:val="21"/>
                <w:highlight w:val="none"/>
              </w:rPr>
              <w:t>煤质检验</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考核类型</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后继课程</w:t>
            </w:r>
          </w:p>
        </w:tc>
        <w:tc>
          <w:tcPr>
            <w:tcW w:w="6888" w:type="dxa"/>
            <w:gridSpan w:val="3"/>
            <w:noWrap/>
            <w:vAlign w:val="center"/>
          </w:tcPr>
          <w:p>
            <w:pPr>
              <w:spacing w:line="360" w:lineRule="auto"/>
              <w:jc w:val="center"/>
              <w:rPr>
                <w:color w:val="auto"/>
                <w:szCs w:val="21"/>
                <w:highlight w:val="none"/>
              </w:rPr>
            </w:pPr>
            <w:r>
              <w:rPr>
                <w:rFonts w:hint="eastAsia"/>
                <w:color w:val="auto"/>
                <w:szCs w:val="21"/>
                <w:highlight w:val="none"/>
              </w:rPr>
              <w:t>跟岗实习、顶岗实习</w:t>
            </w:r>
          </w:p>
        </w:tc>
      </w:tr>
    </w:tbl>
    <w:p>
      <w:pPr>
        <w:tabs>
          <w:tab w:val="left" w:pos="567"/>
        </w:tabs>
        <w:spacing w:line="360" w:lineRule="auto"/>
        <w:rPr>
          <w:rFonts w:ascii="宋体" w:hAnsi="宋体"/>
          <w:color w:val="auto"/>
          <w:sz w:val="24"/>
          <w:highlight w:val="none"/>
        </w:rPr>
      </w:pP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（一）课程性质与定位</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eastAsia="zh-CN"/>
        </w:rPr>
        <w:t>.</w:t>
      </w:r>
      <w:r>
        <w:rPr>
          <w:rFonts w:hint="eastAsia" w:ascii="宋体" w:hAnsi="宋体"/>
          <w:color w:val="auto"/>
          <w:sz w:val="24"/>
          <w:highlight w:val="none"/>
        </w:rPr>
        <w:t>课程性质</w:t>
      </w:r>
    </w:p>
    <w:p>
      <w:pPr>
        <w:spacing w:line="360" w:lineRule="auto"/>
        <w:ind w:firstLine="480" w:firstLineChars="200"/>
        <w:rPr>
          <w:color w:val="auto"/>
          <w:sz w:val="24"/>
          <w:highlight w:val="none"/>
        </w:rPr>
      </w:pPr>
      <w:r>
        <w:rPr>
          <w:color w:val="auto"/>
          <w:sz w:val="24"/>
          <w:highlight w:val="none"/>
        </w:rPr>
        <w:t>本课程是</w:t>
      </w:r>
      <w:r>
        <w:rPr>
          <w:rFonts w:hint="eastAsia"/>
          <w:color w:val="auto"/>
          <w:sz w:val="24"/>
          <w:highlight w:val="none"/>
        </w:rPr>
        <w:t>煤炭深加工与利用的</w:t>
      </w:r>
      <w:r>
        <w:rPr>
          <w:color w:val="auto"/>
          <w:sz w:val="24"/>
          <w:highlight w:val="none"/>
        </w:rPr>
        <w:t>专业必修课。</w:t>
      </w:r>
      <w:r>
        <w:rPr>
          <w:rFonts w:hint="eastAsia"/>
          <w:color w:val="auto"/>
          <w:sz w:val="24"/>
          <w:highlight w:val="none"/>
        </w:rPr>
        <w:t>课程从生产实际出发，通过典型的洁净煤技术工程示例，讲述了煤炭深加工与利用、选煤技术、煤质分析、洁净煤技术等和煤相关专业知识，同时也反映了反映了当前洁净煤技术的最新成果</w:t>
      </w:r>
      <w:r>
        <w:rPr>
          <w:color w:val="auto"/>
          <w:sz w:val="24"/>
          <w:highlight w:val="none"/>
        </w:rPr>
        <w:t>。</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highlight w:val="none"/>
          <w:lang w:eastAsia="zh-CN"/>
        </w:rPr>
        <w:t>.</w:t>
      </w:r>
      <w:r>
        <w:rPr>
          <w:rFonts w:hint="eastAsia" w:ascii="宋体" w:hAnsi="宋体"/>
          <w:color w:val="auto"/>
          <w:sz w:val="24"/>
          <w:highlight w:val="none"/>
        </w:rPr>
        <w:t>课程定位</w:t>
      </w:r>
    </w:p>
    <w:p>
      <w:pPr>
        <w:spacing w:line="360" w:lineRule="auto"/>
        <w:ind w:firstLine="480" w:firstLineChars="200"/>
        <w:rPr>
          <w:rFonts w:ascii="宋体" w:hAnsi="宋体"/>
          <w:bCs/>
          <w:color w:val="auto"/>
          <w:sz w:val="24"/>
          <w:highlight w:val="none"/>
        </w:rPr>
      </w:pPr>
      <w:r>
        <w:rPr>
          <w:rFonts w:hint="eastAsia" w:ascii="宋体" w:hAnsi="宋体"/>
          <w:color w:val="auto"/>
          <w:sz w:val="24"/>
          <w:highlight w:val="none"/>
        </w:rPr>
        <w:t>本课程是煤炭深加工与利用专业的专业核心类课程，专业课程体系符合高职高专教育类高端技能型人才培养目标和专业相关技术领域职业岗位（群）的任职要求，对学生职业能力培养和职业素养养成起主要支撑或明显促进作用，与《化工仪表》、《化工安全技术》、《化工单元操作》、《化工设备》、等前续课程密切衔接，为后续跟岗实习、顶岗实习等打下坚实的基础，同时注重培养学生的方法能力及社会能力，最终形成化工生产的职业综合能力。</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（二）课程设计理念</w:t>
      </w:r>
    </w:p>
    <w:p>
      <w:pPr>
        <w:spacing w:line="360" w:lineRule="auto"/>
        <w:ind w:firstLine="480" w:firstLineChars="200"/>
        <w:rPr>
          <w:rFonts w:hAnsi="宋体"/>
          <w:color w:val="auto"/>
          <w:sz w:val="24"/>
          <w:highlight w:val="none"/>
        </w:rPr>
      </w:pPr>
      <w:r>
        <w:rPr>
          <w:rFonts w:hAnsi="宋体"/>
          <w:color w:val="auto"/>
          <w:sz w:val="24"/>
          <w:highlight w:val="none"/>
        </w:rPr>
        <w:t>针对本课程实践性及实用性强的特点，我们在充分对企业岗位设置及岗位能力需求进行调研的基础上，以工作过程为导向，以职业能力培养为重点，与行业企业合作进行基于工作过程系统化的课程开发与设计，充分体现职业性、实践性和开放性的要求。在课程设置中，按职业岗位工作过程的完整性配置课程、构建课程体系；按典型工作任务需求选择能反映职业标准课程内容。培养学生良好的职业道德和职业素质，理论联系实际解决实际生产问题的能力。</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（三）课程目标</w:t>
      </w:r>
    </w:p>
    <w:p>
      <w:pPr>
        <w:pStyle w:val="14"/>
        <w:spacing w:beforeAutospacing="0" w:afterAutospacing="0" w:line="360" w:lineRule="auto"/>
        <w:ind w:firstLine="480" w:firstLineChars="200"/>
        <w:jc w:val="both"/>
        <w:rPr>
          <w:color w:val="auto"/>
          <w:highlight w:val="none"/>
        </w:rPr>
      </w:pPr>
      <w:r>
        <w:rPr>
          <w:rFonts w:hint="eastAsia"/>
          <w:color w:val="auto"/>
          <w:highlight w:val="none"/>
        </w:rPr>
        <w:t>1</w:t>
      </w:r>
      <w:r>
        <w:rPr>
          <w:rFonts w:hint="eastAsia"/>
          <w:color w:val="auto"/>
          <w:highlight w:val="none"/>
          <w:lang w:eastAsia="zh-CN"/>
        </w:rPr>
        <w:t>.</w:t>
      </w:r>
      <w:r>
        <w:rPr>
          <w:rFonts w:hint="eastAsia"/>
          <w:color w:val="auto"/>
          <w:highlight w:val="none"/>
        </w:rPr>
        <w:t>专业知识</w:t>
      </w:r>
    </w:p>
    <w:p>
      <w:pPr>
        <w:pStyle w:val="14"/>
        <w:spacing w:beforeAutospacing="0" w:afterAutospacing="0" w:line="360" w:lineRule="auto"/>
        <w:ind w:firstLine="480" w:firstLineChars="200"/>
        <w:jc w:val="both"/>
        <w:rPr>
          <w:color w:val="auto"/>
          <w:highlight w:val="none"/>
        </w:rPr>
      </w:pPr>
      <w:r>
        <w:rPr>
          <w:color w:val="auto"/>
          <w:highlight w:val="none"/>
        </w:rPr>
        <w:t>通过本门课程学习，</w:t>
      </w:r>
      <w:r>
        <w:rPr>
          <w:rFonts w:hint="eastAsia"/>
          <w:color w:val="auto"/>
          <w:highlight w:val="none"/>
        </w:rPr>
        <w:t>使学生能够结合中国能源化工基地发展循环型经济的实际，较系统地了解煤炭加工利用与环境问题；煤炭加工转化主要新技术、新工艺；煤炭洁净燃烧新技术与工艺；煤炭清洁开采新技术、新方法；煤炭共伴生资源综合利用技术；洁净煤技术领域的发展趋势</w:t>
      </w:r>
      <w:r>
        <w:rPr>
          <w:color w:val="auto"/>
          <w:highlight w:val="none"/>
        </w:rPr>
        <w:t>。</w:t>
      </w:r>
    </w:p>
    <w:p>
      <w:pPr>
        <w:pStyle w:val="14"/>
        <w:spacing w:beforeAutospacing="0" w:afterAutospacing="0" w:line="360" w:lineRule="auto"/>
        <w:ind w:firstLine="480" w:firstLineChars="200"/>
        <w:jc w:val="both"/>
        <w:rPr>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专业技能</w:t>
      </w:r>
    </w:p>
    <w:p>
      <w:pPr>
        <w:pStyle w:val="14"/>
        <w:spacing w:beforeAutospacing="0" w:afterAutospacing="0" w:line="360" w:lineRule="auto"/>
        <w:ind w:firstLine="480" w:firstLineChars="200"/>
        <w:jc w:val="both"/>
        <w:rPr>
          <w:color w:val="auto"/>
          <w:highlight w:val="none"/>
        </w:rPr>
      </w:pPr>
      <w:r>
        <w:rPr>
          <w:rFonts w:hint="eastAsia"/>
          <w:color w:val="auto"/>
          <w:highlight w:val="none"/>
        </w:rPr>
        <w:t>通过本课程的学习，会查阅有关工程计算图表和手册，能借助工程计算图表和手册进行简单的操作型和设计型计算；能识读带控制点的工艺流程图、配管图、设备平面布置图等，并能进行简单的管路设计与布置；能根据具体生产任务要求及物料特性，选择合适的操作及设备；</w:t>
      </w:r>
    </w:p>
    <w:p>
      <w:pPr>
        <w:pStyle w:val="14"/>
        <w:numPr>
          <w:ilvl w:val="0"/>
          <w:numId w:val="4"/>
        </w:numPr>
        <w:spacing w:beforeAutospacing="0" w:afterAutospacing="0" w:line="360" w:lineRule="auto"/>
        <w:ind w:firstLine="480" w:firstLineChars="200"/>
        <w:jc w:val="both"/>
        <w:rPr>
          <w:rFonts w:hint="eastAsia"/>
          <w:color w:val="auto"/>
          <w:highlight w:val="none"/>
          <w:lang w:val="en-US" w:eastAsia="zh-CN"/>
        </w:rPr>
      </w:pPr>
      <w:r>
        <w:rPr>
          <w:rFonts w:hint="eastAsia"/>
          <w:color w:val="auto"/>
          <w:highlight w:val="none"/>
          <w:lang w:val="en-US" w:eastAsia="zh-CN"/>
        </w:rPr>
        <w:t>职业素质</w:t>
      </w:r>
    </w:p>
    <w:p>
      <w:pPr>
        <w:pStyle w:val="14"/>
        <w:numPr>
          <w:ilvl w:val="0"/>
          <w:numId w:val="0"/>
        </w:numPr>
        <w:spacing w:beforeAutospacing="0" w:afterAutospacing="0" w:line="360" w:lineRule="auto"/>
        <w:ind w:firstLine="480" w:firstLineChars="200"/>
        <w:jc w:val="both"/>
        <w:rPr>
          <w:rFonts w:hint="eastAsia"/>
          <w:color w:val="auto"/>
          <w:highlight w:val="none"/>
        </w:rPr>
      </w:pPr>
      <w:r>
        <w:rPr>
          <w:rFonts w:hint="eastAsia"/>
          <w:color w:val="auto"/>
          <w:highlight w:val="none"/>
        </w:rPr>
        <w:t>通过本课程的学习，培养学生自我学习、独立思考的能力，追求乐于探索、勇于创新的精神；培养学生形成劳动保护、节能减排、安全生产、清洁生产的意识；培养学生敬业爱岗、严格遵守操作规程的职业道德。</w:t>
      </w:r>
    </w:p>
    <w:p>
      <w:pPr>
        <w:numPr>
          <w:ilvl w:val="0"/>
          <w:numId w:val="0"/>
        </w:num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（四）课程教学内容及学时分配</w:t>
      </w:r>
    </w:p>
    <w:p>
      <w:pPr>
        <w:spacing w:line="360" w:lineRule="auto"/>
        <w:ind w:left="480"/>
        <w:jc w:val="center"/>
        <w:rPr>
          <w:rFonts w:ascii="宋体" w:hAnsi="宋体"/>
          <w:color w:val="auto"/>
          <w:sz w:val="24"/>
          <w:highlight w:val="none"/>
        </w:rPr>
      </w:pPr>
      <w:r>
        <w:rPr>
          <w:rFonts w:hint="eastAsia" w:ascii="宋体" w:hAnsi="宋体"/>
          <w:color w:val="auto"/>
          <w:sz w:val="24"/>
          <w:highlight w:val="none"/>
        </w:rPr>
        <w:t xml:space="preserve">4.3 </w:t>
      </w:r>
      <w:r>
        <w:rPr>
          <w:rFonts w:hint="eastAsia" w:ascii="宋体" w:hAnsi="宋体"/>
          <w:color w:val="auto"/>
          <w:kern w:val="0"/>
          <w:sz w:val="24"/>
          <w:highlight w:val="none"/>
        </w:rPr>
        <w:t>《</w:t>
      </w:r>
      <w:r>
        <w:rPr>
          <w:rFonts w:hint="eastAsia" w:ascii="宋体" w:hAnsi="宋体" w:cs="宋体"/>
          <w:color w:val="auto"/>
          <w:sz w:val="24"/>
          <w:highlight w:val="none"/>
        </w:rPr>
        <w:t>洁净煤技术</w:t>
      </w:r>
      <w:r>
        <w:rPr>
          <w:rFonts w:hint="eastAsia" w:ascii="宋体" w:hAnsi="宋体"/>
          <w:color w:val="auto"/>
          <w:kern w:val="0"/>
          <w:sz w:val="24"/>
          <w:highlight w:val="none"/>
        </w:rPr>
        <w:t>》</w:t>
      </w:r>
      <w:r>
        <w:rPr>
          <w:rFonts w:hAnsi="宋体"/>
          <w:color w:val="auto"/>
          <w:kern w:val="0"/>
          <w:sz w:val="24"/>
          <w:highlight w:val="none"/>
        </w:rPr>
        <w:t>课程教学内容及学时安排</w:t>
      </w:r>
    </w:p>
    <w:tbl>
      <w:tblPr>
        <w:tblStyle w:val="15"/>
        <w:tblW w:w="8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2512"/>
        <w:gridCol w:w="3550"/>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250" w:type="dxa"/>
            <w:noWrap/>
            <w:vAlign w:val="center"/>
          </w:tcPr>
          <w:p>
            <w:pPr>
              <w:pStyle w:val="7"/>
              <w:snapToGrid w:val="0"/>
              <w:spacing w:line="440" w:lineRule="exact"/>
              <w:jc w:val="center"/>
              <w:rPr>
                <w:rFonts w:asciiTheme="majorEastAsia" w:hAnsiTheme="majorEastAsia" w:eastAsiaTheme="majorEastAsia" w:cstheme="majorEastAsia"/>
                <w:bCs/>
                <w:color w:val="auto"/>
                <w:highlight w:val="none"/>
              </w:rPr>
            </w:pPr>
            <w:r>
              <w:rPr>
                <w:rFonts w:hint="eastAsia" w:asciiTheme="majorEastAsia" w:hAnsiTheme="majorEastAsia" w:eastAsiaTheme="majorEastAsia" w:cstheme="majorEastAsia"/>
                <w:bCs/>
                <w:color w:val="auto"/>
                <w:highlight w:val="none"/>
              </w:rPr>
              <w:t>项目任务</w:t>
            </w:r>
          </w:p>
        </w:tc>
        <w:tc>
          <w:tcPr>
            <w:tcW w:w="2512" w:type="dxa"/>
            <w:noWrap/>
            <w:vAlign w:val="center"/>
          </w:tcPr>
          <w:p>
            <w:pPr>
              <w:pStyle w:val="7"/>
              <w:snapToGrid w:val="0"/>
              <w:spacing w:line="440" w:lineRule="exact"/>
              <w:jc w:val="center"/>
              <w:rPr>
                <w:rFonts w:asciiTheme="majorEastAsia" w:hAnsiTheme="majorEastAsia" w:eastAsiaTheme="majorEastAsia" w:cstheme="majorEastAsia"/>
                <w:bCs/>
                <w:color w:val="auto"/>
                <w:highlight w:val="none"/>
              </w:rPr>
            </w:pPr>
            <w:r>
              <w:rPr>
                <w:rFonts w:hint="eastAsia" w:asciiTheme="majorEastAsia" w:hAnsiTheme="majorEastAsia" w:eastAsiaTheme="majorEastAsia" w:cstheme="majorEastAsia"/>
                <w:bCs/>
                <w:color w:val="auto"/>
                <w:highlight w:val="none"/>
              </w:rPr>
              <w:t>学习情境描述及目标</w:t>
            </w:r>
          </w:p>
        </w:tc>
        <w:tc>
          <w:tcPr>
            <w:tcW w:w="3550" w:type="dxa"/>
            <w:noWrap/>
            <w:vAlign w:val="center"/>
          </w:tcPr>
          <w:p>
            <w:pPr>
              <w:pStyle w:val="7"/>
              <w:snapToGrid w:val="0"/>
              <w:spacing w:line="440" w:lineRule="exact"/>
              <w:jc w:val="center"/>
              <w:rPr>
                <w:rFonts w:asciiTheme="majorEastAsia" w:hAnsiTheme="majorEastAsia" w:eastAsiaTheme="majorEastAsia" w:cstheme="majorEastAsia"/>
                <w:bCs/>
                <w:color w:val="auto"/>
                <w:highlight w:val="none"/>
              </w:rPr>
            </w:pPr>
            <w:r>
              <w:rPr>
                <w:rFonts w:hint="eastAsia" w:asciiTheme="majorEastAsia" w:hAnsiTheme="majorEastAsia" w:eastAsiaTheme="majorEastAsia" w:cstheme="majorEastAsia"/>
                <w:bCs/>
                <w:color w:val="auto"/>
                <w:highlight w:val="none"/>
              </w:rPr>
              <w:t>学习内容</w:t>
            </w:r>
          </w:p>
        </w:tc>
        <w:tc>
          <w:tcPr>
            <w:tcW w:w="868" w:type="dxa"/>
            <w:noWrap/>
            <w:vAlign w:val="center"/>
          </w:tcPr>
          <w:p>
            <w:pPr>
              <w:pStyle w:val="7"/>
              <w:snapToGrid w:val="0"/>
              <w:spacing w:line="440" w:lineRule="exact"/>
              <w:jc w:val="center"/>
              <w:rPr>
                <w:rFonts w:asciiTheme="majorEastAsia" w:hAnsiTheme="majorEastAsia" w:eastAsiaTheme="majorEastAsia" w:cstheme="majorEastAsia"/>
                <w:bCs/>
                <w:color w:val="auto"/>
                <w:highlight w:val="none"/>
              </w:rPr>
            </w:pPr>
            <w:r>
              <w:rPr>
                <w:rFonts w:hint="eastAsia" w:asciiTheme="majorEastAsia" w:hAnsiTheme="majorEastAsia" w:eastAsiaTheme="majorEastAsia" w:cstheme="majorEastAsia"/>
                <w:bCs/>
                <w:color w:val="auto"/>
                <w:highlight w:val="none"/>
              </w:rPr>
              <w:t>学时</w:t>
            </w:r>
          </w:p>
          <w:p>
            <w:pPr>
              <w:pStyle w:val="7"/>
              <w:snapToGrid w:val="0"/>
              <w:spacing w:line="440" w:lineRule="exact"/>
              <w:jc w:val="center"/>
              <w:rPr>
                <w:rFonts w:asciiTheme="majorEastAsia" w:hAnsiTheme="majorEastAsia" w:eastAsiaTheme="majorEastAsia" w:cstheme="majorEastAsia"/>
                <w:bCs/>
                <w:color w:val="auto"/>
                <w:highlight w:val="none"/>
              </w:rPr>
            </w:pPr>
            <w:r>
              <w:rPr>
                <w:rFonts w:hint="eastAsia" w:asciiTheme="majorEastAsia" w:hAnsiTheme="majorEastAsia" w:eastAsiaTheme="majorEastAsia" w:cstheme="majorEastAsia"/>
                <w:bCs/>
                <w:color w:val="auto"/>
                <w:highlight w:val="none"/>
              </w:rPr>
              <w:t>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jc w:val="center"/>
        </w:trPr>
        <w:tc>
          <w:tcPr>
            <w:tcW w:w="1250"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概述</w:t>
            </w:r>
          </w:p>
        </w:tc>
        <w:tc>
          <w:tcPr>
            <w:tcW w:w="2512" w:type="dxa"/>
            <w:noWrap/>
            <w:vAlign w:val="center"/>
          </w:tcPr>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中国能源构成与环境问题</w:t>
            </w:r>
          </w:p>
        </w:tc>
        <w:tc>
          <w:tcPr>
            <w:tcW w:w="3550" w:type="dxa"/>
            <w:noWrap/>
          </w:tcPr>
          <w:p>
            <w:pPr>
              <w:adjustRightInd w:val="0"/>
              <w:snapToGrid w:val="0"/>
              <w:rPr>
                <w:rFonts w:asciiTheme="majorEastAsia" w:hAnsiTheme="majorEastAsia" w:eastAsiaTheme="majorEastAsia" w:cstheme="majorEastAsia"/>
                <w:bCs/>
                <w:color w:val="auto"/>
                <w:szCs w:val="21"/>
                <w:highlight w:val="none"/>
              </w:rPr>
            </w:pP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 能源分类与构成</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 煤炭开发与利用中的环境问题</w:t>
            </w:r>
          </w:p>
        </w:tc>
        <w:tc>
          <w:tcPr>
            <w:tcW w:w="868"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 xml:space="preserve"> 煤炭洗选技术</w:t>
            </w:r>
          </w:p>
        </w:tc>
        <w:tc>
          <w:tcPr>
            <w:tcW w:w="2512" w:type="dxa"/>
            <w:noWrap/>
            <w:vAlign w:val="center"/>
          </w:tcPr>
          <w:p>
            <w:pPr>
              <w:tabs>
                <w:tab w:val="left" w:pos="72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1.煤炭洗选的意义</w:t>
            </w:r>
          </w:p>
          <w:p>
            <w:pPr>
              <w:tabs>
                <w:tab w:val="left" w:pos="72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2.煤炭洗选分类</w:t>
            </w:r>
          </w:p>
          <w:p>
            <w:pPr>
              <w:tabs>
                <w:tab w:val="left" w:pos="72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3.煤炭的可选性</w:t>
            </w:r>
          </w:p>
          <w:p>
            <w:pPr>
              <w:tabs>
                <w:tab w:val="left" w:pos="72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4.煤炭洗选工艺</w:t>
            </w:r>
          </w:p>
        </w:tc>
        <w:tc>
          <w:tcPr>
            <w:tcW w:w="3550" w:type="dxa"/>
            <w:noWrap/>
          </w:tcPr>
          <w:p>
            <w:pPr>
              <w:adjustRightInd w:val="0"/>
              <w:snapToGrid w:val="0"/>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1、了解煤炭洗选的意义。</w:t>
            </w:r>
          </w:p>
          <w:p>
            <w:pPr>
              <w:tabs>
                <w:tab w:val="left" w:pos="72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2、掌握典型的煤炭洗选分类</w:t>
            </w:r>
          </w:p>
          <w:p>
            <w:pPr>
              <w:tabs>
                <w:tab w:val="left" w:pos="72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3、掌握典型的煤炭洗选工艺的工艺条件的选择、工艺流程的组织原则及主要设备的结构与作用。</w:t>
            </w:r>
          </w:p>
        </w:tc>
        <w:tc>
          <w:tcPr>
            <w:tcW w:w="868"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煤的配合加工利用技术</w:t>
            </w:r>
          </w:p>
        </w:tc>
        <w:tc>
          <w:tcPr>
            <w:tcW w:w="2512" w:type="dxa"/>
            <w:noWrap/>
            <w:vAlign w:val="center"/>
          </w:tcPr>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 配煤意义</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 配煤原理</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3.动力配煤的质量标准与工艺流程</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4.中国动力配煤技术发展现状</w:t>
            </w:r>
          </w:p>
        </w:tc>
        <w:tc>
          <w:tcPr>
            <w:tcW w:w="3550" w:type="dxa"/>
            <w:noWrap/>
          </w:tcPr>
          <w:p>
            <w:pPr>
              <w:adjustRightInd w:val="0"/>
              <w:snapToGrid w:val="0"/>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1、了解配煤的意义和原理；</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2、掌握动力配煤的质量标准与工艺流程的组织原则及主要设备的结构与作用。</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3、了解中国动力配煤技术发展现状</w:t>
            </w:r>
          </w:p>
        </w:tc>
        <w:tc>
          <w:tcPr>
            <w:tcW w:w="868"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型煤生产技术</w:t>
            </w:r>
          </w:p>
        </w:tc>
        <w:tc>
          <w:tcPr>
            <w:tcW w:w="2512" w:type="dxa"/>
            <w:noWrap/>
            <w:vAlign w:val="center"/>
          </w:tcPr>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1.型煤的分类</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2.型煤原料的选择</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3.民用型煤</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4.工业型煤</w:t>
            </w:r>
          </w:p>
        </w:tc>
        <w:tc>
          <w:tcPr>
            <w:tcW w:w="3550" w:type="dxa"/>
            <w:noWrap/>
          </w:tcPr>
          <w:p>
            <w:pPr>
              <w:adjustRightInd w:val="0"/>
              <w:snapToGrid w:val="0"/>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1、了解型煤的分类。</w:t>
            </w:r>
          </w:p>
          <w:p>
            <w:pPr>
              <w:adjustRightInd w:val="0"/>
              <w:snapToGrid w:val="0"/>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2、掌握型煤原料的选择的基本原理、工艺条件的选择、工艺流程、操作方法及主要设备的结构与作用。</w:t>
            </w:r>
          </w:p>
          <w:p>
            <w:pPr>
              <w:adjustRightInd w:val="0"/>
              <w:snapToGrid w:val="0"/>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3.认识民用型煤和工业型煤的特点</w:t>
            </w:r>
          </w:p>
        </w:tc>
        <w:tc>
          <w:tcPr>
            <w:tcW w:w="868"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 xml:space="preserve"> 水煤浆制备技术</w:t>
            </w:r>
          </w:p>
        </w:tc>
        <w:tc>
          <w:tcPr>
            <w:tcW w:w="2512" w:type="dxa"/>
            <w:noWrap/>
            <w:vAlign w:val="center"/>
          </w:tcPr>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1.水煤浆产品及分类</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2.水煤浆的主要特征及制浆用煤的选择</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3.典型水煤浆制浆工艺</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4.水煤浆添加剂</w:t>
            </w:r>
          </w:p>
          <w:p>
            <w:pPr>
              <w:adjustRightInd w:val="0"/>
              <w:snapToGrid w:val="0"/>
              <w:rPr>
                <w:rFonts w:asciiTheme="majorEastAsia" w:hAnsiTheme="majorEastAsia" w:eastAsiaTheme="majorEastAsia" w:cstheme="majorEastAsia"/>
                <w:bCs/>
                <w:color w:val="auto"/>
                <w:szCs w:val="21"/>
                <w:highlight w:val="none"/>
              </w:rPr>
            </w:pPr>
          </w:p>
        </w:tc>
        <w:tc>
          <w:tcPr>
            <w:tcW w:w="3550" w:type="dxa"/>
            <w:noWrap/>
          </w:tcPr>
          <w:p>
            <w:pPr>
              <w:adjustRightInd w:val="0"/>
              <w:snapToGrid w:val="0"/>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1、了解水煤浆产品及分类。</w:t>
            </w:r>
          </w:p>
          <w:p>
            <w:pPr>
              <w:adjustRightInd w:val="0"/>
              <w:snapToGrid w:val="0"/>
              <w:rPr>
                <w:rFonts w:asciiTheme="majorEastAsia" w:hAnsiTheme="majorEastAsia" w:eastAsiaTheme="majorEastAsia" w:cstheme="majorEastAsia"/>
                <w:b/>
                <w:color w:val="auto"/>
                <w:szCs w:val="21"/>
                <w:highlight w:val="none"/>
              </w:rPr>
            </w:pPr>
            <w:r>
              <w:rPr>
                <w:rFonts w:hint="eastAsia" w:asciiTheme="majorEastAsia" w:hAnsiTheme="majorEastAsia" w:eastAsiaTheme="majorEastAsia" w:cstheme="majorEastAsia"/>
                <w:bCs/>
                <w:color w:val="auto"/>
                <w:szCs w:val="21"/>
                <w:highlight w:val="none"/>
              </w:rPr>
              <w:t>2、掌握水煤浆的主要特征及制浆用煤的选择、工艺流程、操作方法及主要设备的结构与作用。</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3、认识典型水煤浆制浆工艺，使学生掌握正常生产操作要点，正常生产中异常现象的判断及故障的排除方法。</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4、牢记各类水煤浆添加剂的特点。</w:t>
            </w:r>
          </w:p>
        </w:tc>
        <w:tc>
          <w:tcPr>
            <w:tcW w:w="868"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煤的热解技术</w:t>
            </w:r>
          </w:p>
        </w:tc>
        <w:tc>
          <w:tcPr>
            <w:tcW w:w="2512" w:type="dxa"/>
            <w:noWrap/>
            <w:vAlign w:val="center"/>
          </w:tcPr>
          <w:p>
            <w:pPr>
              <w:tabs>
                <w:tab w:val="left" w:pos="540"/>
              </w:tabs>
              <w:spacing w:line="360" w:lineRule="auto"/>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1.煤热解分类和过程</w:t>
            </w:r>
          </w:p>
          <w:p>
            <w:pPr>
              <w:tabs>
                <w:tab w:val="left" w:pos="540"/>
              </w:tabs>
              <w:spacing w:line="360" w:lineRule="auto"/>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2.煤炭热解技术与工艺</w:t>
            </w:r>
          </w:p>
          <w:p>
            <w:pPr>
              <w:adjustRightInd w:val="0"/>
              <w:snapToGrid w:val="0"/>
              <w:rPr>
                <w:rFonts w:asciiTheme="majorEastAsia" w:hAnsiTheme="majorEastAsia" w:eastAsiaTheme="majorEastAsia" w:cstheme="majorEastAsia"/>
                <w:bCs/>
                <w:color w:val="auto"/>
                <w:szCs w:val="21"/>
                <w:highlight w:val="none"/>
              </w:rPr>
            </w:pPr>
          </w:p>
        </w:tc>
        <w:tc>
          <w:tcPr>
            <w:tcW w:w="3550" w:type="dxa"/>
            <w:noWrap/>
          </w:tcPr>
          <w:p>
            <w:pPr>
              <w:adjustRightInd w:val="0"/>
              <w:snapToGrid w:val="0"/>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1.了解煤热解分类和过程；</w:t>
            </w:r>
          </w:p>
          <w:p>
            <w:pPr>
              <w:adjustRightInd w:val="0"/>
              <w:snapToGrid w:val="0"/>
              <w:rPr>
                <w:rFonts w:asciiTheme="majorEastAsia" w:hAnsiTheme="majorEastAsia" w:eastAsiaTheme="majorEastAsia" w:cstheme="majorEastAsia"/>
                <w:b/>
                <w:color w:val="auto"/>
                <w:szCs w:val="21"/>
                <w:highlight w:val="none"/>
              </w:rPr>
            </w:pPr>
            <w:r>
              <w:rPr>
                <w:rFonts w:hint="eastAsia" w:asciiTheme="majorEastAsia" w:hAnsiTheme="majorEastAsia" w:eastAsiaTheme="majorEastAsia" w:cstheme="majorEastAsia"/>
                <w:bCs/>
                <w:color w:val="auto"/>
                <w:szCs w:val="21"/>
                <w:highlight w:val="none"/>
              </w:rPr>
              <w:t>2.掌握煤炭热解技术与工艺的主要特征、工艺流程、操作方法及主要设备的结构与作用。</w:t>
            </w:r>
          </w:p>
          <w:p>
            <w:pPr>
              <w:adjustRightInd w:val="0"/>
              <w:snapToGrid w:val="0"/>
              <w:rPr>
                <w:rFonts w:asciiTheme="majorEastAsia" w:hAnsiTheme="majorEastAsia" w:eastAsiaTheme="majorEastAsia" w:cstheme="majorEastAsia"/>
                <w:bCs/>
                <w:color w:val="auto"/>
                <w:szCs w:val="21"/>
                <w:highlight w:val="none"/>
              </w:rPr>
            </w:pPr>
          </w:p>
        </w:tc>
        <w:tc>
          <w:tcPr>
            <w:tcW w:w="868"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煤的洁净燃烧技术</w:t>
            </w:r>
          </w:p>
        </w:tc>
        <w:tc>
          <w:tcPr>
            <w:tcW w:w="2512" w:type="dxa"/>
            <w:noWrap/>
            <w:vAlign w:val="center"/>
          </w:tcPr>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1.粉煤燃烧</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2.先进粉煤燃烧器</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3.煤的流化床和循环流化床燃烧</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4.劣质煤和煤矸石洁净燃烧</w:t>
            </w:r>
          </w:p>
          <w:p>
            <w:pPr>
              <w:adjustRightInd w:val="0"/>
              <w:snapToGrid w:val="0"/>
              <w:rPr>
                <w:rFonts w:asciiTheme="majorEastAsia" w:hAnsiTheme="majorEastAsia" w:eastAsiaTheme="majorEastAsia" w:cstheme="majorEastAsia"/>
                <w:bCs/>
                <w:color w:val="auto"/>
                <w:szCs w:val="21"/>
                <w:highlight w:val="none"/>
              </w:rPr>
            </w:pPr>
          </w:p>
          <w:p>
            <w:pPr>
              <w:adjustRightInd w:val="0"/>
              <w:snapToGrid w:val="0"/>
              <w:rPr>
                <w:rFonts w:asciiTheme="majorEastAsia" w:hAnsiTheme="majorEastAsia" w:eastAsiaTheme="majorEastAsia" w:cstheme="majorEastAsia"/>
                <w:bCs/>
                <w:color w:val="auto"/>
                <w:szCs w:val="21"/>
                <w:highlight w:val="none"/>
              </w:rPr>
            </w:pPr>
          </w:p>
        </w:tc>
        <w:tc>
          <w:tcPr>
            <w:tcW w:w="3550" w:type="dxa"/>
            <w:noWrap/>
          </w:tcPr>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1、了解粉煤燃烧的现状；</w:t>
            </w:r>
          </w:p>
          <w:p>
            <w:pPr>
              <w:adjustRightInd w:val="0"/>
              <w:snapToGrid w:val="0"/>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2.认识先进的粉煤燃烧器；</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3.掌握煤的流化床和循环流化床燃烧的基本原理、工艺条件及典型的工艺流程图。</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4.认识劣质煤燃烧的危害</w:t>
            </w:r>
          </w:p>
          <w:p>
            <w:pPr>
              <w:tabs>
                <w:tab w:val="left" w:pos="540"/>
              </w:tabs>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5.了解煤矸石洁净燃烧的现状</w:t>
            </w:r>
          </w:p>
          <w:p>
            <w:pPr>
              <w:adjustRightInd w:val="0"/>
              <w:snapToGrid w:val="0"/>
              <w:rPr>
                <w:rFonts w:asciiTheme="majorEastAsia" w:hAnsiTheme="majorEastAsia" w:eastAsiaTheme="majorEastAsia" w:cstheme="majorEastAsia"/>
                <w:bCs/>
                <w:color w:val="auto"/>
                <w:szCs w:val="21"/>
                <w:highlight w:val="none"/>
              </w:rPr>
            </w:pPr>
          </w:p>
        </w:tc>
        <w:tc>
          <w:tcPr>
            <w:tcW w:w="868"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烟道气净化技术</w:t>
            </w:r>
          </w:p>
        </w:tc>
        <w:tc>
          <w:tcPr>
            <w:tcW w:w="2512" w:type="dxa"/>
            <w:noWrap/>
            <w:vAlign w:val="center"/>
          </w:tcPr>
          <w:p>
            <w:pPr>
              <w:tabs>
                <w:tab w:val="left" w:pos="540"/>
              </w:tabs>
              <w:spacing w:line="360" w:lineRule="auto"/>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1.烟气除尘技术</w:t>
            </w:r>
          </w:p>
          <w:p>
            <w:pPr>
              <w:tabs>
                <w:tab w:val="left" w:pos="540"/>
              </w:tabs>
              <w:spacing w:line="360" w:lineRule="auto"/>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2.烟气脱硫技术</w:t>
            </w:r>
          </w:p>
          <w:p>
            <w:pPr>
              <w:tabs>
                <w:tab w:val="left" w:pos="540"/>
              </w:tabs>
              <w:spacing w:line="360" w:lineRule="auto"/>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3.烟气脱硝技术</w:t>
            </w:r>
          </w:p>
          <w:p>
            <w:pPr>
              <w:adjustRightInd w:val="0"/>
              <w:snapToGrid w:val="0"/>
              <w:rPr>
                <w:rFonts w:asciiTheme="majorEastAsia" w:hAnsiTheme="majorEastAsia" w:eastAsiaTheme="majorEastAsia" w:cstheme="majorEastAsia"/>
                <w:bCs/>
                <w:color w:val="auto"/>
                <w:szCs w:val="21"/>
                <w:highlight w:val="none"/>
              </w:rPr>
            </w:pPr>
          </w:p>
        </w:tc>
        <w:tc>
          <w:tcPr>
            <w:tcW w:w="3550" w:type="dxa"/>
            <w:noWrap/>
          </w:tcPr>
          <w:p>
            <w:pPr>
              <w:adjustRightInd w:val="0"/>
              <w:snapToGrid w:val="0"/>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1.了解烟气除尘技术、烟气除硫技术、烟气除硝技术。</w:t>
            </w:r>
          </w:p>
          <w:p>
            <w:pPr>
              <w:adjustRightInd w:val="0"/>
              <w:snapToGrid w:val="0"/>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2.掌握烟气除尘技术、烟气除硫技术、烟气除硝技术的工艺及操作。</w:t>
            </w:r>
          </w:p>
        </w:tc>
        <w:tc>
          <w:tcPr>
            <w:tcW w:w="868" w:type="dxa"/>
            <w:noWrap/>
            <w:vAlign w:val="center"/>
          </w:tcPr>
          <w:p>
            <w:pPr>
              <w:adjustRightInd w:val="0"/>
              <w:snapToGrid w:val="0"/>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煤中共伴生资源的综合利用技术</w:t>
            </w:r>
          </w:p>
        </w:tc>
        <w:tc>
          <w:tcPr>
            <w:tcW w:w="2512" w:type="dxa"/>
            <w:noWrap/>
            <w:vAlign w:val="center"/>
          </w:tcPr>
          <w:p>
            <w:pPr>
              <w:tabs>
                <w:tab w:val="left" w:pos="540"/>
              </w:tabs>
              <w:spacing w:line="360" w:lineRule="auto"/>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1.煤矸石及其综合利用</w:t>
            </w:r>
          </w:p>
          <w:p>
            <w:pPr>
              <w:tabs>
                <w:tab w:val="left" w:pos="540"/>
              </w:tabs>
              <w:spacing w:line="360" w:lineRule="auto"/>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2.粉煤灰综合利用</w:t>
            </w:r>
          </w:p>
          <w:p>
            <w:pPr>
              <w:tabs>
                <w:tab w:val="left" w:pos="540"/>
              </w:tabs>
              <w:spacing w:line="360" w:lineRule="auto"/>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3.工程示例</w:t>
            </w:r>
          </w:p>
          <w:p>
            <w:pPr>
              <w:rPr>
                <w:rFonts w:asciiTheme="majorEastAsia" w:hAnsiTheme="majorEastAsia" w:eastAsiaTheme="majorEastAsia" w:cstheme="majorEastAsia"/>
                <w:bCs/>
                <w:color w:val="auto"/>
                <w:szCs w:val="21"/>
                <w:highlight w:val="none"/>
              </w:rPr>
            </w:pPr>
          </w:p>
        </w:tc>
        <w:tc>
          <w:tcPr>
            <w:tcW w:w="3550" w:type="dxa"/>
            <w:noWrap/>
          </w:tcPr>
          <w:p>
            <w:pPr>
              <w:numPr>
                <w:ilvl w:val="0"/>
                <w:numId w:val="5"/>
              </w:numP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认识煤矸石及其综合利用、粉煤灰综合利用。</w:t>
            </w:r>
          </w:p>
          <w:p>
            <w:pPr>
              <w:numPr>
                <w:ilvl w:val="0"/>
                <w:numId w:val="5"/>
              </w:numP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掌握认识煤矸石及其综合利用、粉煤灰综合利用的工艺操作特点</w:t>
            </w:r>
          </w:p>
        </w:tc>
        <w:tc>
          <w:tcPr>
            <w:tcW w:w="868" w:type="dxa"/>
            <w:noWrap/>
            <w:vAlign w:val="center"/>
          </w:tcPr>
          <w:p>
            <w:pPr>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 xml:space="preserve"> 煤炭清洁开采技术</w:t>
            </w:r>
          </w:p>
        </w:tc>
        <w:tc>
          <w:tcPr>
            <w:tcW w:w="2512" w:type="dxa"/>
            <w:noWrap/>
            <w:vAlign w:val="center"/>
          </w:tcPr>
          <w:p>
            <w:pPr>
              <w:tabs>
                <w:tab w:val="left" w:pos="540"/>
              </w:tabs>
              <w:spacing w:line="360" w:lineRule="auto"/>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1.煤炭清洁开采概念</w:t>
            </w:r>
          </w:p>
          <w:p>
            <w:pP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2.煤炭清洁开采技术的途径与措施</w:t>
            </w:r>
          </w:p>
        </w:tc>
        <w:tc>
          <w:tcPr>
            <w:tcW w:w="3550" w:type="dxa"/>
            <w:noWrap/>
          </w:tcPr>
          <w:p>
            <w:pP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1.认识煤炭清洁开采概念</w:t>
            </w:r>
          </w:p>
          <w:p>
            <w:pP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2.了解煤炭清洁开采技术的途径与措施</w:t>
            </w:r>
          </w:p>
        </w:tc>
        <w:tc>
          <w:tcPr>
            <w:tcW w:w="868" w:type="dxa"/>
            <w:noWrap/>
            <w:vAlign w:val="center"/>
          </w:tcPr>
          <w:p>
            <w:pPr>
              <w:jc w:val="center"/>
              <w:rPr>
                <w:rFonts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4</w:t>
            </w:r>
          </w:p>
        </w:tc>
      </w:tr>
    </w:tbl>
    <w:p>
      <w:pPr>
        <w:spacing w:line="360" w:lineRule="auto"/>
        <w:rPr>
          <w:rFonts w:hint="eastAsia" w:ascii="Times New Roman" w:hAnsi="Times New Roman" w:eastAsia="黑体" w:cs="黑体"/>
          <w:bCs/>
          <w:color w:val="auto"/>
          <w:sz w:val="30"/>
          <w:szCs w:val="30"/>
          <w:highlight w:val="none"/>
          <w:lang w:val="en-US" w:eastAsia="zh-CN"/>
        </w:rPr>
      </w:pP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（五）教学组织与教学方法</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以工学结合为核心，将教学内容与典型工作过程的技能要求相结合，理论教学部分通过课堂讲授完成，通过仿真操作了解合成氨生产场所、设备、操作、事故处理等内容，弥补实践教学的不足。然后通过进企业进行工学交替学习，企业师傅指导学习、顶岗实习真正让学生学以致用。实现理论和实践无缝对接。</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在实践教学中，运用项目引领、任务驱动等教学做一体化方式，符合学生工作过程的认知规律和职业成长规律，选用与行业、企业生产经营过程中典型项目和任务进行训练，培养学生职业认知、职业技能、职业素养。</w:t>
      </w:r>
    </w:p>
    <w:p>
      <w:pPr>
        <w:tabs>
          <w:tab w:val="left" w:pos="567"/>
        </w:tabs>
        <w:spacing w:line="360" w:lineRule="auto"/>
        <w:ind w:firstLine="480" w:firstLineChars="200"/>
        <w:rPr>
          <w:rFonts w:ascii="宋体" w:hAnsi="宋体"/>
          <w:color w:val="auto"/>
          <w:sz w:val="24"/>
          <w:highlight w:val="none"/>
        </w:rPr>
      </w:pPr>
      <w:r>
        <w:rPr>
          <w:rFonts w:hint="eastAsia" w:ascii="宋体" w:hAnsi="宋体"/>
          <w:color w:val="auto"/>
          <w:sz w:val="24"/>
          <w:highlight w:val="none"/>
        </w:rPr>
        <w:t>在教学过程中，为加强学生实际操作能力的培养，采用项目教学方法，以工作任务引领提高学生学习兴趣，激发学生的成就动机；通过学习型工作任务，训练学生的操作能力，结合相关职业技能等级证书的考证，加强实操项目的训练，提高学生的岗位适应能力；在教学过程中，要广泛应用图片、动画、现场录像等教学资源辅助教学，帮助学生理解分析检验工作的操作要点；教学过程中加强安全教育，提高安全意识，培养学生严谨的工作态度。</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（六）考核标准与成绩评定方法</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全面了解学生的学习历程。包括上课出勤、课堂纪律、课堂提问、作业、知识测评、实训等主要环节，关注学生学习结果和过程评价，激发学生学习的热情和动力，提高学生学习的自信心，提高教学质量。</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坚持理论知识与实践知识综合评价的原则;采取多种方式评价原则;学生自评、学生互评、小组评价、教师评价、家长评价、企业行业专家评价等。</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（1）本门课程是一门考试课，评价依据是本课程标准规定的课程目标、教学内容和要求。</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（2）考试时间：90分钟（理论考核90分钟）。</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 xml:space="preserve">（3）考试方式、分制与解释 </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a. 建议本课程课堂评价（上课出勤和学习态度、课堂提问和作业情况）占20%。</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 xml:space="preserve">b.理论成绩的综合评价 采用闭卷、笔试的方式，以百分制评分，满分为100分，占总评成绩的50～60%。 </w:t>
      </w:r>
    </w:p>
    <w:p>
      <w:pPr>
        <w:spacing w:line="360" w:lineRule="auto"/>
        <w:ind w:left="1" w:firstLine="564" w:firstLineChars="235"/>
        <w:rPr>
          <w:rFonts w:ascii="宋体" w:hAnsi="宋体"/>
          <w:color w:val="auto"/>
          <w:sz w:val="24"/>
          <w:highlight w:val="none"/>
        </w:rPr>
      </w:pPr>
      <w:r>
        <w:rPr>
          <w:rFonts w:ascii="宋体" w:hAnsi="宋体"/>
          <w:color w:val="auto"/>
          <w:sz w:val="24"/>
          <w:highlight w:val="none"/>
        </w:rPr>
        <w:t>c.</w:t>
      </w:r>
      <w:r>
        <w:rPr>
          <w:rFonts w:hint="eastAsia" w:ascii="宋体" w:hAnsi="宋体"/>
          <w:color w:val="auto"/>
          <w:sz w:val="24"/>
          <w:highlight w:val="none"/>
        </w:rPr>
        <w:t>实验成绩的综合评价 实验成绩由实验现场表现和实验报告成绩两部分组成。实验成绩占总评成绩的20～30%。</w:t>
      </w:r>
    </w:p>
    <w:p>
      <w:pPr>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 xml:space="preserve">（4）试题类型及权重 </w:t>
      </w:r>
    </w:p>
    <w:p>
      <w:pPr>
        <w:tabs>
          <w:tab w:val="left" w:pos="480"/>
        </w:tabs>
        <w:spacing w:line="360" w:lineRule="auto"/>
        <w:ind w:left="1" w:firstLine="564" w:firstLineChars="235"/>
        <w:rPr>
          <w:rFonts w:ascii="宋体" w:hAnsi="宋体"/>
          <w:color w:val="auto"/>
          <w:sz w:val="24"/>
          <w:highlight w:val="none"/>
        </w:rPr>
      </w:pPr>
      <w:r>
        <w:rPr>
          <w:rFonts w:hint="eastAsia" w:ascii="宋体" w:hAnsi="宋体"/>
          <w:color w:val="auto"/>
          <w:sz w:val="24"/>
          <w:highlight w:val="none"/>
        </w:rPr>
        <w:t>选择题15%～30%、判断题10～20%、填空题10～25%、简答题(包括完成并配平反应式)10～20%、计算题10～30%。</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（七）教学建议</w:t>
      </w:r>
    </w:p>
    <w:p>
      <w:pPr>
        <w:pStyle w:val="26"/>
        <w:shd w:val="clear" w:color="auto" w:fill="FFFFFF"/>
        <w:snapToGrid w:val="0"/>
        <w:spacing w:before="0" w:beforeAutospacing="0" w:after="0" w:afterAutospacing="0" w:line="360" w:lineRule="auto"/>
        <w:ind w:firstLine="480" w:firstLineChars="200"/>
        <w:rPr>
          <w:rFonts w:cs="Times New Roman"/>
          <w:color w:val="auto"/>
          <w:kern w:val="2"/>
          <w:highlight w:val="none"/>
        </w:rPr>
      </w:pPr>
      <w:r>
        <w:rPr>
          <w:rFonts w:hint="eastAsia" w:cs="Times New Roman"/>
          <w:color w:val="auto"/>
          <w:kern w:val="2"/>
          <w:highlight w:val="none"/>
        </w:rPr>
        <w:t>坚持理论教学为职业技能训练服务的原则，构建强化职业技能训练，重点培养和提高学生日后走向工作岗位所需的基本专业技能和综合职业素质的实践型教学方法。从学生出发，以学生为中心，教会学生学会学习，强调创设问题情境，要求学生感悟、理解知识，学会创造和发现知识的方法，强调学生能力的培养，注重学生的合作。同时注重教学方法的开放性，即知识内容的开放性——课本知识和企业的生产实践有机结合，强调学生的经验、体验；人际关系的开放性--师生、生生之间的多边互动交流；教学气氛的开放性--活跃、民主、融洽、平等。</w:t>
      </w:r>
    </w:p>
    <w:p>
      <w:pPr>
        <w:pStyle w:val="26"/>
        <w:shd w:val="clear" w:color="auto" w:fill="FFFFFF"/>
        <w:snapToGrid w:val="0"/>
        <w:spacing w:before="0" w:beforeAutospacing="0" w:after="0" w:afterAutospacing="0" w:line="360" w:lineRule="auto"/>
        <w:ind w:firstLine="480" w:firstLineChars="200"/>
        <w:rPr>
          <w:rFonts w:cs="Times New Roman"/>
          <w:color w:val="auto"/>
          <w:kern w:val="2"/>
          <w:highlight w:val="none"/>
        </w:rPr>
      </w:pPr>
      <w:r>
        <w:rPr>
          <w:rFonts w:hint="eastAsia" w:cs="Times New Roman"/>
          <w:color w:val="auto"/>
          <w:kern w:val="2"/>
          <w:highlight w:val="none"/>
        </w:rPr>
        <w:t>运用现代教育技术和虚拟现实技术，建立虚拟项目和虚拟工艺等仿真教学环境，增加学生的感性认识，启发科学思维，注重理论联系实际，注重新技术引用。</w:t>
      </w:r>
    </w:p>
    <w:p>
      <w:pPr>
        <w:pStyle w:val="26"/>
        <w:shd w:val="clear" w:color="auto" w:fill="FFFFFF"/>
        <w:snapToGrid w:val="0"/>
        <w:spacing w:before="0" w:beforeAutospacing="0" w:after="0" w:afterAutospacing="0" w:line="360" w:lineRule="auto"/>
        <w:ind w:firstLine="480" w:firstLineChars="200"/>
        <w:rPr>
          <w:rFonts w:cs="Times New Roman"/>
          <w:color w:val="auto"/>
          <w:kern w:val="2"/>
          <w:highlight w:val="none"/>
        </w:rPr>
      </w:pPr>
      <w:r>
        <w:rPr>
          <w:rFonts w:hint="eastAsia" w:cs="Times New Roman"/>
          <w:color w:val="auto"/>
          <w:kern w:val="2"/>
          <w:highlight w:val="none"/>
        </w:rPr>
        <w:t>有针对性地采取任务驱动、项目导向、课堂与实习地点一体化等行动导向的教学模式。同时注意加强基本操作的训练，实训项目尽量不与专业课程重复，考核项目与专业密切联系。</w:t>
      </w:r>
    </w:p>
    <w:p>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开发校外实训基地，与化工企业深度合作，充分利用校外实习基地，做到课堂教学、现场教学、实训教学有机结合。通过参观学习、工学交替、顶岗实习等手段，提高学习效果并学以致用。</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（八）选用教材及推荐教材和参考用书（或课程网站）</w:t>
      </w:r>
    </w:p>
    <w:p>
      <w:pPr>
        <w:spacing w:line="360" w:lineRule="auto"/>
        <w:ind w:firstLine="720" w:firstLineChars="300"/>
        <w:rPr>
          <w:color w:val="auto"/>
          <w:sz w:val="24"/>
          <w:highlight w:val="none"/>
        </w:rPr>
      </w:pPr>
      <w:r>
        <w:rPr>
          <w:rFonts w:hint="eastAsia"/>
          <w:color w:val="auto"/>
          <w:sz w:val="24"/>
          <w:highlight w:val="none"/>
        </w:rPr>
        <w:t>《洁净煤技术》编者：郝临山等，</w:t>
      </w:r>
      <w:r>
        <w:rPr>
          <w:rFonts w:hint="eastAsia"/>
          <w:color w:val="auto"/>
          <w:kern w:val="0"/>
          <w:sz w:val="24"/>
          <w:highlight w:val="none"/>
        </w:rPr>
        <w:t>化学工业出版社，2</w:t>
      </w:r>
      <w:r>
        <w:rPr>
          <w:rFonts w:hint="eastAsia"/>
          <w:color w:val="auto"/>
          <w:sz w:val="24"/>
          <w:highlight w:val="none"/>
        </w:rPr>
        <w:t>010</w:t>
      </w:r>
    </w:p>
    <w:p>
      <w:pPr>
        <w:widowControl/>
        <w:spacing w:line="360" w:lineRule="auto"/>
        <w:ind w:right="720" w:firstLine="720" w:firstLineChars="300"/>
        <w:rPr>
          <w:rFonts w:ascii="宋体" w:hAnsi="宋体"/>
          <w:b/>
          <w:bCs/>
          <w:color w:val="auto"/>
          <w:sz w:val="24"/>
          <w:highlight w:val="none"/>
        </w:rPr>
      </w:pPr>
      <w:r>
        <w:rPr>
          <w:rFonts w:hint="eastAsia"/>
          <w:color w:val="auto"/>
          <w:sz w:val="24"/>
          <w:highlight w:val="none"/>
        </w:rPr>
        <w:t>《中国煤的洁净利用》编者：张鸣林，化学工业出版社，2007</w:t>
      </w:r>
    </w:p>
    <w:p>
      <w:pPr>
        <w:pStyle w:val="3"/>
        <w:spacing w:before="0" w:after="0" w:line="360" w:lineRule="auto"/>
        <w:rPr>
          <w:rFonts w:ascii="Times New Roman" w:hAnsi="Times New Roman"/>
          <w:b w:val="0"/>
          <w:bCs/>
          <w:color w:val="auto"/>
          <w:highlight w:val="none"/>
        </w:rPr>
      </w:pPr>
      <w:bookmarkStart w:id="65" w:name="_Toc17238587"/>
      <w:bookmarkStart w:id="66" w:name="_Toc68"/>
      <w:r>
        <w:rPr>
          <w:rFonts w:hint="eastAsia" w:ascii="Times New Roman" w:hAnsi="Times New Roman"/>
          <w:b w:val="0"/>
          <w:bCs/>
          <w:color w:val="auto"/>
          <w:highlight w:val="none"/>
        </w:rPr>
        <w:t>三、《化工安全技术》核心课程标准</w:t>
      </w:r>
      <w:bookmarkEnd w:id="65"/>
      <w:bookmarkEnd w:id="66"/>
    </w:p>
    <w:tbl>
      <w:tblPr>
        <w:tblStyle w:val="15"/>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274"/>
        <w:gridCol w:w="162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课程编码</w:t>
            </w:r>
          </w:p>
        </w:tc>
        <w:tc>
          <w:tcPr>
            <w:tcW w:w="3274" w:type="dxa"/>
            <w:noWrap/>
            <w:vAlign w:val="center"/>
          </w:tcPr>
          <w:p>
            <w:pPr>
              <w:spacing w:line="360" w:lineRule="auto"/>
              <w:jc w:val="center"/>
              <w:rPr>
                <w:rFonts w:hint="default" w:eastAsiaTheme="minorEastAsia"/>
                <w:color w:val="auto"/>
                <w:szCs w:val="21"/>
                <w:highlight w:val="none"/>
                <w:lang w:val="en-US" w:eastAsia="zh-CN"/>
              </w:rPr>
            </w:pPr>
            <w:r>
              <w:rPr>
                <w:rFonts w:hint="eastAsia"/>
                <w:color w:val="auto"/>
                <w:szCs w:val="21"/>
                <w:highlight w:val="none"/>
                <w:lang w:val="en-US" w:eastAsia="zh-CN"/>
              </w:rPr>
              <w:t>1003053</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课程类别</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专业学习领域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计划学时</w:t>
            </w:r>
          </w:p>
        </w:tc>
        <w:tc>
          <w:tcPr>
            <w:tcW w:w="3274" w:type="dxa"/>
            <w:noWrap/>
            <w:vAlign w:val="center"/>
          </w:tcPr>
          <w:p>
            <w:pPr>
              <w:spacing w:line="360" w:lineRule="auto"/>
              <w:jc w:val="center"/>
              <w:rPr>
                <w:color w:val="auto"/>
                <w:szCs w:val="21"/>
                <w:highlight w:val="none"/>
              </w:rPr>
            </w:pPr>
            <w:r>
              <w:rPr>
                <w:rFonts w:hint="eastAsia"/>
                <w:color w:val="auto"/>
                <w:szCs w:val="21"/>
                <w:highlight w:val="none"/>
              </w:rPr>
              <w:t>72</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课程类型</w:t>
            </w:r>
          </w:p>
        </w:tc>
        <w:tc>
          <w:tcPr>
            <w:tcW w:w="1994" w:type="dxa"/>
            <w:noWrap/>
            <w:vAlign w:val="center"/>
          </w:tcPr>
          <w:p>
            <w:pPr>
              <w:spacing w:line="360" w:lineRule="auto"/>
              <w:jc w:val="center"/>
              <w:rPr>
                <w:color w:val="auto"/>
                <w:szCs w:val="21"/>
                <w:highlight w:val="none"/>
              </w:rPr>
            </w:pPr>
            <w:r>
              <w:rPr>
                <w:color w:val="auto"/>
                <w:szCs w:val="21"/>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适用专业</w:t>
            </w:r>
          </w:p>
        </w:tc>
        <w:tc>
          <w:tcPr>
            <w:tcW w:w="3274" w:type="dxa"/>
            <w:noWrap/>
            <w:vAlign w:val="center"/>
          </w:tcPr>
          <w:p>
            <w:pPr>
              <w:spacing w:line="360" w:lineRule="auto"/>
              <w:jc w:val="center"/>
              <w:rPr>
                <w:color w:val="auto"/>
                <w:szCs w:val="21"/>
                <w:highlight w:val="none"/>
              </w:rPr>
            </w:pPr>
            <w:r>
              <w:rPr>
                <w:rFonts w:hAnsi="宋体"/>
                <w:color w:val="auto"/>
                <w:szCs w:val="21"/>
                <w:highlight w:val="none"/>
              </w:rPr>
              <w:t>煤</w:t>
            </w:r>
            <w:r>
              <w:rPr>
                <w:rFonts w:hint="eastAsia" w:hAnsi="宋体"/>
                <w:color w:val="auto"/>
                <w:szCs w:val="21"/>
                <w:highlight w:val="none"/>
              </w:rPr>
              <w:t>炭深加工与利用</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课程性质</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开课学期</w:t>
            </w:r>
          </w:p>
        </w:tc>
        <w:tc>
          <w:tcPr>
            <w:tcW w:w="3274" w:type="dxa"/>
            <w:noWrap/>
            <w:vAlign w:val="center"/>
          </w:tcPr>
          <w:p>
            <w:pPr>
              <w:spacing w:line="360" w:lineRule="auto"/>
              <w:jc w:val="center"/>
              <w:rPr>
                <w:color w:val="auto"/>
                <w:szCs w:val="21"/>
                <w:highlight w:val="none"/>
              </w:rPr>
            </w:pPr>
            <w:r>
              <w:rPr>
                <w:rFonts w:hAnsi="宋体"/>
                <w:color w:val="auto"/>
                <w:szCs w:val="21"/>
                <w:highlight w:val="none"/>
              </w:rPr>
              <w:t>第</w:t>
            </w:r>
            <w:r>
              <w:rPr>
                <w:rFonts w:hint="eastAsia" w:hAnsi="宋体"/>
                <w:color w:val="auto"/>
                <w:szCs w:val="21"/>
                <w:highlight w:val="none"/>
              </w:rPr>
              <w:t>2</w:t>
            </w:r>
            <w:r>
              <w:rPr>
                <w:rFonts w:hAnsi="宋体"/>
                <w:color w:val="auto"/>
                <w:szCs w:val="21"/>
                <w:highlight w:val="none"/>
              </w:rPr>
              <w:t>学期</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学分</w:t>
            </w:r>
          </w:p>
        </w:tc>
        <w:tc>
          <w:tcPr>
            <w:tcW w:w="1994" w:type="dxa"/>
            <w:noWrap/>
            <w:vAlign w:val="center"/>
          </w:tcPr>
          <w:p>
            <w:pPr>
              <w:spacing w:line="360" w:lineRule="auto"/>
              <w:jc w:val="center"/>
              <w:rPr>
                <w:color w:val="auto"/>
                <w:szCs w:val="21"/>
                <w:highlight w:val="none"/>
              </w:rPr>
            </w:pPr>
            <w:r>
              <w:rPr>
                <w:rFonts w:hint="eastAsia"/>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先行课程</w:t>
            </w:r>
          </w:p>
        </w:tc>
        <w:tc>
          <w:tcPr>
            <w:tcW w:w="3274" w:type="dxa"/>
            <w:noWrap/>
            <w:vAlign w:val="center"/>
          </w:tcPr>
          <w:p>
            <w:pPr>
              <w:spacing w:line="360" w:lineRule="auto"/>
              <w:jc w:val="center"/>
              <w:rPr>
                <w:rFonts w:hAnsi="宋体"/>
                <w:color w:val="auto"/>
                <w:szCs w:val="21"/>
                <w:highlight w:val="none"/>
              </w:rPr>
            </w:pPr>
            <w:r>
              <w:rPr>
                <w:rFonts w:hAnsi="宋体"/>
                <w:color w:val="auto"/>
                <w:szCs w:val="21"/>
                <w:highlight w:val="none"/>
              </w:rPr>
              <w:t>基础化学，化工制图</w:t>
            </w:r>
            <w:r>
              <w:rPr>
                <w:rFonts w:hint="eastAsia" w:hAnsi="宋体"/>
                <w:color w:val="auto"/>
                <w:szCs w:val="21"/>
                <w:highlight w:val="none"/>
              </w:rPr>
              <w:t>，</w:t>
            </w:r>
          </w:p>
          <w:p>
            <w:pPr>
              <w:spacing w:line="360" w:lineRule="auto"/>
              <w:jc w:val="center"/>
              <w:rPr>
                <w:color w:val="auto"/>
                <w:szCs w:val="21"/>
                <w:highlight w:val="none"/>
              </w:rPr>
            </w:pPr>
            <w:r>
              <w:rPr>
                <w:rFonts w:hint="eastAsia" w:hAnsi="宋体"/>
                <w:color w:val="auto"/>
                <w:szCs w:val="21"/>
                <w:highlight w:val="none"/>
              </w:rPr>
              <w:t>化工单元操作</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开课单位</w:t>
            </w:r>
          </w:p>
        </w:tc>
        <w:tc>
          <w:tcPr>
            <w:tcW w:w="1994" w:type="dxa"/>
            <w:noWrap/>
            <w:vAlign w:val="center"/>
          </w:tcPr>
          <w:p>
            <w:pPr>
              <w:spacing w:line="360" w:lineRule="auto"/>
              <w:jc w:val="center"/>
              <w:rPr>
                <w:color w:val="auto"/>
                <w:szCs w:val="21"/>
                <w:highlight w:val="none"/>
              </w:rPr>
            </w:pPr>
            <w:r>
              <w:rPr>
                <w:rFonts w:hint="eastAsia" w:hAnsi="宋体"/>
                <w:color w:val="auto"/>
                <w:szCs w:val="21"/>
                <w:highlight w:val="none"/>
              </w:rPr>
              <w:t>晋城职业技术学院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平行课程</w:t>
            </w:r>
          </w:p>
        </w:tc>
        <w:tc>
          <w:tcPr>
            <w:tcW w:w="3274" w:type="dxa"/>
            <w:noWrap/>
            <w:vAlign w:val="center"/>
          </w:tcPr>
          <w:p>
            <w:pPr>
              <w:widowControl/>
              <w:jc w:val="center"/>
              <w:rPr>
                <w:color w:val="auto"/>
                <w:szCs w:val="21"/>
                <w:highlight w:val="none"/>
              </w:rPr>
            </w:pPr>
            <w:r>
              <w:rPr>
                <w:rFonts w:hint="eastAsia" w:hAnsi="宋体"/>
                <w:color w:val="auto"/>
                <w:szCs w:val="21"/>
                <w:highlight w:val="none"/>
              </w:rPr>
              <w:t>化工原理、化工仪表及自动化</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考核类型</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后继课程</w:t>
            </w:r>
          </w:p>
        </w:tc>
        <w:tc>
          <w:tcPr>
            <w:tcW w:w="6888" w:type="dxa"/>
            <w:gridSpan w:val="3"/>
            <w:noWrap/>
            <w:vAlign w:val="center"/>
          </w:tcPr>
          <w:p>
            <w:pPr>
              <w:spacing w:line="360" w:lineRule="auto"/>
              <w:jc w:val="center"/>
              <w:rPr>
                <w:color w:val="auto"/>
                <w:szCs w:val="21"/>
                <w:highlight w:val="none"/>
              </w:rPr>
            </w:pPr>
            <w:r>
              <w:rPr>
                <w:rFonts w:hint="eastAsia"/>
                <w:color w:val="auto"/>
                <w:szCs w:val="21"/>
                <w:highlight w:val="none"/>
                <w:lang w:val="en-US" w:eastAsia="zh-CN"/>
              </w:rPr>
              <w:t>洁净煤技术</w:t>
            </w:r>
            <w:r>
              <w:rPr>
                <w:rFonts w:hint="eastAsia"/>
                <w:color w:val="auto"/>
                <w:szCs w:val="21"/>
                <w:highlight w:val="none"/>
              </w:rPr>
              <w:t>、煤炭气化</w:t>
            </w:r>
          </w:p>
        </w:tc>
      </w:tr>
    </w:tbl>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（一）课程性质与定位</w:t>
      </w:r>
    </w:p>
    <w:p>
      <w:pPr>
        <w:pStyle w:val="25"/>
        <w:spacing w:line="360" w:lineRule="auto"/>
        <w:ind w:firstLineChars="175"/>
        <w:rPr>
          <w:rFonts w:ascii="宋体" w:hAnsi="宋体" w:cs="宋体"/>
          <w:color w:val="auto"/>
          <w:sz w:val="24"/>
          <w:szCs w:val="24"/>
          <w:highlight w:val="none"/>
        </w:rPr>
      </w:pPr>
      <w:r>
        <w:rPr>
          <w:rFonts w:hint="eastAsia" w:ascii="宋体" w:hAnsi="宋体" w:cs="宋体"/>
          <w:color w:val="auto"/>
          <w:sz w:val="24"/>
          <w:szCs w:val="24"/>
          <w:highlight w:val="none"/>
        </w:rPr>
        <w:t>《化工安全技术》是高等职业技术院校应用化工生产技术专业的一门必修课，是本专业重要的专业技能课之一。煤化工安全技术贯穿于化工生产全过程，从技术开发、工艺设计、厂房修建、设备安装、生产操作、设备管理、紧急预案、事故处理，直至“三废”处理等各个环节，它是一门涉及面广、内容丰富的综合性技术。因此，本课程同样贯穿于应用化工生产技术专业学习全过程，包括从各专业基础课到各专业课。本课程着眼于培养学生的煤化工安全技术专业知识和基本安全操作技能，着重培养学生分析、解决实际问题的能力，提高学生的职业素质。这些能力所涉及的知识与专业培养目标和现代化工行业人才所需知识结构相一致。煤化工安全技术与其它课程相辅相成，共同为学生将来进入化工企业进行安全生产操作、及基层管理工作打下坚实的基础。</w:t>
      </w:r>
    </w:p>
    <w:p>
      <w:pPr>
        <w:pStyle w:val="25"/>
        <w:spacing w:line="360" w:lineRule="auto"/>
        <w:ind w:firstLineChars="175"/>
        <w:rPr>
          <w:rFonts w:ascii="宋体" w:hAnsi="宋体" w:cs="宋体"/>
          <w:color w:val="auto"/>
          <w:sz w:val="24"/>
          <w:szCs w:val="24"/>
          <w:highlight w:val="none"/>
        </w:rPr>
      </w:pPr>
      <w:r>
        <w:rPr>
          <w:rFonts w:hint="eastAsia" w:ascii="宋体" w:hAnsi="宋体" w:cs="宋体"/>
          <w:color w:val="auto"/>
          <w:sz w:val="24"/>
          <w:szCs w:val="24"/>
          <w:highlight w:val="none"/>
        </w:rPr>
        <w:t>本课程前导课程有《化工原理》、《化工仪表及自动化》等课程，为煤化工安全技术课程提供理论支撑，主要为本课程的学习提供化工生产方法、工艺操作、仪表设备等方面理论知识和技能基础，后续课程包括综合实训和顶岗实训，为学生进入企业从事安全实训和生产操作提供安全知识和技能。</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（二）课程设计理念</w:t>
      </w:r>
    </w:p>
    <w:p>
      <w:pPr>
        <w:pStyle w:val="14"/>
        <w:spacing w:beforeAutospacing="0" w:afterAutospacing="0" w:line="480" w:lineRule="atLeast"/>
        <w:ind w:firstLine="480"/>
        <w:textAlignment w:val="baseline"/>
        <w:rPr>
          <w:rFonts w:ascii="Times New Roman" w:hAnsi="Times New Roman" w:eastAsia="宋体"/>
          <w:color w:val="auto"/>
          <w:highlight w:val="none"/>
        </w:rPr>
      </w:pPr>
      <w:r>
        <w:rPr>
          <w:rFonts w:hint="eastAsia" w:ascii="Times New Roman" w:hAnsi="Times New Roman" w:eastAsia="宋体"/>
          <w:color w:val="auto"/>
          <w:highlight w:val="none"/>
        </w:rPr>
        <w:t xml:space="preserve">在本课程的建设过程中，以化工安全生产和管理能力培养为重点，听取了化工行业专家以及毕业生的意见，同时在课程组中引进化工行业安全专家和工程技术人员参加课程建设，重组教学内容，基于化工安全生产职业岗位的工作过程，实现了模块化教学，每个模块都设置了学习目标和任务。 </w:t>
      </w:r>
    </w:p>
    <w:p>
      <w:pPr>
        <w:pStyle w:val="14"/>
        <w:spacing w:beforeAutospacing="0" w:afterAutospacing="0" w:line="480" w:lineRule="atLeast"/>
        <w:ind w:firstLine="480"/>
        <w:textAlignment w:val="baseline"/>
        <w:rPr>
          <w:rFonts w:ascii="Times New Roman" w:hAnsi="Times New Roman" w:eastAsia="宋体"/>
          <w:color w:val="auto"/>
          <w:highlight w:val="none"/>
        </w:rPr>
      </w:pPr>
      <w:r>
        <w:rPr>
          <w:rFonts w:hint="eastAsia" w:ascii="Times New Roman" w:hAnsi="Times New Roman" w:eastAsia="宋体"/>
          <w:color w:val="auto"/>
          <w:highlight w:val="none"/>
        </w:rPr>
        <w:t xml:space="preserve">同时，本课程还设有单项实训项目，其在化工安全生产中都是一个完整的工作过程。通过三地三合（“三地”是教室、实训场地和企业现场；“三合”是理论技能训练相结合、专题训练与生产综合实训相结合和工学结合）的教学模式，使理论和实践有机融合，教学做合一，不但培养了学生的化工安全知识和技能，还培养了学生综合技能和化工安全的职业素养。 </w:t>
      </w:r>
    </w:p>
    <w:p>
      <w:pPr>
        <w:pStyle w:val="14"/>
        <w:spacing w:beforeAutospacing="0" w:afterAutospacing="0" w:line="480" w:lineRule="atLeast"/>
        <w:ind w:firstLine="480"/>
        <w:textAlignment w:val="baseline"/>
        <w:rPr>
          <w:rFonts w:ascii="Times New Roman" w:hAnsi="Times New Roman" w:eastAsia="宋体"/>
          <w:color w:val="auto"/>
          <w:highlight w:val="none"/>
        </w:rPr>
      </w:pPr>
      <w:r>
        <w:rPr>
          <w:rFonts w:hint="eastAsia" w:ascii="Times New Roman" w:hAnsi="Times New Roman" w:eastAsia="宋体"/>
          <w:color w:val="auto"/>
          <w:highlight w:val="none"/>
        </w:rPr>
        <w:t>学生在课程中需要化学品安全知识、化工生产防火防爆、化工火灾扑救、机械伤害的预防、锅炉与压力容器的安全技术、化工用电安全、化工静电安全、化工检修安全以及防护器材及用品等知识学习和技能训练。这完全符合化工安全生产操作、安全管理的工作岗位任务，充分体现了煤化工安全技术的职业性。</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（三）课程目标</w:t>
      </w:r>
    </w:p>
    <w:p>
      <w:pPr>
        <w:pStyle w:val="14"/>
        <w:spacing w:beforeAutospacing="0" w:afterAutospacing="0" w:line="480" w:lineRule="atLeast"/>
        <w:ind w:firstLine="480"/>
        <w:textAlignment w:val="baseline"/>
        <w:rPr>
          <w:rFonts w:ascii="Times New Roman" w:hAnsi="Times New Roman" w:eastAsia="宋体"/>
          <w:color w:val="auto"/>
          <w:highlight w:val="none"/>
        </w:rPr>
      </w:pPr>
      <w:r>
        <w:rPr>
          <w:rFonts w:hint="eastAsia" w:ascii="Times New Roman" w:hAnsi="Times New Roman" w:eastAsia="宋体"/>
          <w:color w:val="auto"/>
          <w:highlight w:val="none"/>
        </w:rPr>
        <w:t>本课程的目标是：煤化工安全技术的教学是以易产生的各类事故为主线，对一些特殊的事故，运用设备、工艺和化工方面的基础知识，将课程内容融会贯通。通过本门课程的学习及对各类事故的剖析,使学生了解在类似的环境下存在的安全隐患，以及采取何种措施才是合适的保证安全生产的方法。培养学生运用所学知识研究生产系统中存在的安全问题以及解决问题的能力，为将来所从事的工作岗位发挥专业技能打下基础。</w:t>
      </w:r>
    </w:p>
    <w:p>
      <w:pPr>
        <w:pStyle w:val="14"/>
        <w:spacing w:beforeAutospacing="0" w:afterAutospacing="0" w:line="360" w:lineRule="auto"/>
        <w:ind w:firstLine="480" w:firstLineChars="200"/>
        <w:jc w:val="both"/>
        <w:rPr>
          <w:rFonts w:ascii="Times New Roman" w:hAnsi="Times New Roman" w:eastAsia="宋体"/>
          <w:color w:val="auto"/>
          <w:highlight w:val="none"/>
        </w:rPr>
      </w:pPr>
      <w:r>
        <w:rPr>
          <w:rFonts w:hint="eastAsia" w:ascii="Times New Roman" w:hAnsi="Times New Roman" w:eastAsia="宋体"/>
          <w:color w:val="auto"/>
          <w:highlight w:val="none"/>
        </w:rPr>
        <w:t>1</w:t>
      </w:r>
      <w:r>
        <w:rPr>
          <w:rFonts w:hint="eastAsia" w:ascii="Times New Roman" w:hAnsi="Times New Roman" w:eastAsia="宋体"/>
          <w:color w:val="auto"/>
          <w:highlight w:val="none"/>
          <w:lang w:eastAsia="zh-CN"/>
        </w:rPr>
        <w:t>.</w:t>
      </w:r>
      <w:r>
        <w:rPr>
          <w:rFonts w:hint="eastAsia" w:ascii="Times New Roman" w:hAnsi="Times New Roman" w:eastAsia="宋体"/>
          <w:color w:val="auto"/>
          <w:highlight w:val="none"/>
        </w:rPr>
        <w:t>专业知识</w:t>
      </w: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 xml:space="preserve">①了解当今化学工业概貌及其发展方向；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 xml:space="preserve">②掌握化学危险物质的分类、特点及安全贮存与运输。在物质性质的基础上把握化学危险物质的正确识别与处理；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 xml:space="preserve">③掌握防火防爆防尘防毒技术。重点掌握化工工艺参数的安全控制及火灾与爆炸蔓延的有效控制措施，并把握尘毒防护的方法；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 xml:space="preserve">④了解压力容器的分类、安全附件及其定期检验等。掌握工业锅炉、压力管道及气瓶等压力容器的安全使用知识；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 xml:space="preserve">⑤了解电气安全与静电防护技术。重点掌握触电急救的方法，并熟悉建筑物、化工设备及人体防雷的方法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 xml:space="preserve">⑥重点掌握化工装置的安全检修基础知识。把握装置停车的安全处理，以及检修中的动火安全、动电安全、高处作业、罐内作业等；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⑦掌握安全系统工程的基本概念，掌握危险性评价的方法。重点把握“人-机-环境”系统的危险性识别，并熟悉把握危险性预先分析法和火灾爆炸危险指数法。</w:t>
            </w:r>
          </w:p>
        </w:tc>
      </w:tr>
    </w:tbl>
    <w:p>
      <w:pPr>
        <w:pStyle w:val="14"/>
        <w:spacing w:beforeAutospacing="0" w:afterAutospacing="0" w:line="360" w:lineRule="auto"/>
        <w:ind w:firstLine="480" w:firstLineChars="200"/>
        <w:jc w:val="both"/>
        <w:rPr>
          <w:color w:val="auto"/>
          <w:highlight w:val="none"/>
        </w:rPr>
      </w:pPr>
      <w:r>
        <w:rPr>
          <w:rFonts w:hint="eastAsia"/>
          <w:color w:val="auto"/>
          <w:highlight w:val="none"/>
        </w:rPr>
        <w:t>2</w:t>
      </w:r>
      <w:r>
        <w:rPr>
          <w:rFonts w:hint="eastAsia"/>
          <w:color w:val="auto"/>
          <w:highlight w:val="none"/>
          <w:lang w:eastAsia="zh-CN"/>
        </w:rPr>
        <w:t>.</w:t>
      </w:r>
      <w:r>
        <w:rPr>
          <w:rFonts w:hint="eastAsia"/>
          <w:color w:val="auto"/>
          <w:highlight w:val="none"/>
        </w:rPr>
        <w:t>专业技能</w:t>
      </w: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①能够运用防火、防爆、防尘、防毒、防静电分析和处理化工生产中存在的安全问题以及做好自身的安全防护；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②能够运用电气安全技术协助化工仪表技术人员分析和处理化工仪表及自动化系统中的安全问题；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③能够运用压力容器安全技术知识，安全地操作压力容器，能够发现安全隐患并能采取相应的措施防止事故的出现和扩大；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 xml:space="preserve">④能够运用化工安全检修技术协助化工设备人员进行化工设备机械的检修、维护和使用；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360" w:lineRule="auto"/>
              <w:ind w:firstLine="420" w:firstLineChars="200"/>
              <w:jc w:val="both"/>
              <w:rPr>
                <w:color w:val="auto"/>
                <w:sz w:val="21"/>
                <w:szCs w:val="21"/>
                <w:highlight w:val="none"/>
              </w:rPr>
            </w:pPr>
            <w:r>
              <w:rPr>
                <w:rFonts w:hint="eastAsia"/>
                <w:color w:val="auto"/>
                <w:sz w:val="21"/>
                <w:szCs w:val="21"/>
                <w:highlight w:val="none"/>
              </w:rPr>
              <w:t>⑤初步具备综合运用煤化工安全技术知识，处理化工生产中的各种危险情况，并能够制订出相应的防护措施。</w:t>
            </w:r>
          </w:p>
        </w:tc>
      </w:tr>
    </w:tbl>
    <w:p>
      <w:pPr>
        <w:pStyle w:val="14"/>
        <w:spacing w:beforeAutospacing="0" w:afterAutospacing="0" w:line="360" w:lineRule="auto"/>
        <w:ind w:firstLine="480" w:firstLineChars="200"/>
        <w:jc w:val="both"/>
        <w:rPr>
          <w:color w:val="auto"/>
          <w:highlight w:val="none"/>
        </w:rPr>
      </w:pPr>
      <w:r>
        <w:rPr>
          <w:rFonts w:hint="eastAsia"/>
          <w:color w:val="auto"/>
          <w:highlight w:val="none"/>
        </w:rPr>
        <w:t>3</w:t>
      </w:r>
      <w:r>
        <w:rPr>
          <w:rFonts w:hint="eastAsia"/>
          <w:color w:val="auto"/>
          <w:highlight w:val="none"/>
          <w:lang w:eastAsia="zh-CN"/>
        </w:rPr>
        <w:t>.</w:t>
      </w:r>
      <w:r>
        <w:rPr>
          <w:rFonts w:hint="eastAsia"/>
          <w:color w:val="auto"/>
          <w:highlight w:val="none"/>
        </w:rPr>
        <w:t>自身素质</w:t>
      </w: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①具备化工生产的安全、环保及劳动卫生防护职业素养；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②具备化工生产遵章守纪的职业道德；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③具备强烈的责任感和吃苦耐劳的精神；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④具备资料查阅、信息检索和加工等自我学习能力；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⑤具备发现、分析和解决问题能力；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noWrap/>
          </w:tcPr>
          <w:p>
            <w:pPr>
              <w:pStyle w:val="14"/>
              <w:spacing w:beforeAutospacing="0" w:afterAutospacing="0" w:line="480" w:lineRule="atLeast"/>
              <w:ind w:firstLine="480"/>
              <w:textAlignment w:val="baseline"/>
              <w:rPr>
                <w:color w:val="auto"/>
                <w:sz w:val="21"/>
                <w:szCs w:val="21"/>
                <w:highlight w:val="none"/>
              </w:rPr>
            </w:pPr>
            <w:r>
              <w:rPr>
                <w:rFonts w:hint="eastAsia"/>
                <w:color w:val="auto"/>
                <w:sz w:val="21"/>
                <w:szCs w:val="21"/>
                <w:highlight w:val="none"/>
              </w:rPr>
              <w:t>⑥具备表达、沟通和与人合作、岗位与岗位之间合作的能力。</w:t>
            </w:r>
          </w:p>
        </w:tc>
      </w:tr>
    </w:tbl>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（四）课程教学内容及学时分配</w:t>
      </w:r>
    </w:p>
    <w:p>
      <w:pPr>
        <w:spacing w:line="360" w:lineRule="auto"/>
        <w:ind w:firstLine="480" w:firstLineChars="200"/>
        <w:rPr>
          <w:rFonts w:ascii="Times New Roman" w:hAnsi="Times New Roman" w:eastAsia="宋体" w:cs="宋体"/>
          <w:color w:val="auto"/>
          <w:kern w:val="0"/>
          <w:sz w:val="24"/>
          <w:highlight w:val="none"/>
        </w:rPr>
      </w:pPr>
      <w:r>
        <w:rPr>
          <w:rFonts w:hint="eastAsia" w:ascii="Times New Roman" w:hAnsi="Times New Roman" w:eastAsia="宋体" w:cs="宋体"/>
          <w:color w:val="auto"/>
          <w:sz w:val="24"/>
          <w:highlight w:val="none"/>
        </w:rPr>
        <w:t>本课程以化工生产中存在的各类危险源为主线，分别针对火灾爆炸、危险化学品、尘毒危害、酸碱腐蚀、压力容器、电气安全、装置检修等不安全因素而采取的预防与控制措施，以及企业安全管理的方法等来进行教学内容的组织与安排。</w:t>
      </w:r>
    </w:p>
    <w:p>
      <w:pPr>
        <w:spacing w:after="156" w:afterLines="50" w:line="360" w:lineRule="auto"/>
        <w:jc w:val="center"/>
        <w:rPr>
          <w:rFonts w:ascii="Times New Roman" w:hAnsi="Times New Roman" w:eastAsia="宋体"/>
          <w:color w:val="auto"/>
          <w:kern w:val="0"/>
          <w:sz w:val="24"/>
          <w:highlight w:val="none"/>
        </w:rPr>
      </w:pPr>
      <w:r>
        <w:rPr>
          <w:rFonts w:hint="eastAsia" w:ascii="Times New Roman" w:hAnsi="Times New Roman" w:eastAsia="宋体" w:cs="宋体"/>
          <w:color w:val="auto"/>
          <w:kern w:val="0"/>
          <w:sz w:val="24"/>
          <w:highlight w:val="none"/>
        </w:rPr>
        <w:t>表4.4</w:t>
      </w:r>
      <w:r>
        <w:rPr>
          <w:rFonts w:hint="eastAsia" w:ascii="Times New Roman" w:hAnsi="Times New Roman" w:eastAsia="宋体"/>
          <w:color w:val="auto"/>
          <w:kern w:val="0"/>
          <w:sz w:val="24"/>
          <w:highlight w:val="none"/>
        </w:rPr>
        <w:t>《</w:t>
      </w:r>
      <w:r>
        <w:rPr>
          <w:rFonts w:ascii="Times New Roman" w:hAnsi="Times New Roman" w:eastAsia="宋体"/>
          <w:color w:val="auto"/>
          <w:kern w:val="0"/>
          <w:sz w:val="24"/>
          <w:highlight w:val="none"/>
        </w:rPr>
        <w:t>化工安全技术</w:t>
      </w:r>
      <w:r>
        <w:rPr>
          <w:rFonts w:hint="eastAsia" w:ascii="Times New Roman" w:hAnsi="Times New Roman" w:eastAsia="宋体"/>
          <w:color w:val="auto"/>
          <w:kern w:val="0"/>
          <w:sz w:val="24"/>
          <w:highlight w:val="none"/>
        </w:rPr>
        <w:t>》</w:t>
      </w:r>
      <w:r>
        <w:rPr>
          <w:rFonts w:hint="eastAsia" w:ascii="Times New Roman" w:hAnsi="Times New Roman" w:eastAsia="宋体"/>
          <w:color w:val="auto"/>
          <w:sz w:val="24"/>
          <w:highlight w:val="none"/>
        </w:rPr>
        <w:t>教学内容安排</w:t>
      </w:r>
    </w:p>
    <w:tbl>
      <w:tblPr>
        <w:tblStyle w:val="15"/>
        <w:tblW w:w="8857"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185"/>
        <w:gridCol w:w="4140"/>
        <w:gridCol w:w="2812"/>
        <w:gridCol w:w="72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185" w:type="dxa"/>
            <w:tcBorders>
              <w:top w:val="single" w:color="auto" w:sz="12" w:space="0"/>
            </w:tcBorders>
            <w:noWrap/>
            <w:vAlign w:val="center"/>
          </w:tcPr>
          <w:p>
            <w:pPr>
              <w:adjustRightInd w:val="0"/>
              <w:snapToGrid w:val="0"/>
              <w:jc w:val="center"/>
              <w:rPr>
                <w:rFonts w:ascii="Times New Roman" w:hAnsi="Times New Roman" w:eastAsia="宋体"/>
                <w:b/>
                <w:bCs/>
                <w:color w:val="auto"/>
                <w:szCs w:val="21"/>
                <w:highlight w:val="none"/>
              </w:rPr>
            </w:pPr>
            <w:r>
              <w:rPr>
                <w:rFonts w:ascii="Times New Roman" w:hAnsi="Times New Roman" w:eastAsia="宋体"/>
                <w:b/>
                <w:bCs/>
                <w:color w:val="auto"/>
                <w:szCs w:val="21"/>
                <w:highlight w:val="none"/>
              </w:rPr>
              <w:t>项目任务</w:t>
            </w:r>
          </w:p>
        </w:tc>
        <w:tc>
          <w:tcPr>
            <w:tcW w:w="4140" w:type="dxa"/>
            <w:tcBorders>
              <w:top w:val="single" w:color="auto" w:sz="12" w:space="0"/>
            </w:tcBorders>
            <w:noWrap/>
            <w:vAlign w:val="center"/>
          </w:tcPr>
          <w:p>
            <w:pPr>
              <w:adjustRightInd w:val="0"/>
              <w:snapToGrid w:val="0"/>
              <w:ind w:firstLine="422" w:firstLineChars="200"/>
              <w:jc w:val="center"/>
              <w:rPr>
                <w:rFonts w:ascii="Times New Roman" w:hAnsi="Times New Roman" w:eastAsia="宋体"/>
                <w:b/>
                <w:bCs/>
                <w:color w:val="auto"/>
                <w:szCs w:val="21"/>
                <w:highlight w:val="none"/>
              </w:rPr>
            </w:pPr>
            <w:r>
              <w:rPr>
                <w:rFonts w:ascii="Times New Roman" w:hAnsi="Times New Roman" w:eastAsia="宋体"/>
                <w:b/>
                <w:bCs/>
                <w:color w:val="auto"/>
                <w:szCs w:val="21"/>
                <w:highlight w:val="none"/>
              </w:rPr>
              <w:t>学习情境描述及目标</w:t>
            </w:r>
          </w:p>
        </w:tc>
        <w:tc>
          <w:tcPr>
            <w:tcW w:w="2812" w:type="dxa"/>
            <w:tcBorders>
              <w:top w:val="single" w:color="auto" w:sz="12" w:space="0"/>
            </w:tcBorders>
            <w:noWrap/>
            <w:vAlign w:val="center"/>
          </w:tcPr>
          <w:p>
            <w:pPr>
              <w:adjustRightInd w:val="0"/>
              <w:snapToGrid w:val="0"/>
              <w:ind w:firstLine="422" w:firstLineChars="200"/>
              <w:jc w:val="center"/>
              <w:rPr>
                <w:rFonts w:ascii="Times New Roman" w:hAnsi="Times New Roman" w:eastAsia="宋体"/>
                <w:b/>
                <w:bCs/>
                <w:color w:val="auto"/>
                <w:szCs w:val="21"/>
                <w:highlight w:val="none"/>
              </w:rPr>
            </w:pPr>
            <w:r>
              <w:rPr>
                <w:rFonts w:ascii="Times New Roman" w:hAnsi="Times New Roman" w:eastAsia="宋体"/>
                <w:b/>
                <w:bCs/>
                <w:color w:val="auto"/>
                <w:szCs w:val="21"/>
                <w:highlight w:val="none"/>
              </w:rPr>
              <w:t>学习内容</w:t>
            </w:r>
          </w:p>
        </w:tc>
        <w:tc>
          <w:tcPr>
            <w:tcW w:w="720" w:type="dxa"/>
            <w:tcBorders>
              <w:top w:val="single" w:color="auto" w:sz="12" w:space="0"/>
            </w:tcBorders>
            <w:noWrap/>
            <w:vAlign w:val="center"/>
          </w:tcPr>
          <w:p>
            <w:pPr>
              <w:adjustRightInd w:val="0"/>
              <w:snapToGrid w:val="0"/>
              <w:jc w:val="center"/>
              <w:rPr>
                <w:rFonts w:ascii="Times New Roman" w:hAnsi="Times New Roman" w:eastAsia="宋体"/>
                <w:b/>
                <w:bCs/>
                <w:color w:val="auto"/>
                <w:szCs w:val="21"/>
                <w:highlight w:val="none"/>
              </w:rPr>
            </w:pPr>
            <w:r>
              <w:rPr>
                <w:rFonts w:ascii="Times New Roman" w:hAnsi="Times New Roman" w:eastAsia="宋体"/>
                <w:b/>
                <w:bCs/>
                <w:color w:val="auto"/>
                <w:szCs w:val="21"/>
                <w:highlight w:val="none"/>
              </w:rPr>
              <w:t>学时分配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62" w:hRule="atLeast"/>
          <w:jc w:val="center"/>
        </w:trPr>
        <w:tc>
          <w:tcPr>
            <w:tcW w:w="1185" w:type="dxa"/>
            <w:noWrap/>
            <w:vAlign w:val="center"/>
          </w:tcPr>
          <w:p>
            <w:pPr>
              <w:pStyle w:val="14"/>
              <w:adjustRightInd w:val="0"/>
              <w:snapToGrid w:val="0"/>
              <w:spacing w:beforeAutospacing="0" w:afterAutospacing="0"/>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一 危险化学品</w:t>
            </w:r>
          </w:p>
        </w:tc>
        <w:tc>
          <w:tcPr>
            <w:tcW w:w="4140" w:type="dxa"/>
            <w:noWrap/>
            <w:vAlign w:val="center"/>
          </w:tcPr>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了解：危险化学品的特性与分类、危险化学品的储存与运输、重大危险源。</w:t>
            </w:r>
          </w:p>
        </w:tc>
        <w:tc>
          <w:tcPr>
            <w:tcW w:w="2812" w:type="dxa"/>
            <w:noWrap/>
            <w:vAlign w:val="center"/>
          </w:tcPr>
          <w:p>
            <w:pPr>
              <w:pStyle w:val="14"/>
              <w:adjustRightInd w:val="0"/>
              <w:snapToGrid w:val="0"/>
              <w:spacing w:beforeAutospacing="0" w:afterAutospacing="0"/>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1 危险化学品的特性与分类</w:t>
            </w:r>
          </w:p>
          <w:p>
            <w:pPr>
              <w:pStyle w:val="14"/>
              <w:adjustRightInd w:val="0"/>
              <w:snapToGrid w:val="0"/>
              <w:spacing w:beforeAutospacing="0" w:afterAutospacing="0"/>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2 危险化学品的储存与运输</w:t>
            </w:r>
          </w:p>
          <w:p>
            <w:pPr>
              <w:pStyle w:val="14"/>
              <w:adjustRightInd w:val="0"/>
              <w:snapToGrid w:val="0"/>
              <w:spacing w:beforeAutospacing="0" w:afterAutospacing="0"/>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3 重大危险源</w:t>
            </w:r>
          </w:p>
        </w:tc>
        <w:tc>
          <w:tcPr>
            <w:tcW w:w="720" w:type="dxa"/>
            <w:noWrap/>
            <w:vAlign w:val="center"/>
          </w:tcPr>
          <w:p>
            <w:pPr>
              <w:adjustRightInd w:val="0"/>
              <w:snapToGrid w:val="0"/>
              <w:jc w:val="center"/>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4</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9" w:hRule="atLeast"/>
          <w:jc w:val="center"/>
        </w:trPr>
        <w:tc>
          <w:tcPr>
            <w:tcW w:w="1185" w:type="dxa"/>
            <w:noWrap/>
            <w:vAlign w:val="center"/>
          </w:tcPr>
          <w:p>
            <w:pPr>
              <w:pStyle w:val="14"/>
              <w:adjustRightInd w:val="0"/>
              <w:snapToGrid w:val="0"/>
              <w:spacing w:beforeAutospacing="0" w:afterAutospacing="0"/>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二 防火防爆安全技术</w:t>
            </w:r>
          </w:p>
        </w:tc>
        <w:tc>
          <w:tcPr>
            <w:tcW w:w="4140" w:type="dxa"/>
            <w:noWrap/>
            <w:vAlign w:val="center"/>
          </w:tcPr>
          <w:p>
            <w:pPr>
              <w:adjustRightInd w:val="0"/>
              <w:snapToGrid w:val="0"/>
              <w:rPr>
                <w:rFonts w:ascii="Times New Roman" w:hAnsi="Times New Roman" w:eastAsia="宋体" w:cs="宋体"/>
                <w:color w:val="auto"/>
                <w:szCs w:val="21"/>
                <w:highlight w:val="none"/>
              </w:rPr>
            </w:pPr>
            <w:r>
              <w:rPr>
                <w:rFonts w:ascii="Times New Roman" w:hAnsi="Times New Roman" w:eastAsia="宋体" w:cs="宋体"/>
                <w:color w:val="auto"/>
                <w:szCs w:val="21"/>
                <w:highlight w:val="none"/>
              </w:rPr>
              <w:t>掌握</w:t>
            </w:r>
            <w:r>
              <w:rPr>
                <w:rFonts w:hint="eastAsia" w:ascii="Times New Roman" w:hAnsi="Times New Roman" w:eastAsia="宋体" w:cs="宋体"/>
                <w:color w:val="auto"/>
                <w:szCs w:val="21"/>
                <w:highlight w:val="none"/>
              </w:rPr>
              <w:t>：</w:t>
            </w:r>
            <w:r>
              <w:rPr>
                <w:rFonts w:ascii="Times New Roman" w:hAnsi="Times New Roman" w:eastAsia="宋体" w:cs="宋体"/>
                <w:color w:val="auto"/>
                <w:szCs w:val="21"/>
                <w:highlight w:val="none"/>
              </w:rPr>
              <w:t>1、燃烧的概念2、燃烧过程3、.燃烧的条件4、掌握几个与物质燃烧、爆炸特性有关的概念：氧指数和最小点火能量等。5、.燃烧机理。6、影响火焰传播速度的因素，阻火器的工作原理。7、掌握爆炸极限的影响因素</w:t>
            </w:r>
          </w:p>
        </w:tc>
        <w:tc>
          <w:tcPr>
            <w:tcW w:w="2812" w:type="dxa"/>
            <w:noWrap/>
            <w:vAlign w:val="center"/>
          </w:tcPr>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1 燃烧基本知识</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2 爆炸基本知识</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3 火灾爆炸危险物质及其处理</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4 防止火灾爆炸发生</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5 控制火灾及爆炸蔓延</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6灭火原理和方法</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7 灭火剂</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8 灭火器材及消防设施</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9 初起火灾的扑救</w:t>
            </w:r>
          </w:p>
        </w:tc>
        <w:tc>
          <w:tcPr>
            <w:tcW w:w="720" w:type="dxa"/>
            <w:noWrap/>
            <w:vAlign w:val="center"/>
          </w:tcPr>
          <w:p>
            <w:pPr>
              <w:adjustRightInd w:val="0"/>
              <w:snapToGrid w:val="0"/>
              <w:jc w:val="center"/>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12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185" w:type="dxa"/>
            <w:noWrap/>
            <w:vAlign w:val="center"/>
          </w:tcPr>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三 工业毒物安全防护技术</w:t>
            </w:r>
          </w:p>
        </w:tc>
        <w:tc>
          <w:tcPr>
            <w:tcW w:w="4140" w:type="dxa"/>
            <w:noWrap/>
            <w:vAlign w:val="center"/>
          </w:tcPr>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掌握：</w:t>
            </w:r>
            <w:r>
              <w:rPr>
                <w:rFonts w:ascii="Times New Roman" w:hAnsi="Times New Roman" w:eastAsia="宋体" w:cs="宋体"/>
                <w:color w:val="auto"/>
                <w:szCs w:val="21"/>
                <w:highlight w:val="none"/>
              </w:rPr>
              <w:t>1.掌握危害因素的分类，并举例加以说明。2、工业毒物的毒性指标有哪些？3、理解最高容许浓度与阈限值的概念</w:t>
            </w:r>
          </w:p>
        </w:tc>
        <w:tc>
          <w:tcPr>
            <w:tcW w:w="2812" w:type="dxa"/>
            <w:noWrap/>
            <w:vAlign w:val="center"/>
          </w:tcPr>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1 工业毒物基础知识</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2窒息性气体危害及预防措施</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3典型重金属、有机物危害及预防措施</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4综合防毒技术</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5急性中毒的现场救护</w:t>
            </w:r>
          </w:p>
        </w:tc>
        <w:tc>
          <w:tcPr>
            <w:tcW w:w="720" w:type="dxa"/>
            <w:noWrap/>
            <w:vAlign w:val="center"/>
          </w:tcPr>
          <w:p>
            <w:pPr>
              <w:adjustRightInd w:val="0"/>
              <w:snapToGrid w:val="0"/>
              <w:jc w:val="center"/>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12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185" w:type="dxa"/>
            <w:noWrap/>
            <w:vAlign w:val="center"/>
          </w:tcPr>
          <w:p>
            <w:pPr>
              <w:pStyle w:val="14"/>
              <w:adjustRightInd w:val="0"/>
              <w:snapToGrid w:val="0"/>
              <w:spacing w:beforeAutospacing="0" w:afterAutospacing="0"/>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四 电气安全技术</w:t>
            </w:r>
          </w:p>
        </w:tc>
        <w:tc>
          <w:tcPr>
            <w:tcW w:w="4140" w:type="dxa"/>
            <w:noWrap/>
            <w:vAlign w:val="center"/>
          </w:tcPr>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了解：电气安全基本知识、电气安全措施、 触电急救</w:t>
            </w:r>
          </w:p>
        </w:tc>
        <w:tc>
          <w:tcPr>
            <w:tcW w:w="2812" w:type="dxa"/>
            <w:noWrap/>
            <w:vAlign w:val="center"/>
          </w:tcPr>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1 电气安全基本知识</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2 电气安全措施</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3 触电急救</w:t>
            </w:r>
          </w:p>
        </w:tc>
        <w:tc>
          <w:tcPr>
            <w:tcW w:w="720" w:type="dxa"/>
            <w:noWrap/>
            <w:vAlign w:val="center"/>
          </w:tcPr>
          <w:p>
            <w:pPr>
              <w:adjustRightInd w:val="0"/>
              <w:snapToGrid w:val="0"/>
              <w:jc w:val="center"/>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12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185" w:type="dxa"/>
            <w:noWrap/>
            <w:vAlign w:val="center"/>
          </w:tcPr>
          <w:p>
            <w:pPr>
              <w:pStyle w:val="14"/>
              <w:adjustRightInd w:val="0"/>
              <w:snapToGrid w:val="0"/>
              <w:spacing w:beforeAutospacing="0" w:afterAutospacing="0"/>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五 压力容器安全技术</w:t>
            </w:r>
          </w:p>
          <w:p>
            <w:pPr>
              <w:adjustRightInd w:val="0"/>
              <w:snapToGrid w:val="0"/>
              <w:rPr>
                <w:rFonts w:ascii="Times New Roman" w:hAnsi="Times New Roman" w:eastAsia="宋体" w:cs="宋体"/>
                <w:color w:val="auto"/>
                <w:szCs w:val="21"/>
                <w:highlight w:val="none"/>
              </w:rPr>
            </w:pPr>
          </w:p>
        </w:tc>
        <w:tc>
          <w:tcPr>
            <w:tcW w:w="4140" w:type="dxa"/>
            <w:noWrap/>
            <w:vAlign w:val="center"/>
          </w:tcPr>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掌握：</w:t>
            </w:r>
            <w:r>
              <w:rPr>
                <w:rFonts w:ascii="Times New Roman" w:hAnsi="Times New Roman" w:eastAsia="宋体" w:cs="宋体"/>
                <w:color w:val="auto"/>
                <w:szCs w:val="21"/>
                <w:highlight w:val="none"/>
              </w:rPr>
              <w:t>1、压力容器的分类2.压力容器的制造缺陷的分类及其原因，重点裂纹的类别和原因。3、压力容器安全装置的基本要求；4、安全阀的类型与适用范围5、安全阀排放能力的计算6、安全阀与爆炸片的优缺点。</w:t>
            </w:r>
          </w:p>
        </w:tc>
        <w:tc>
          <w:tcPr>
            <w:tcW w:w="2812" w:type="dxa"/>
            <w:noWrap/>
            <w:vAlign w:val="center"/>
          </w:tcPr>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1 压力容器概述</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2 压力容器的定期检验</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3 压力容器的安全附件</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4 压力容器的破坏形式</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5 气瓶的安全技术</w:t>
            </w:r>
          </w:p>
        </w:tc>
        <w:tc>
          <w:tcPr>
            <w:tcW w:w="720" w:type="dxa"/>
            <w:noWrap/>
            <w:vAlign w:val="center"/>
          </w:tcPr>
          <w:p>
            <w:pPr>
              <w:adjustRightInd w:val="0"/>
              <w:snapToGrid w:val="0"/>
              <w:jc w:val="center"/>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12</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185" w:type="dxa"/>
            <w:noWrap/>
            <w:vAlign w:val="center"/>
          </w:tcPr>
          <w:p>
            <w:pPr>
              <w:pStyle w:val="14"/>
              <w:adjustRightInd w:val="0"/>
              <w:snapToGrid w:val="0"/>
              <w:spacing w:beforeAutospacing="0" w:afterAutospacing="0"/>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六 装置运行与检修安全技术</w:t>
            </w:r>
          </w:p>
        </w:tc>
        <w:tc>
          <w:tcPr>
            <w:tcW w:w="4140" w:type="dxa"/>
            <w:noWrap/>
            <w:vAlign w:val="center"/>
          </w:tcPr>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掌握：</w:t>
            </w:r>
            <w:r>
              <w:rPr>
                <w:rFonts w:ascii="Times New Roman" w:hAnsi="Times New Roman" w:eastAsia="宋体" w:cs="宋体"/>
                <w:color w:val="auto"/>
                <w:szCs w:val="21"/>
                <w:highlight w:val="none"/>
              </w:rPr>
              <w:t>1、工艺装置的布置形式、安全事项、直线排列和非直线排列的设备。2、掌握工厂内一些危险设施设计时的安全事项，如公路、铁路、空分装置、火炬等的布置。</w:t>
            </w:r>
          </w:p>
        </w:tc>
        <w:tc>
          <w:tcPr>
            <w:tcW w:w="2812" w:type="dxa"/>
            <w:noWrap/>
            <w:vAlign w:val="center"/>
          </w:tcPr>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1 化工装置检修前准备工作</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2 化工装置检修停车后安全处理</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3化工装置检修作业安全技术</w:t>
            </w:r>
          </w:p>
          <w:p>
            <w:pPr>
              <w:adjustRightInd w:val="0"/>
              <w:snapToGrid w:val="0"/>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4 化工装置检修后开车前安全检查</w:t>
            </w:r>
          </w:p>
        </w:tc>
        <w:tc>
          <w:tcPr>
            <w:tcW w:w="720" w:type="dxa"/>
            <w:noWrap/>
            <w:vAlign w:val="center"/>
          </w:tcPr>
          <w:p>
            <w:pPr>
              <w:adjustRightInd w:val="0"/>
              <w:snapToGrid w:val="0"/>
              <w:jc w:val="center"/>
              <w:rPr>
                <w:rFonts w:ascii="Times New Roman" w:hAnsi="Times New Roman" w:eastAsia="宋体" w:cs="宋体"/>
                <w:color w:val="auto"/>
                <w:szCs w:val="21"/>
                <w:highlight w:val="none"/>
              </w:rPr>
            </w:pPr>
            <w:r>
              <w:rPr>
                <w:rFonts w:hint="eastAsia" w:ascii="Times New Roman" w:hAnsi="Times New Roman" w:eastAsia="宋体" w:cs="宋体"/>
                <w:color w:val="auto"/>
                <w:szCs w:val="21"/>
                <w:highlight w:val="none"/>
              </w:rPr>
              <w:t>20</w:t>
            </w:r>
          </w:p>
        </w:tc>
      </w:tr>
    </w:tbl>
    <w:p>
      <w:pPr>
        <w:rPr>
          <w:rFonts w:ascii="Times New Roman" w:hAnsi="Times New Roman" w:eastAsia="宋体"/>
          <w:color w:val="auto"/>
          <w:highlight w:val="none"/>
        </w:rPr>
      </w:pP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（五）教学组织与教学方法</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本课程教学中重点分析化工生产中各类危险源的特点、发生规律、控制原理，以及预防与控制措施，着重培养学生发现问题、分析问题和解决问题的能力，因此，课程的针对性很强。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本课程理论讲解、案例分析、情景再现、分组讨论、角色扮演、启发引导、技能操作等教学方法进行，让学生积极参与到课程的各环节，使其掌握化工职业岗位群所需的安全知识与技能，因此，本门课程的实用性很强。</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教学中要根据本课程的特点和学生的实际情况，选择适用的教学方法和教学手段，突出重点，突破难点，从多角度启发学生的思维，提高学生探究学习和自主学习的能力。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hint="eastAsia" w:ascii="宋体" w:hAnsi="宋体" w:eastAsia="宋体" w:cs="宋体"/>
          <w:color w:val="auto"/>
          <w:kern w:val="2"/>
          <w:highlight w:val="none"/>
        </w:rPr>
        <w:t>①</w:t>
      </w:r>
      <w:r>
        <w:rPr>
          <w:rFonts w:ascii="Times New Roman" w:hAnsi="Times New Roman" w:eastAsia="宋体"/>
          <w:color w:val="auto"/>
          <w:kern w:val="2"/>
          <w:highlight w:val="none"/>
        </w:rPr>
        <w:t xml:space="preserve">根据职业教育的培养目标和学生的知识水平，注重基本技能和岗位实践技能的培养，加强学生的素质教育，淡化过深的理论知识。应加强学生自学能力的培养。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hint="eastAsia" w:ascii="宋体" w:hAnsi="宋体" w:eastAsia="宋体" w:cs="宋体"/>
          <w:color w:val="auto"/>
          <w:kern w:val="2"/>
          <w:highlight w:val="none"/>
        </w:rPr>
        <w:t>②</w:t>
      </w:r>
      <w:r>
        <w:rPr>
          <w:rFonts w:ascii="Times New Roman" w:hAnsi="Times New Roman" w:eastAsia="宋体"/>
          <w:color w:val="auto"/>
          <w:kern w:val="2"/>
          <w:highlight w:val="none"/>
        </w:rPr>
        <w:t xml:space="preserve">充分利于现代教育技术，在教学中采用动画、视频、演示等多种形式的多媒体教学手段，使教学内容直观形象，充分调动学生的眼、耳、手，教学不枯燥，教学效果直观。利用网络将课堂教学延伸到课外，充分利用网络资源进行学习。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hint="eastAsia" w:ascii="宋体" w:hAnsi="宋体" w:eastAsia="宋体" w:cs="宋体"/>
          <w:color w:val="auto"/>
          <w:kern w:val="2"/>
          <w:highlight w:val="none"/>
        </w:rPr>
        <w:t>③</w:t>
      </w:r>
      <w:r>
        <w:rPr>
          <w:rFonts w:ascii="Times New Roman" w:hAnsi="Times New Roman" w:eastAsia="宋体"/>
          <w:color w:val="auto"/>
          <w:kern w:val="2"/>
          <w:highlight w:val="none"/>
        </w:rPr>
        <w:t xml:space="preserve">设计课程内容时，经常学习，不断积累，注意收集相关的技术资料，并及时将国内外最新的研究情况在教学中有选择有重点的向学生加以介绍，使教学内容跟得上时代的发展，不致于和社会脱节。 </w:t>
      </w:r>
    </w:p>
    <w:p>
      <w:pPr>
        <w:pStyle w:val="14"/>
        <w:spacing w:beforeAutospacing="0" w:afterAutospacing="0" w:line="480" w:lineRule="atLeast"/>
        <w:ind w:firstLine="480"/>
        <w:textAlignment w:val="baseline"/>
        <w:rPr>
          <w:rFonts w:ascii="Times New Roman" w:hAnsi="Times New Roman" w:eastAsia="宋体"/>
          <w:color w:val="auto"/>
          <w:sz w:val="24"/>
          <w:highlight w:val="none"/>
        </w:rPr>
      </w:pPr>
      <w:r>
        <w:rPr>
          <w:rFonts w:hint="eastAsia" w:ascii="宋体" w:hAnsi="宋体" w:eastAsia="宋体" w:cs="宋体"/>
          <w:color w:val="auto"/>
          <w:kern w:val="2"/>
          <w:highlight w:val="none"/>
        </w:rPr>
        <w:t>④</w:t>
      </w:r>
      <w:r>
        <w:rPr>
          <w:rFonts w:ascii="Times New Roman" w:hAnsi="Times New Roman" w:eastAsia="宋体"/>
          <w:color w:val="auto"/>
          <w:kern w:val="2"/>
          <w:highlight w:val="none"/>
        </w:rPr>
        <w:t xml:space="preserve">采用启发式、互动式、讨论式、发散性思维等教学方法，充分调动学生的积极性，激发学生的学习兴趣，对教学难点单元组织课题组教师集体备课。  </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（六）考核标准与成绩评定方法</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(1) 评价原则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坚持理论知识与实践知识综合评价的原则，突出能力评价优先地位的原则，重点过程评价原则，采取多种方式评价原则，学生自评与其他评价结合的原则等。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本课程的评价主要考虑课堂教学情况、回答问题情况、完成作业情况、实验实训操作情况和完成报告情况等综合考评。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评价途径包括自我评价、学生互评、小组评价、教师评价等，主要由教师进行评定。</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(2) 评价方法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打破传统的单一闭卷考试的模式，对学生的成绩实施了多元化的评价。在评价过程中注意内容多元化、角度立体化、过程动态化、主体互动化，不仅考察学生掌握书本知识程度，而且全面评价学生应用知识能力、创新意识、创新能力等综合素质。采取以下方式来评价学生成绩：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总成绩 = 期末考试成绩（60%）+平时成绩（40%）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其中：期末考试采用开卷形式，严格按照各项考试规范进行。平时成绩的构成方式为：平时成绩=期中考试（50%）+平时作业（30%）+考勤（10%）+课堂表现（10%）</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（七）教学建议</w:t>
      </w:r>
    </w:p>
    <w:p>
      <w:pPr>
        <w:spacing w:line="360" w:lineRule="auto"/>
        <w:rPr>
          <w:rFonts w:ascii="Times New Roman" w:hAnsi="Times New Roman" w:eastAsia="宋体"/>
          <w:color w:val="auto"/>
          <w:sz w:val="24"/>
          <w:highlight w:val="none"/>
        </w:rPr>
      </w:pPr>
      <w:r>
        <w:rPr>
          <w:rFonts w:hint="eastAsia" w:ascii="Times New Roman" w:hAnsi="Times New Roman" w:eastAsia="宋体"/>
          <w:color w:val="auto"/>
          <w:sz w:val="24"/>
          <w:highlight w:val="none"/>
        </w:rPr>
        <w:t xml:space="preserve">    适当的运用现代化教学手段，激发学生的学习兴趣；重视网络教学资源；侧重理论联系实际的实践性环节和教学方式灵活、多样的教学改革和研究思想；建立教学资源库；重视对实验室的建设和投入，加强校内校外实训基地建设；积极利用数字图书馆、电子期刊、电子书籍，使教学内容更多元化，拓展学生的知识和能力。</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（八）选用教材标准及推荐教材和参考用书（或课程网站）</w:t>
      </w:r>
    </w:p>
    <w:p>
      <w:pPr>
        <w:spacing w:line="360" w:lineRule="auto"/>
        <w:ind w:firstLine="480" w:firstLineChars="200"/>
        <w:rPr>
          <w:rFonts w:ascii="Times New Roman" w:hAnsi="Times New Roman" w:eastAsia="宋体"/>
          <w:color w:val="auto"/>
          <w:sz w:val="24"/>
          <w:highlight w:val="none"/>
        </w:rPr>
      </w:pPr>
      <w:r>
        <w:rPr>
          <w:rFonts w:ascii="Times New Roman" w:hAnsi="Times New Roman" w:eastAsia="宋体"/>
          <w:color w:val="auto"/>
          <w:sz w:val="24"/>
          <w:highlight w:val="none"/>
        </w:rPr>
        <w:t>1.《化工安全技术》 刘景良 主编 化学工业出版社</w:t>
      </w:r>
      <w:r>
        <w:rPr>
          <w:rFonts w:ascii="Times New Roman" w:hAnsi="Times New Roman" w:eastAsia="宋体"/>
          <w:color w:val="auto"/>
          <w:sz w:val="24"/>
          <w:highlight w:val="none"/>
        </w:rPr>
        <w:br w:type="textWrapping"/>
      </w:r>
      <w:r>
        <w:rPr>
          <w:rFonts w:ascii="Times New Roman" w:hAnsi="Times New Roman" w:eastAsia="宋体"/>
          <w:color w:val="auto"/>
          <w:sz w:val="24"/>
          <w:highlight w:val="none"/>
        </w:rPr>
        <w:t>　　2.《化工安全工程概论》，许文编，化学工业出版社，2002年7月第1次印刷；</w:t>
      </w:r>
    </w:p>
    <w:p>
      <w:pPr>
        <w:spacing w:line="360" w:lineRule="auto"/>
        <w:ind w:firstLine="480" w:firstLineChars="200"/>
        <w:rPr>
          <w:rFonts w:ascii="Times New Roman" w:hAnsi="Times New Roman" w:eastAsia="宋体"/>
          <w:color w:val="auto"/>
          <w:sz w:val="24"/>
          <w:highlight w:val="none"/>
        </w:rPr>
      </w:pPr>
      <w:r>
        <w:rPr>
          <w:rFonts w:ascii="Times New Roman" w:hAnsi="Times New Roman" w:eastAsia="宋体"/>
          <w:color w:val="auto"/>
          <w:sz w:val="24"/>
          <w:highlight w:val="none"/>
        </w:rPr>
        <w:t>3.</w:t>
      </w:r>
      <w:r>
        <w:rPr>
          <w:rFonts w:hint="eastAsia" w:ascii="Times New Roman" w:hAnsi="Times New Roman" w:eastAsia="宋体"/>
          <w:color w:val="auto"/>
          <w:sz w:val="24"/>
          <w:highlight w:val="none"/>
        </w:rPr>
        <w:t>《</w:t>
      </w:r>
      <w:r>
        <w:rPr>
          <w:rFonts w:ascii="Times New Roman" w:hAnsi="Times New Roman" w:eastAsia="宋体"/>
          <w:color w:val="auto"/>
          <w:sz w:val="24"/>
          <w:highlight w:val="none"/>
        </w:rPr>
        <w:t>化工安全技术与管理》周忠元编 化学工业出版社</w:t>
      </w:r>
      <w:r>
        <w:rPr>
          <w:rFonts w:ascii="Times New Roman" w:hAnsi="Times New Roman" w:eastAsia="宋体"/>
          <w:color w:val="auto"/>
          <w:sz w:val="24"/>
          <w:highlight w:val="none"/>
        </w:rPr>
        <w:br w:type="textWrapping"/>
      </w:r>
      <w:r>
        <w:rPr>
          <w:rFonts w:ascii="Times New Roman" w:hAnsi="Times New Roman" w:eastAsia="宋体"/>
          <w:color w:val="auto"/>
          <w:sz w:val="24"/>
          <w:highlight w:val="none"/>
        </w:rPr>
        <w:t>　　4.《化工安全工程》，蔡凤英等编，科学出版社，2001年2月第1次印刷</w:t>
      </w:r>
      <w:r>
        <w:rPr>
          <w:rFonts w:ascii="Times New Roman" w:hAnsi="Times New Roman" w:eastAsia="宋体"/>
          <w:color w:val="auto"/>
          <w:sz w:val="24"/>
          <w:highlight w:val="none"/>
        </w:rPr>
        <w:br w:type="textWrapping"/>
      </w:r>
      <w:r>
        <w:rPr>
          <w:rFonts w:ascii="Times New Roman" w:hAnsi="Times New Roman" w:eastAsia="宋体"/>
          <w:color w:val="auto"/>
          <w:sz w:val="24"/>
          <w:highlight w:val="none"/>
        </w:rPr>
        <w:t>　　5.《化工厂系统安全工程》宋建池 范秀山等主编 化学工业出版社</w:t>
      </w:r>
    </w:p>
    <w:p>
      <w:pPr>
        <w:spacing w:line="360" w:lineRule="auto"/>
        <w:ind w:firstLine="480" w:firstLineChars="200"/>
        <w:rPr>
          <w:rFonts w:ascii="Times New Roman" w:hAnsi="Times New Roman" w:eastAsia="宋体"/>
          <w:color w:val="auto"/>
          <w:sz w:val="24"/>
          <w:highlight w:val="none"/>
        </w:rPr>
      </w:pPr>
      <w:r>
        <w:rPr>
          <w:rFonts w:ascii="Times New Roman" w:hAnsi="Times New Roman" w:eastAsia="宋体"/>
          <w:color w:val="auto"/>
          <w:sz w:val="24"/>
          <w:highlight w:val="none"/>
        </w:rPr>
        <w:t xml:space="preserve">化工论坛：http://www.ccebbs.com/ </w:t>
      </w:r>
    </w:p>
    <w:p>
      <w:pPr>
        <w:spacing w:line="360" w:lineRule="auto"/>
        <w:ind w:firstLine="480" w:firstLineChars="200"/>
        <w:rPr>
          <w:rFonts w:ascii="Times New Roman" w:hAnsi="Times New Roman" w:eastAsia="宋体"/>
          <w:color w:val="auto"/>
          <w:sz w:val="24"/>
          <w:highlight w:val="none"/>
        </w:rPr>
      </w:pPr>
      <w:r>
        <w:rPr>
          <w:rFonts w:ascii="Times New Roman" w:hAnsi="Times New Roman" w:eastAsia="宋体"/>
          <w:color w:val="auto"/>
          <w:sz w:val="24"/>
          <w:highlight w:val="none"/>
        </w:rPr>
        <w:t xml:space="preserve">中国高校化学化工课程网：http://chem.cncourse.com/ </w:t>
      </w:r>
    </w:p>
    <w:p>
      <w:pPr>
        <w:spacing w:line="360" w:lineRule="auto"/>
        <w:ind w:firstLine="480" w:firstLineChars="200"/>
        <w:rPr>
          <w:bCs/>
          <w:color w:val="auto"/>
          <w:highlight w:val="none"/>
        </w:rPr>
      </w:pPr>
      <w:r>
        <w:rPr>
          <w:rFonts w:ascii="Times New Roman" w:hAnsi="Times New Roman" w:eastAsia="宋体"/>
          <w:color w:val="auto"/>
          <w:sz w:val="24"/>
          <w:highlight w:val="none"/>
        </w:rPr>
        <w:t>石油大学《石油化工安全技术》网络课程：h</w:t>
      </w:r>
      <w:r>
        <w:rPr>
          <w:rFonts w:ascii="宋体" w:hAnsi="宋体"/>
          <w:color w:val="auto"/>
          <w:sz w:val="24"/>
          <w:highlight w:val="none"/>
        </w:rPr>
        <w:t xml:space="preserve">ttp://ycjy.jpu.edu.cn/aq/ </w:t>
      </w:r>
    </w:p>
    <w:p>
      <w:pPr>
        <w:pStyle w:val="3"/>
        <w:spacing w:before="0" w:after="0" w:line="360" w:lineRule="auto"/>
        <w:rPr>
          <w:rFonts w:ascii="Times New Roman" w:hAnsi="Times New Roman"/>
          <w:b w:val="0"/>
          <w:bCs/>
          <w:color w:val="auto"/>
          <w:highlight w:val="none"/>
        </w:rPr>
      </w:pPr>
      <w:bookmarkStart w:id="67" w:name="_Toc19293"/>
      <w:bookmarkStart w:id="68" w:name="_Toc17238588"/>
      <w:r>
        <w:rPr>
          <w:rFonts w:hint="eastAsia" w:ascii="Times New Roman" w:hAnsi="Times New Roman"/>
          <w:b w:val="0"/>
          <w:bCs/>
          <w:color w:val="auto"/>
          <w:highlight w:val="none"/>
        </w:rPr>
        <w:t>四、《煤化学》核心课程标准</w:t>
      </w:r>
      <w:bookmarkEnd w:id="67"/>
      <w:bookmarkEnd w:id="68"/>
    </w:p>
    <w:tbl>
      <w:tblPr>
        <w:tblStyle w:val="15"/>
        <w:tblW w:w="822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274"/>
        <w:gridCol w:w="162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课程编码</w:t>
            </w:r>
          </w:p>
        </w:tc>
        <w:tc>
          <w:tcPr>
            <w:tcW w:w="327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default" w:eastAsiaTheme="minorEastAsia"/>
                <w:color w:val="auto"/>
                <w:szCs w:val="21"/>
                <w:highlight w:val="none"/>
                <w:lang w:val="en-US" w:eastAsia="zh-CN"/>
              </w:rPr>
            </w:pPr>
            <w:r>
              <w:rPr>
                <w:rFonts w:hint="eastAsia"/>
                <w:color w:val="auto"/>
                <w:szCs w:val="21"/>
                <w:highlight w:val="none"/>
                <w:lang w:val="en-US" w:eastAsia="zh-CN"/>
              </w:rPr>
              <w:t>1003056</w:t>
            </w:r>
          </w:p>
        </w:tc>
        <w:tc>
          <w:tcPr>
            <w:tcW w:w="162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课程类别</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专业学习领域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计划学时</w:t>
            </w:r>
          </w:p>
        </w:tc>
        <w:tc>
          <w:tcPr>
            <w:tcW w:w="327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color w:val="auto"/>
                <w:szCs w:val="21"/>
                <w:highlight w:val="none"/>
              </w:rPr>
              <w:t>72</w:t>
            </w:r>
          </w:p>
        </w:tc>
        <w:tc>
          <w:tcPr>
            <w:tcW w:w="162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课程类型</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color w:val="auto"/>
                <w:szCs w:val="21"/>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适用专业</w:t>
            </w:r>
          </w:p>
        </w:tc>
        <w:tc>
          <w:tcPr>
            <w:tcW w:w="327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煤炭深加工与利用</w:t>
            </w:r>
          </w:p>
        </w:tc>
        <w:tc>
          <w:tcPr>
            <w:tcW w:w="162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课程性质</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开课学期</w:t>
            </w:r>
          </w:p>
        </w:tc>
        <w:tc>
          <w:tcPr>
            <w:tcW w:w="327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第</w:t>
            </w:r>
            <w:r>
              <w:rPr>
                <w:rFonts w:hint="eastAsia"/>
                <w:color w:val="auto"/>
                <w:szCs w:val="21"/>
                <w:highlight w:val="none"/>
              </w:rPr>
              <w:t>3</w:t>
            </w:r>
            <w:r>
              <w:rPr>
                <w:rFonts w:hint="eastAsia" w:hAnsi="宋体"/>
                <w:color w:val="auto"/>
                <w:szCs w:val="21"/>
                <w:highlight w:val="none"/>
              </w:rPr>
              <w:t>学期</w:t>
            </w:r>
          </w:p>
        </w:tc>
        <w:tc>
          <w:tcPr>
            <w:tcW w:w="162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学分</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先行课程</w:t>
            </w:r>
          </w:p>
        </w:tc>
        <w:tc>
          <w:tcPr>
            <w:tcW w:w="327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Ansi="宋体"/>
                <w:color w:val="auto"/>
                <w:szCs w:val="21"/>
                <w:highlight w:val="none"/>
              </w:rPr>
            </w:pPr>
            <w:r>
              <w:rPr>
                <w:rFonts w:hint="eastAsia" w:hAnsi="宋体"/>
                <w:color w:val="auto"/>
                <w:szCs w:val="21"/>
                <w:highlight w:val="none"/>
              </w:rPr>
              <w:t>基础化学，</w:t>
            </w:r>
          </w:p>
          <w:p>
            <w:pPr>
              <w:spacing w:line="360" w:lineRule="auto"/>
              <w:jc w:val="center"/>
              <w:rPr>
                <w:color w:val="auto"/>
                <w:szCs w:val="21"/>
                <w:highlight w:val="none"/>
              </w:rPr>
            </w:pPr>
            <w:r>
              <w:rPr>
                <w:rFonts w:hint="eastAsia" w:hAnsi="宋体"/>
                <w:color w:val="auto"/>
                <w:szCs w:val="21"/>
                <w:highlight w:val="none"/>
              </w:rPr>
              <w:t>化工单元操作</w:t>
            </w:r>
          </w:p>
        </w:tc>
        <w:tc>
          <w:tcPr>
            <w:tcW w:w="162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开课单位</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晋城职业技术学院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平行课程</w:t>
            </w:r>
          </w:p>
        </w:tc>
        <w:tc>
          <w:tcPr>
            <w:tcW w:w="3274" w:type="dxa"/>
            <w:tcBorders>
              <w:top w:val="single" w:color="auto" w:sz="4" w:space="0"/>
              <w:left w:val="single" w:color="auto" w:sz="4" w:space="0"/>
              <w:bottom w:val="single" w:color="auto" w:sz="4" w:space="0"/>
              <w:right w:val="single" w:color="auto" w:sz="4" w:space="0"/>
            </w:tcBorders>
            <w:noWrap/>
            <w:vAlign w:val="center"/>
          </w:tcPr>
          <w:p>
            <w:pPr>
              <w:widowControl/>
              <w:jc w:val="center"/>
              <w:rPr>
                <w:color w:val="auto"/>
                <w:szCs w:val="21"/>
                <w:highlight w:val="none"/>
              </w:rPr>
            </w:pPr>
            <w:r>
              <w:rPr>
                <w:rFonts w:hint="eastAsia"/>
                <w:color w:val="auto"/>
                <w:szCs w:val="21"/>
                <w:highlight w:val="none"/>
              </w:rPr>
              <w:t>煤质分析</w:t>
            </w:r>
          </w:p>
        </w:tc>
        <w:tc>
          <w:tcPr>
            <w:tcW w:w="162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考核类型</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后继课程</w:t>
            </w:r>
          </w:p>
        </w:tc>
        <w:tc>
          <w:tcPr>
            <w:tcW w:w="6888" w:type="dxa"/>
            <w:gridSpan w:val="3"/>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default" w:eastAsiaTheme="minorEastAsia"/>
                <w:color w:val="auto"/>
                <w:szCs w:val="21"/>
                <w:highlight w:val="none"/>
                <w:lang w:val="en-US" w:eastAsia="zh-CN"/>
              </w:rPr>
            </w:pPr>
            <w:r>
              <w:rPr>
                <w:rFonts w:hint="eastAsia"/>
                <w:color w:val="auto"/>
                <w:szCs w:val="21"/>
                <w:highlight w:val="none"/>
              </w:rPr>
              <w:t>现代煤化工技术</w:t>
            </w:r>
            <w:r>
              <w:rPr>
                <w:rFonts w:hint="eastAsia"/>
                <w:color w:val="auto"/>
                <w:szCs w:val="21"/>
                <w:highlight w:val="none"/>
                <w:lang w:eastAsia="zh-CN"/>
              </w:rPr>
              <w:t>、</w:t>
            </w:r>
            <w:r>
              <w:rPr>
                <w:rFonts w:hint="eastAsia"/>
                <w:color w:val="auto"/>
                <w:szCs w:val="21"/>
                <w:highlight w:val="none"/>
                <w:lang w:val="en-US" w:eastAsia="zh-CN"/>
              </w:rPr>
              <w:t>洁净煤技术</w:t>
            </w:r>
          </w:p>
        </w:tc>
      </w:tr>
    </w:tbl>
    <w:p>
      <w:pPr>
        <w:tabs>
          <w:tab w:val="left" w:pos="567"/>
        </w:tabs>
        <w:spacing w:line="360" w:lineRule="auto"/>
        <w:ind w:left="480"/>
        <w:rPr>
          <w:rFonts w:ascii="宋体" w:hAnsi="宋体"/>
          <w:color w:val="auto"/>
          <w:sz w:val="24"/>
          <w:highlight w:val="none"/>
        </w:rPr>
      </w:pP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（一）课程性质与定位</w:t>
      </w:r>
    </w:p>
    <w:p>
      <w:pPr>
        <w:spacing w:line="360" w:lineRule="auto"/>
        <w:ind w:firstLine="424" w:firstLineChars="177"/>
        <w:rPr>
          <w:rFonts w:ascii="Times New Roman" w:hAnsi="Times New Roman" w:eastAsia="宋体"/>
          <w:color w:val="auto"/>
          <w:sz w:val="24"/>
          <w:highlight w:val="none"/>
        </w:rPr>
      </w:pPr>
      <w:r>
        <w:rPr>
          <w:rFonts w:hint="eastAsia" w:ascii="Times New Roman" w:hAnsi="Times New Roman" w:eastAsia="宋体"/>
          <w:color w:val="auto"/>
          <w:sz w:val="24"/>
          <w:highlight w:val="none"/>
        </w:rPr>
        <w:t>本课程为煤化工专业方向的技术基础课，其主要任务是使学生掌握煤的特征、生成、结构、分析和分类；煤的热解、煤的液化和气化等过程的机理及其理论基础；煤的各种加工产物的组成、性质和应用。目的在于深入了解煤的特性，解决煤炭利用中的各种问题，开发新的加工技术和开拓新的利用途径，使煤炭资源得到合理和有效的利用，同时为学习煤化学工程与工艺学、炼焦学、煤转化技术等课程打下扎实的理论基础。</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（二）课程设计理念</w:t>
      </w:r>
    </w:p>
    <w:p>
      <w:pPr>
        <w:pStyle w:val="14"/>
        <w:spacing w:beforeAutospacing="0" w:afterAutospacing="0" w:line="480" w:lineRule="atLeast"/>
        <w:ind w:firstLine="480" w:firstLineChars="200"/>
        <w:textAlignment w:val="baseline"/>
        <w:rPr>
          <w:rFonts w:ascii="Times New Roman" w:hAnsi="Times New Roman" w:eastAsia="宋体"/>
          <w:color w:val="auto"/>
          <w:highlight w:val="none"/>
        </w:rPr>
      </w:pPr>
      <w:r>
        <w:rPr>
          <w:rFonts w:hint="eastAsia" w:ascii="Times New Roman" w:hAnsi="Times New Roman" w:eastAsia="宋体"/>
          <w:color w:val="auto"/>
          <w:highlight w:val="none"/>
        </w:rPr>
        <w:t xml:space="preserve">《煤化学》开设课程的目的是丰富学生的专业知识体系，提升学生的专业素养，为从事煤炭相关工作奠定基础。通过本课程的学习,明确煤化学在整个专业课中的地位及所学的全部内容，以煤的分子结构为主线，来对煤的生成、组成、性质及分析和利用进行系统学习，使学生能够运用煤化学的基本理论和方法, 分析评价煤的组成和性质, 并具有确定煤的合理加工利用途径的基本能力。不仅使学生具有扎实的专业理论知识，而且使学生具备了较强的实验动手能力。运用煤化学的理论知识，分析评价煤的组成和性质，并具有确定煤炭综合利用途径的基本能力。 </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（三）课程目标</w:t>
      </w:r>
    </w:p>
    <w:p>
      <w:pPr>
        <w:tabs>
          <w:tab w:val="left" w:pos="567"/>
        </w:tabs>
        <w:spacing w:line="360" w:lineRule="auto"/>
        <w:ind w:firstLine="480" w:firstLineChars="200"/>
        <w:rPr>
          <w:rFonts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rPr>
        <w:t xml:space="preserve">通过本门课程学习，掌握煤的生成过程及其对煤的性质的决定性影响；掌握利用煤岩学手段来分析和判断煤的可选性原理；熟练掌握煤的分子结构理论，并能够预测和分析煤的性质；熟练掌握煤的工业分析、元素分析、物理性质、化学性质、工艺性质等及其相互关系；掌握煤炭的分类以及常见煤类的基本性质及其应用途径。 </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（四）课程教学内容及学时分配</w:t>
      </w:r>
    </w:p>
    <w:p>
      <w:pPr>
        <w:spacing w:line="360" w:lineRule="auto"/>
        <w:ind w:left="480"/>
        <w:jc w:val="center"/>
        <w:rPr>
          <w:rFonts w:ascii="Times New Roman" w:hAnsi="Times New Roman" w:eastAsia="宋体"/>
          <w:color w:val="auto"/>
          <w:sz w:val="24"/>
          <w:highlight w:val="none"/>
        </w:rPr>
      </w:pPr>
      <w:r>
        <w:rPr>
          <w:rFonts w:hint="eastAsia" w:ascii="Times New Roman" w:hAnsi="Times New Roman" w:eastAsia="宋体"/>
          <w:color w:val="auto"/>
          <w:sz w:val="24"/>
          <w:highlight w:val="none"/>
        </w:rPr>
        <w:t xml:space="preserve">4.5 </w:t>
      </w:r>
      <w:r>
        <w:rPr>
          <w:rFonts w:hint="eastAsia" w:ascii="Times New Roman" w:hAnsi="Times New Roman" w:eastAsia="宋体"/>
          <w:color w:val="auto"/>
          <w:kern w:val="0"/>
          <w:sz w:val="24"/>
          <w:highlight w:val="none"/>
        </w:rPr>
        <w:t>《煤化学》</w:t>
      </w:r>
      <w:r>
        <w:rPr>
          <w:rFonts w:ascii="Times New Roman" w:hAnsi="Times New Roman" w:eastAsia="宋体"/>
          <w:color w:val="auto"/>
          <w:kern w:val="0"/>
          <w:sz w:val="24"/>
          <w:highlight w:val="none"/>
        </w:rPr>
        <w:t>课程教学内容及学时安排</w:t>
      </w:r>
    </w:p>
    <w:tbl>
      <w:tblPr>
        <w:tblStyle w:val="15"/>
        <w:tblW w:w="8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3079"/>
        <w:gridCol w:w="2983"/>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250" w:type="dxa"/>
            <w:noWrap/>
            <w:vAlign w:val="center"/>
          </w:tcPr>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项目任务</w:t>
            </w:r>
          </w:p>
        </w:tc>
        <w:tc>
          <w:tcPr>
            <w:tcW w:w="3079" w:type="dxa"/>
            <w:noWrap/>
            <w:vAlign w:val="center"/>
          </w:tcPr>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学习情境描述及目标</w:t>
            </w:r>
          </w:p>
        </w:tc>
        <w:tc>
          <w:tcPr>
            <w:tcW w:w="2983" w:type="dxa"/>
            <w:noWrap/>
            <w:vAlign w:val="center"/>
          </w:tcPr>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学习内容</w:t>
            </w:r>
          </w:p>
        </w:tc>
        <w:tc>
          <w:tcPr>
            <w:tcW w:w="868" w:type="dxa"/>
            <w:noWrap/>
            <w:vAlign w:val="center"/>
          </w:tcPr>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学时</w:t>
            </w:r>
          </w:p>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440" w:lineRule="exact"/>
              <w:jc w:val="center"/>
              <w:rPr>
                <w:rFonts w:ascii="Times New Roman" w:hAnsi="Times New Roman" w:eastAsia="宋体" w:cs="Times New Roman"/>
                <w:color w:val="auto"/>
                <w:highlight w:val="none"/>
              </w:rPr>
            </w:pPr>
            <w:r>
              <w:rPr>
                <w:rFonts w:hint="eastAsia" w:ascii="Times New Roman" w:hAnsi="Times New Roman" w:eastAsia="宋体"/>
                <w:color w:val="auto"/>
                <w:highlight w:val="none"/>
              </w:rPr>
              <w:t>绪论、煤的特征和生成</w:t>
            </w:r>
          </w:p>
        </w:tc>
        <w:tc>
          <w:tcPr>
            <w:tcW w:w="3079" w:type="dxa"/>
            <w:noWrap/>
            <w:vAlign w:val="center"/>
          </w:tcPr>
          <w:p>
            <w:pPr>
              <w:pStyle w:val="7"/>
              <w:snapToGrid w:val="0"/>
              <w:spacing w:line="440" w:lineRule="exact"/>
              <w:jc w:val="left"/>
              <w:rPr>
                <w:rFonts w:ascii="Times New Roman" w:hAnsi="Times New Roman" w:eastAsia="宋体" w:cs="Times New Roman"/>
                <w:color w:val="auto"/>
                <w:highlight w:val="none"/>
              </w:rPr>
            </w:pPr>
            <w:r>
              <w:rPr>
                <w:rFonts w:hint="eastAsia" w:ascii="Times New Roman" w:hAnsi="Times New Roman" w:eastAsia="宋体"/>
                <w:color w:val="auto"/>
                <w:highlight w:val="none"/>
              </w:rPr>
              <w:t>学习煤化学</w:t>
            </w:r>
            <w:r>
              <w:rPr>
                <w:rFonts w:ascii="Times New Roman" w:hAnsi="Times New Roman" w:eastAsia="宋体"/>
                <w:color w:val="auto"/>
                <w:highlight w:val="none"/>
              </w:rPr>
              <w:t>应</w:t>
            </w:r>
            <w:r>
              <w:rPr>
                <w:rFonts w:hint="eastAsia" w:ascii="Times New Roman" w:hAnsi="Times New Roman" w:eastAsia="宋体"/>
                <w:color w:val="auto"/>
                <w:highlight w:val="none"/>
              </w:rPr>
              <w:t>先</w:t>
            </w:r>
            <w:r>
              <w:rPr>
                <w:rFonts w:ascii="Times New Roman" w:hAnsi="Times New Roman" w:eastAsia="宋体"/>
                <w:color w:val="auto"/>
                <w:highlight w:val="none"/>
              </w:rPr>
              <w:t>了解煤的种类和外部特征，研究煤的原始物质、煤的生成对研究煤的性质、结构、利用有重要的作用，煤的显微特征已广泛用于煤质分析和煤岩配煤。</w:t>
            </w:r>
          </w:p>
        </w:tc>
        <w:tc>
          <w:tcPr>
            <w:tcW w:w="2983" w:type="dxa"/>
            <w:noWrap/>
            <w:vAlign w:val="center"/>
          </w:tcPr>
          <w:p>
            <w:pPr>
              <w:pStyle w:val="7"/>
              <w:snapToGrid w:val="0"/>
              <w:spacing w:line="440" w:lineRule="exact"/>
              <w:jc w:val="left"/>
              <w:rPr>
                <w:rFonts w:ascii="Times New Roman" w:hAnsi="Times New Roman" w:eastAsia="宋体" w:cs="Times New Roman"/>
                <w:color w:val="auto"/>
                <w:highlight w:val="none"/>
              </w:rPr>
            </w:pPr>
            <w:r>
              <w:rPr>
                <w:rFonts w:ascii="Times New Roman" w:hAnsi="Times New Roman" w:eastAsia="宋体"/>
                <w:color w:val="auto"/>
                <w:highlight w:val="none"/>
              </w:rPr>
              <w:t>煤的种类和外部特征；成煤的原始物质、煤的生成和主要成煤期；煤的宏观和微观特征。</w:t>
            </w:r>
          </w:p>
        </w:tc>
        <w:tc>
          <w:tcPr>
            <w:tcW w:w="868" w:type="dxa"/>
            <w:noWrap/>
            <w:vAlign w:val="center"/>
          </w:tcPr>
          <w:p>
            <w:pPr>
              <w:pStyle w:val="7"/>
              <w:snapToGrid w:val="0"/>
              <w:spacing w:line="440" w:lineRule="exact"/>
              <w:jc w:val="center"/>
              <w:rPr>
                <w:rFonts w:ascii="Times New Roman" w:hAnsi="Times New Roman" w:eastAsia="宋体" w:cs="Times New Roman"/>
                <w:color w:val="auto"/>
                <w:highlight w:val="none"/>
              </w:rPr>
            </w:pPr>
            <w:r>
              <w:rPr>
                <w:rFonts w:hint="eastAsia" w:ascii="Times New Roman" w:hAnsi="Times New Roman" w:eastAsia="宋体"/>
                <w:color w:val="auto"/>
                <w:highlight w:val="none"/>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440" w:lineRule="exact"/>
              <w:jc w:val="center"/>
              <w:rPr>
                <w:rFonts w:ascii="Times New Roman" w:hAnsi="Times New Roman" w:eastAsia="宋体" w:cs="Times New Roman"/>
                <w:color w:val="auto"/>
                <w:highlight w:val="none"/>
              </w:rPr>
            </w:pPr>
            <w:r>
              <w:rPr>
                <w:rFonts w:hint="eastAsia" w:ascii="Times New Roman" w:hAnsi="Times New Roman" w:eastAsia="宋体"/>
                <w:color w:val="auto"/>
                <w:highlight w:val="none"/>
              </w:rPr>
              <w:t>煤的一般性质</w:t>
            </w:r>
          </w:p>
        </w:tc>
        <w:tc>
          <w:tcPr>
            <w:tcW w:w="3079" w:type="dxa"/>
            <w:noWrap/>
            <w:vAlign w:val="center"/>
          </w:tcPr>
          <w:p>
            <w:pPr>
              <w:tabs>
                <w:tab w:val="left" w:pos="480"/>
              </w:tabs>
              <w:spacing w:line="360" w:lineRule="auto"/>
              <w:ind w:leftChars="-2" w:hanging="4" w:hangingChars="2"/>
              <w:rPr>
                <w:rFonts w:ascii="Times New Roman" w:hAnsi="Times New Roman" w:eastAsia="宋体"/>
                <w:color w:val="auto"/>
                <w:szCs w:val="21"/>
                <w:highlight w:val="none"/>
              </w:rPr>
            </w:pPr>
            <w:r>
              <w:rPr>
                <w:rFonts w:hint="eastAsia" w:ascii="Times New Roman" w:hAnsi="Times New Roman" w:eastAsia="宋体"/>
                <w:color w:val="auto"/>
                <w:szCs w:val="21"/>
                <w:highlight w:val="none"/>
              </w:rPr>
              <w:t>合理利用煤炭资源，通常先对大批量的煤进行采样和制备，获得代表性的煤样，然后进行煤的工业分析和元素分析，工业分析和元素分析的结果与煤的成因、煤化程度和煤岩组成等关系密切，加之对煤的物理性质、化学性质和工艺性质做进一步的研究，就可综合科学地评价煤质，确定各种煤的加工利用途径。</w:t>
            </w:r>
          </w:p>
        </w:tc>
        <w:tc>
          <w:tcPr>
            <w:tcW w:w="2983" w:type="dxa"/>
            <w:noWrap/>
            <w:vAlign w:val="center"/>
          </w:tcPr>
          <w:p>
            <w:pPr>
              <w:tabs>
                <w:tab w:val="left" w:pos="480"/>
              </w:tabs>
              <w:spacing w:line="360" w:lineRule="auto"/>
              <w:ind w:leftChars="-2" w:hanging="4" w:hangingChars="2"/>
              <w:rPr>
                <w:rFonts w:ascii="Times New Roman" w:hAnsi="Times New Roman" w:eastAsia="宋体"/>
                <w:color w:val="auto"/>
                <w:szCs w:val="21"/>
                <w:highlight w:val="none"/>
              </w:rPr>
            </w:pPr>
            <w:r>
              <w:rPr>
                <w:rFonts w:hint="eastAsia" w:ascii="Times New Roman" w:hAnsi="Times New Roman" w:eastAsia="宋体"/>
                <w:color w:val="auto"/>
                <w:szCs w:val="21"/>
                <w:highlight w:val="none"/>
              </w:rPr>
              <w:t xml:space="preserve">煤的物理性质；煤的化学反应；煤样的采集和制备方法；煤质分析中的常用基准和基准换算；煤质分析的符号表示；煤的水分、灰分、挥发分和固定碳的分析原理、方法和计算；煤的元素分析的原理、测定方法；煤的发热量的测定原理和方法。 </w:t>
            </w:r>
          </w:p>
          <w:p>
            <w:pPr>
              <w:pStyle w:val="7"/>
              <w:snapToGrid w:val="0"/>
              <w:spacing w:line="440" w:lineRule="exact"/>
              <w:jc w:val="left"/>
              <w:rPr>
                <w:rFonts w:ascii="Times New Roman" w:hAnsi="Times New Roman" w:eastAsia="宋体" w:cs="Times New Roman"/>
                <w:color w:val="auto"/>
                <w:highlight w:val="none"/>
              </w:rPr>
            </w:pPr>
          </w:p>
        </w:tc>
        <w:tc>
          <w:tcPr>
            <w:tcW w:w="868" w:type="dxa"/>
            <w:noWrap/>
            <w:vAlign w:val="center"/>
          </w:tcPr>
          <w:p>
            <w:pPr>
              <w:pStyle w:val="7"/>
              <w:snapToGrid w:val="0"/>
              <w:spacing w:line="440" w:lineRule="exact"/>
              <w:jc w:val="center"/>
              <w:rPr>
                <w:rFonts w:ascii="Times New Roman" w:hAnsi="Times New Roman" w:eastAsia="宋体" w:cs="Times New Roman"/>
                <w:color w:val="auto"/>
                <w:highlight w:val="none"/>
              </w:rPr>
            </w:pPr>
            <w:r>
              <w:rPr>
                <w:rFonts w:hint="eastAsia" w:ascii="Times New Roman" w:hAnsi="Times New Roman" w:eastAsia="宋体"/>
                <w:color w:val="auto"/>
                <w:highlight w:val="none"/>
              </w:rPr>
              <w:t>16学时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440" w:lineRule="exact"/>
              <w:jc w:val="center"/>
              <w:rPr>
                <w:rFonts w:ascii="Times New Roman" w:hAnsi="Times New Roman" w:eastAsia="宋体" w:cs="Times New Roman"/>
                <w:color w:val="auto"/>
                <w:highlight w:val="none"/>
              </w:rPr>
            </w:pPr>
            <w:r>
              <w:rPr>
                <w:rFonts w:hint="eastAsia" w:ascii="Times New Roman" w:hAnsi="Times New Roman" w:eastAsia="宋体"/>
                <w:color w:val="auto"/>
                <w:highlight w:val="none"/>
              </w:rPr>
              <w:t>煤有机质的化学结构</w:t>
            </w:r>
          </w:p>
        </w:tc>
        <w:tc>
          <w:tcPr>
            <w:tcW w:w="3079" w:type="dxa"/>
            <w:noWrap/>
            <w:vAlign w:val="center"/>
          </w:tcPr>
          <w:p>
            <w:pPr>
              <w:pStyle w:val="7"/>
              <w:snapToGrid w:val="0"/>
              <w:spacing w:line="440" w:lineRule="exact"/>
              <w:jc w:val="left"/>
              <w:rPr>
                <w:rFonts w:ascii="Times New Roman" w:hAnsi="Times New Roman" w:eastAsia="宋体" w:cs="Times New Roman"/>
                <w:color w:val="auto"/>
                <w:highlight w:val="none"/>
              </w:rPr>
            </w:pPr>
            <w:r>
              <w:rPr>
                <w:rFonts w:hint="eastAsia" w:ascii="Times New Roman" w:hAnsi="Times New Roman" w:eastAsia="宋体"/>
                <w:color w:val="auto"/>
                <w:highlight w:val="none"/>
              </w:rPr>
              <w:t>对煤的化学结构的研究一直是煤化学学科的中心环节，受到了广泛的重视，煤的结构组成对煤的加工利用有着重要的作用。要合理利用煤炭，采用红外光谱、核磁共振、X射线衍射等方法测定煤的结构十分重要。</w:t>
            </w:r>
          </w:p>
        </w:tc>
        <w:tc>
          <w:tcPr>
            <w:tcW w:w="2983" w:type="dxa"/>
            <w:noWrap/>
            <w:vAlign w:val="center"/>
          </w:tcPr>
          <w:p>
            <w:pPr>
              <w:pStyle w:val="7"/>
              <w:snapToGrid w:val="0"/>
              <w:spacing w:line="440" w:lineRule="exact"/>
              <w:jc w:val="left"/>
              <w:rPr>
                <w:rFonts w:ascii="Times New Roman" w:hAnsi="Times New Roman" w:eastAsia="宋体" w:cs="Times New Roman"/>
                <w:color w:val="auto"/>
                <w:highlight w:val="none"/>
              </w:rPr>
            </w:pPr>
            <w:r>
              <w:rPr>
                <w:rFonts w:hint="eastAsia" w:ascii="Times New Roman" w:hAnsi="Times New Roman" w:eastAsia="宋体"/>
                <w:color w:val="auto"/>
                <w:highlight w:val="none"/>
              </w:rPr>
              <w:t>煤的结构单元核心部分和外围部分的结构；煤的结构模型；煤的分子结构的近代概念；煤的结构研究方法：物理研究法，物理化学研究法，化学研究法等。</w:t>
            </w:r>
          </w:p>
        </w:tc>
        <w:tc>
          <w:tcPr>
            <w:tcW w:w="868" w:type="dxa"/>
            <w:noWrap/>
            <w:vAlign w:val="center"/>
          </w:tcPr>
          <w:p>
            <w:pPr>
              <w:pStyle w:val="7"/>
              <w:snapToGrid w:val="0"/>
              <w:spacing w:line="440" w:lineRule="exact"/>
              <w:jc w:val="center"/>
              <w:rPr>
                <w:rFonts w:ascii="Times New Roman" w:hAnsi="Times New Roman" w:eastAsia="宋体" w:cs="Times New Roman"/>
                <w:color w:val="auto"/>
                <w:highlight w:val="none"/>
              </w:rPr>
            </w:pPr>
            <w:r>
              <w:rPr>
                <w:rFonts w:hint="eastAsia" w:ascii="Times New Roman" w:hAnsi="Times New Roman" w:eastAsia="宋体"/>
                <w:color w:val="auto"/>
                <w:highlight w:val="none"/>
              </w:rPr>
              <w:t>14学时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440" w:lineRule="exact"/>
              <w:jc w:val="center"/>
              <w:rPr>
                <w:rFonts w:ascii="Times New Roman" w:hAnsi="Times New Roman" w:eastAsia="宋体" w:cs="Times New Roman"/>
                <w:color w:val="auto"/>
                <w:highlight w:val="none"/>
              </w:rPr>
            </w:pPr>
            <w:r>
              <w:rPr>
                <w:rFonts w:hint="eastAsia" w:ascii="Times New Roman" w:hAnsi="Times New Roman" w:eastAsia="宋体"/>
                <w:color w:val="auto"/>
                <w:highlight w:val="none"/>
              </w:rPr>
              <w:t>煤的热解化学</w:t>
            </w:r>
          </w:p>
        </w:tc>
        <w:tc>
          <w:tcPr>
            <w:tcW w:w="3079" w:type="dxa"/>
            <w:noWrap/>
            <w:vAlign w:val="center"/>
          </w:tcPr>
          <w:p>
            <w:pPr>
              <w:pStyle w:val="7"/>
              <w:snapToGrid w:val="0"/>
              <w:spacing w:line="440" w:lineRule="exact"/>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煤的热解是指煤在隔绝空气条件下加热发生的一系列转化过程，煤的热解是煤的加工过程中最主要的工艺性质。研究煤的热解过程和机理，就能正确的选择原料煤、解决加工工艺问题；研究煤的热解、黏结成焦对研究煤的形成过程和分子结构等理论具有重要意义。</w:t>
            </w:r>
          </w:p>
        </w:tc>
        <w:tc>
          <w:tcPr>
            <w:tcW w:w="2983" w:type="dxa"/>
            <w:noWrap/>
            <w:vAlign w:val="center"/>
          </w:tcPr>
          <w:p>
            <w:pPr>
              <w:pStyle w:val="7"/>
              <w:snapToGrid w:val="0"/>
              <w:spacing w:line="440" w:lineRule="exact"/>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煤的热解过程和发生的化学反应；煤热解的因素；煤黏结和成焦机理；煤的胶质层指数、黏结指数、罗加指数、奥亚膨胀度的测定原理和方法。</w:t>
            </w:r>
          </w:p>
        </w:tc>
        <w:tc>
          <w:tcPr>
            <w:tcW w:w="868" w:type="dxa"/>
            <w:noWrap/>
            <w:vAlign w:val="center"/>
          </w:tcPr>
          <w:p>
            <w:pPr>
              <w:pStyle w:val="7"/>
              <w:snapToGrid w:val="0"/>
              <w:spacing w:line="440" w:lineRule="exact"/>
              <w:jc w:val="center"/>
              <w:rPr>
                <w:rFonts w:ascii="Times New Roman" w:hAnsi="Times New Roman" w:eastAsia="宋体" w:cs="Times New Roman"/>
                <w:color w:val="auto"/>
                <w:highlight w:val="none"/>
              </w:rPr>
            </w:pPr>
            <w:r>
              <w:rPr>
                <w:rFonts w:hint="eastAsia" w:ascii="Times New Roman" w:hAnsi="Times New Roman" w:eastAsia="宋体"/>
                <w:color w:val="auto"/>
                <w:highlight w:val="none"/>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440" w:lineRule="exact"/>
              <w:jc w:val="center"/>
              <w:rPr>
                <w:rFonts w:ascii="Times New Roman" w:hAnsi="Times New Roman" w:eastAsia="宋体" w:cs="Times New Roman"/>
                <w:color w:val="auto"/>
                <w:highlight w:val="none"/>
              </w:rPr>
            </w:pPr>
            <w:r>
              <w:rPr>
                <w:rFonts w:hint="eastAsia" w:ascii="Times New Roman" w:hAnsi="Times New Roman" w:eastAsia="宋体"/>
                <w:color w:val="auto"/>
                <w:highlight w:val="none"/>
              </w:rPr>
              <w:t>煤的气相氧化、燃烧、气化和液化化学</w:t>
            </w:r>
          </w:p>
        </w:tc>
        <w:tc>
          <w:tcPr>
            <w:tcW w:w="3079" w:type="dxa"/>
            <w:noWrap/>
            <w:vAlign w:val="center"/>
          </w:tcPr>
          <w:p>
            <w:pPr>
              <w:pStyle w:val="7"/>
              <w:snapToGrid w:val="0"/>
              <w:spacing w:line="440" w:lineRule="exact"/>
              <w:jc w:val="left"/>
              <w:rPr>
                <w:rFonts w:ascii="Times New Roman" w:hAnsi="Times New Roman" w:eastAsia="宋体" w:cs="Times New Roman"/>
                <w:color w:val="auto"/>
                <w:highlight w:val="none"/>
              </w:rPr>
            </w:pPr>
            <w:r>
              <w:rPr>
                <w:rFonts w:hint="eastAsia" w:ascii="Times New Roman" w:hAnsi="Times New Roman" w:eastAsia="宋体"/>
                <w:color w:val="auto"/>
                <w:highlight w:val="none"/>
              </w:rPr>
              <w:t>煤的转化技术的开发利用，可把煤转化为洁净的二次能源，减轻对大气的污染，同时提供更多的化工产品，煤的转化包括焦化、加氢液化、气化、氧化等过程。煤的气化制合成气，再由CO和H</w:t>
            </w:r>
            <w:r>
              <w:rPr>
                <w:rFonts w:hint="eastAsia" w:ascii="Times New Roman" w:hAnsi="Times New Roman" w:eastAsia="宋体"/>
                <w:color w:val="auto"/>
                <w:highlight w:val="none"/>
                <w:vertAlign w:val="subscript"/>
              </w:rPr>
              <w:t>2</w:t>
            </w:r>
            <w:r>
              <w:rPr>
                <w:rFonts w:hint="eastAsia" w:ascii="Times New Roman" w:hAnsi="Times New Roman" w:eastAsia="宋体"/>
                <w:color w:val="auto"/>
                <w:highlight w:val="none"/>
              </w:rPr>
              <w:t>合成更多的化学产品。煤的直接液化日益引起人们的关注。</w:t>
            </w:r>
          </w:p>
        </w:tc>
        <w:tc>
          <w:tcPr>
            <w:tcW w:w="2983" w:type="dxa"/>
            <w:noWrap/>
            <w:vAlign w:val="center"/>
          </w:tcPr>
          <w:p>
            <w:pPr>
              <w:pStyle w:val="7"/>
              <w:snapToGrid w:val="0"/>
              <w:spacing w:line="440" w:lineRule="exact"/>
              <w:jc w:val="left"/>
              <w:rPr>
                <w:rFonts w:ascii="Times New Roman" w:hAnsi="Times New Roman" w:eastAsia="宋体" w:cs="Times New Roman"/>
                <w:color w:val="auto"/>
                <w:highlight w:val="none"/>
              </w:rPr>
            </w:pPr>
            <w:r>
              <w:rPr>
                <w:rFonts w:hint="eastAsia" w:ascii="Times New Roman" w:hAnsi="Times New Roman" w:eastAsia="宋体"/>
                <w:color w:val="auto"/>
                <w:highlight w:val="none"/>
              </w:rPr>
              <w:t>煤的风化和自燃概念；煤的燃烧原理和煤灰的组成；煤的气化化学；煤的气化动力学和热力学；煤液化的问题和目的；煤液化的原理；煤液体的组成与性质。</w:t>
            </w:r>
          </w:p>
        </w:tc>
        <w:tc>
          <w:tcPr>
            <w:tcW w:w="868" w:type="dxa"/>
            <w:noWrap/>
            <w:vAlign w:val="center"/>
          </w:tcPr>
          <w:p>
            <w:pPr>
              <w:pStyle w:val="7"/>
              <w:snapToGrid w:val="0"/>
              <w:spacing w:line="440" w:lineRule="exact"/>
              <w:jc w:val="center"/>
              <w:rPr>
                <w:rFonts w:ascii="Times New Roman" w:hAnsi="Times New Roman" w:eastAsia="宋体" w:cs="Times New Roman"/>
                <w:color w:val="auto"/>
                <w:highlight w:val="none"/>
              </w:rPr>
            </w:pPr>
            <w:r>
              <w:rPr>
                <w:rFonts w:hint="eastAsia" w:ascii="Times New Roman" w:hAnsi="Times New Roman" w:eastAsia="宋体"/>
                <w:color w:val="auto"/>
                <w:highlight w:val="none"/>
              </w:rPr>
              <w:t>16学时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spacing w:line="440" w:lineRule="exact"/>
              <w:jc w:val="center"/>
              <w:rPr>
                <w:rFonts w:ascii="Times New Roman" w:hAnsi="Times New Roman" w:eastAsia="宋体" w:cs="Times New Roman"/>
                <w:color w:val="auto"/>
                <w:highlight w:val="none"/>
              </w:rPr>
            </w:pPr>
            <w:r>
              <w:rPr>
                <w:rFonts w:hint="eastAsia" w:ascii="Times New Roman" w:hAnsi="Times New Roman" w:eastAsia="宋体"/>
                <w:color w:val="auto"/>
                <w:highlight w:val="none"/>
              </w:rPr>
              <w:t>煤的分类及煤质评价</w:t>
            </w:r>
          </w:p>
        </w:tc>
        <w:tc>
          <w:tcPr>
            <w:tcW w:w="3079" w:type="dxa"/>
            <w:noWrap/>
            <w:vAlign w:val="center"/>
          </w:tcPr>
          <w:p>
            <w:pPr>
              <w:pStyle w:val="7"/>
              <w:snapToGrid w:val="0"/>
              <w:spacing w:line="440" w:lineRule="exact"/>
              <w:jc w:val="left"/>
              <w:rPr>
                <w:rFonts w:ascii="Times New Roman" w:hAnsi="Times New Roman" w:eastAsia="宋体" w:cs="Times New Roman"/>
                <w:color w:val="auto"/>
                <w:highlight w:val="none"/>
              </w:rPr>
            </w:pPr>
            <w:r>
              <w:rPr>
                <w:rFonts w:hint="eastAsia" w:ascii="Times New Roman" w:hAnsi="Times New Roman" w:eastAsia="宋体"/>
                <w:color w:val="auto"/>
                <w:highlight w:val="none"/>
              </w:rPr>
              <w:t>煤是重要的能源和化工原料，煤的组成和性质不同，各种工业用煤对煤的种类和质量都有不同的要求。为了使中国的煤炭资源得到充分的利用，制订合理、科学的煤炭分类方法具有十分重要的意义。</w:t>
            </w:r>
          </w:p>
        </w:tc>
        <w:tc>
          <w:tcPr>
            <w:tcW w:w="2983" w:type="dxa"/>
            <w:noWrap/>
            <w:vAlign w:val="center"/>
          </w:tcPr>
          <w:p>
            <w:pPr>
              <w:pStyle w:val="7"/>
              <w:snapToGrid w:val="0"/>
              <w:spacing w:line="440" w:lineRule="exact"/>
              <w:jc w:val="left"/>
              <w:rPr>
                <w:rFonts w:ascii="Times New Roman" w:hAnsi="Times New Roman" w:eastAsia="宋体" w:cs="Times New Roman"/>
                <w:color w:val="auto"/>
                <w:highlight w:val="none"/>
              </w:rPr>
            </w:pPr>
            <w:r>
              <w:rPr>
                <w:rFonts w:hint="eastAsia" w:ascii="Times New Roman" w:hAnsi="Times New Roman" w:eastAsia="宋体"/>
                <w:color w:val="auto"/>
                <w:highlight w:val="none"/>
              </w:rPr>
              <w:t>煤的分类方法；煤的数码表示；无烟煤、烟煤、褐煤的分类指标；各种煤的特性和用途；煤质评价方法。</w:t>
            </w:r>
          </w:p>
        </w:tc>
        <w:tc>
          <w:tcPr>
            <w:tcW w:w="868" w:type="dxa"/>
            <w:noWrap/>
            <w:vAlign w:val="center"/>
          </w:tcPr>
          <w:p>
            <w:pPr>
              <w:pStyle w:val="7"/>
              <w:snapToGrid w:val="0"/>
              <w:spacing w:line="440" w:lineRule="exact"/>
              <w:jc w:val="center"/>
              <w:rPr>
                <w:rFonts w:ascii="Times New Roman" w:hAnsi="Times New Roman" w:eastAsia="宋体" w:cs="Times New Roman"/>
                <w:color w:val="auto"/>
                <w:highlight w:val="none"/>
              </w:rPr>
            </w:pPr>
            <w:r>
              <w:rPr>
                <w:rFonts w:hint="eastAsia" w:ascii="Times New Roman" w:hAnsi="Times New Roman" w:eastAsia="宋体"/>
                <w:color w:val="auto"/>
                <w:highlight w:val="none"/>
              </w:rPr>
              <w:t>10学时</w:t>
            </w:r>
          </w:p>
        </w:tc>
      </w:tr>
    </w:tbl>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（五）教学组织与教学方法</w:t>
      </w:r>
    </w:p>
    <w:p>
      <w:pPr>
        <w:tabs>
          <w:tab w:val="left" w:pos="480"/>
        </w:tabs>
        <w:spacing w:line="360" w:lineRule="auto"/>
        <w:ind w:left="1" w:firstLine="424" w:firstLineChars="177"/>
        <w:rPr>
          <w:rFonts w:ascii="Times New Roman" w:hAnsi="Times New Roman" w:eastAsia="宋体"/>
          <w:color w:val="auto"/>
          <w:sz w:val="24"/>
          <w:highlight w:val="none"/>
        </w:rPr>
      </w:pPr>
      <w:r>
        <w:rPr>
          <w:rFonts w:hint="eastAsia" w:ascii="Times New Roman" w:hAnsi="Times New Roman" w:eastAsia="宋体"/>
          <w:color w:val="auto"/>
          <w:sz w:val="24"/>
          <w:highlight w:val="none"/>
        </w:rPr>
        <w:t>本课程的教学内容由课堂讲授和实验教学两部分构成，在课堂教学中，我们可将教学大纲中规定的教学内容进行梳理，突破教材原有章节次序，将煤化学的知识体系划分为五个具有内在联系的部分：煤的生成、煤的结构、煤的组成（含煤岩组成、化学组成）、煤的性质（含各种性质）和煤的分类。这样搭建煤化学的知识结构，可以很好地将各章节内容以煤分子结构理论联系在一起成为整体，使学生在学习、教师在授课时，脑海中呈现的是煤化学的整体知识，有利于提高教学效果，促进学生全方位把握煤化学的精髓。</w:t>
      </w:r>
    </w:p>
    <w:p>
      <w:pPr>
        <w:tabs>
          <w:tab w:val="left" w:pos="480"/>
        </w:tabs>
        <w:spacing w:line="360" w:lineRule="auto"/>
        <w:ind w:left="1" w:firstLine="424" w:firstLineChars="177"/>
        <w:rPr>
          <w:rFonts w:hint="eastAsia" w:ascii="Times New Roman" w:hAnsi="Times New Roman" w:eastAsia="宋体"/>
          <w:color w:val="auto"/>
          <w:sz w:val="24"/>
          <w:highlight w:val="none"/>
        </w:rPr>
      </w:pPr>
      <w:r>
        <w:rPr>
          <w:rFonts w:hint="eastAsia" w:ascii="Times New Roman" w:hAnsi="Times New Roman" w:eastAsia="宋体"/>
          <w:color w:val="auto"/>
          <w:sz w:val="24"/>
          <w:highlight w:val="none"/>
        </w:rPr>
        <w:t>煤化学实验是煤化学课程内容的重要组成部分，煤化学实验不仅是对煤化学理论知识的深化和验证，更主要的是通过实验使学生能够更加全面完整地接受煤化学知识，培养学生的动手能力、科学严谨的治学态度，并且能够将煤化学理论知识与煤炭加工转化的实际应用紧密联系起来，为学生将来能够独立地开展煤炭加工转化相关的科学研究奠定基础。 在实验教学设计上，从以下三个方面入手：（1）突出动手能力的培养，坚持让学生自己组装连接实验装置；</w:t>
      </w:r>
    </w:p>
    <w:p>
      <w:pPr>
        <w:numPr>
          <w:ilvl w:val="0"/>
          <w:numId w:val="6"/>
        </w:numPr>
        <w:tabs>
          <w:tab w:val="left" w:pos="480"/>
        </w:tabs>
        <w:spacing w:line="360" w:lineRule="auto"/>
        <w:rPr>
          <w:rFonts w:hint="eastAsia" w:ascii="Times New Roman" w:hAnsi="Times New Roman" w:eastAsia="宋体"/>
          <w:color w:val="auto"/>
          <w:sz w:val="24"/>
          <w:highlight w:val="none"/>
        </w:rPr>
      </w:pPr>
      <w:r>
        <w:rPr>
          <w:rFonts w:hint="eastAsia" w:ascii="Times New Roman" w:hAnsi="Times New Roman" w:eastAsia="宋体"/>
          <w:color w:val="auto"/>
          <w:sz w:val="24"/>
          <w:highlight w:val="none"/>
        </w:rPr>
        <w:t>要求将实验过程与煤化学知识紧密相连；</w:t>
      </w:r>
    </w:p>
    <w:p>
      <w:pPr>
        <w:numPr>
          <w:ilvl w:val="0"/>
          <w:numId w:val="6"/>
        </w:numPr>
        <w:tabs>
          <w:tab w:val="left" w:pos="480"/>
        </w:tabs>
        <w:spacing w:line="360" w:lineRule="auto"/>
        <w:ind w:left="0" w:leftChars="0" w:firstLine="0" w:firstLineChars="0"/>
        <w:rPr>
          <w:rFonts w:hint="eastAsia" w:ascii="Times New Roman" w:hAnsi="Times New Roman" w:eastAsia="宋体"/>
          <w:color w:val="auto"/>
          <w:sz w:val="24"/>
          <w:highlight w:val="none"/>
        </w:rPr>
      </w:pPr>
      <w:r>
        <w:rPr>
          <w:rFonts w:hint="eastAsia" w:ascii="Times New Roman" w:hAnsi="Times New Roman" w:eastAsia="宋体"/>
          <w:color w:val="auto"/>
          <w:sz w:val="24"/>
          <w:highlight w:val="none"/>
        </w:rPr>
        <w:t xml:space="preserve">利用实验结果，进行煤质评价，预测煤炭加工利用的途径和方法，写出实验报告。 </w:t>
      </w:r>
    </w:p>
    <w:p>
      <w:pPr>
        <w:numPr>
          <w:ilvl w:val="0"/>
          <w:numId w:val="0"/>
        </w:numPr>
        <w:tabs>
          <w:tab w:val="left" w:pos="480"/>
        </w:tabs>
        <w:spacing w:line="360" w:lineRule="auto"/>
        <w:ind w:leftChars="0"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通过这样的实验设计，使学生接受煤质分析与煤质评价的系统训练，掌握煤化学知识在实践中的应用，将煤化学知识变成可以灵活应用的知识，对他们从事相关工作能力的培养具有很好的效果。</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（六）考核标准与成绩评定方法</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 xml:space="preserve">本门课程测试考生对煤化学课程主要内容的理解及掌握程度。考查学生是否理解了煤的结构、组成与性质之间的关系，是否熟悉煤的各种性质及其规律，要求考生掌握煤化学的基础知识并能妥善运用到综合题目的处理中，培养学生分析问题和解决问题的能力。此外，对于煤的形成过程、煤的分类的内容，考生也要掌握。 </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（1）本门课程是一门考试课，评价依据是本课程标准规定的课程目标、教学内容和要求。</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（2）考试时间：90分钟（理论考核90分钟）。</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 xml:space="preserve">（3）考试方式、分制与解释 </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 xml:space="preserve">a.理论成绩的综合评价 采用闭卷、笔试的方式，以百分制评分，满分为100分，占总评成绩的70～80%。 </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b.实验成绩的综合评价 实验成绩由实验现场表现和实验报告成绩两部分组成。实验成绩占总评成绩的20～30%。</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 xml:space="preserve">（4）试题类型及权重 </w:t>
      </w:r>
    </w:p>
    <w:p>
      <w:pPr>
        <w:tabs>
          <w:tab w:val="left" w:pos="480"/>
        </w:tabs>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选择题15%～30%、判断题10～20%、填空题10～25%、简答题(包括完成并配平反应式)10～20%、计算题10～30%。</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（七）教学建议</w:t>
      </w:r>
    </w:p>
    <w:p>
      <w:pPr>
        <w:tabs>
          <w:tab w:val="left" w:pos="567"/>
        </w:tabs>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课堂教学中，全部使用电子教案（PowerPoint）授课，采用多媒体课件和黑板板书相结合，配合网络网站。在教学中，我们注意充分利用现代计算机技术带来的便利条件，增强教学效果。主要是利用多媒体的图形、照片等增强学生的理解。</w:t>
      </w:r>
    </w:p>
    <w:p>
      <w:pPr>
        <w:tabs>
          <w:tab w:val="left" w:pos="567"/>
        </w:tabs>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在教学过程中采用启发式教学为主，辅以讨论式、问答式等方式，特别强调讲课过程中紧密联系前后章节内容，强化理解，有助于学生加强记忆和理解，并能将各部分知识最终连接成为一个整体。</w:t>
      </w:r>
    </w:p>
    <w:p>
      <w:pPr>
        <w:tabs>
          <w:tab w:val="left" w:pos="567"/>
        </w:tabs>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本课程配套的实践教学内容主要是煤质分析实验和评价，含煤的组成分析测定、煤的发热量测定、煤的粘结性测定、煤灰性质测定、煤的物理性质测定等几个方面，根据教学需求，选做其中的部分项目。</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（八）选用教材标及推荐教材和参考用书（或课程网站）</w:t>
      </w:r>
    </w:p>
    <w:p>
      <w:pPr>
        <w:pStyle w:val="14"/>
        <w:snapToGrid w:val="0"/>
        <w:spacing w:beforeAutospacing="0" w:afterAutospacing="0" w:line="360" w:lineRule="auto"/>
        <w:ind w:firstLine="480" w:firstLineChars="20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《煤化学》，编者：朱银惠，化学工业出版社</w:t>
      </w:r>
    </w:p>
    <w:p>
      <w:pPr>
        <w:pStyle w:val="14"/>
        <w:snapToGrid w:val="0"/>
        <w:spacing w:beforeAutospacing="0" w:afterAutospacing="0" w:line="360" w:lineRule="auto"/>
        <w:ind w:firstLine="480" w:firstLineChars="20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《煤化学》，编者：</w:t>
      </w:r>
      <w:r>
        <w:rPr>
          <w:rFonts w:hint="eastAsia" w:ascii="Times New Roman" w:hAnsi="Times New Roman" w:eastAsia="宋体"/>
          <w:color w:val="auto"/>
          <w:kern w:val="2"/>
          <w:highlight w:val="none"/>
        </w:rPr>
        <w:t>张双全、吴国光、周敏等人，中国矿业大学出版社</w:t>
      </w:r>
    </w:p>
    <w:p>
      <w:pPr>
        <w:snapToGrid w:val="0"/>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《煤化学》，编者：何选明，治金工业出版社出版</w:t>
      </w:r>
    </w:p>
    <w:p>
      <w:pPr>
        <w:pStyle w:val="14"/>
        <w:snapToGrid w:val="0"/>
        <w:spacing w:beforeAutospacing="0" w:afterAutospacing="0" w:line="360" w:lineRule="auto"/>
        <w:ind w:firstLine="480" w:firstLineChars="200"/>
        <w:textAlignment w:val="baseline"/>
        <w:rPr>
          <w:rFonts w:ascii="Times New Roman" w:hAnsi="Times New Roman" w:eastAsia="宋体"/>
          <w:color w:val="auto"/>
          <w:kern w:val="2"/>
          <w:highlight w:val="none"/>
        </w:rPr>
      </w:pPr>
      <w:r>
        <w:rPr>
          <w:rFonts w:hint="eastAsia" w:ascii="Times New Roman" w:hAnsi="Times New Roman" w:eastAsia="宋体"/>
          <w:color w:val="auto"/>
          <w:kern w:val="2"/>
          <w:highlight w:val="none"/>
        </w:rPr>
        <w:t>《煤化学》，编者：郭崇涛，化学工业出版社</w:t>
      </w:r>
    </w:p>
    <w:p>
      <w:pPr>
        <w:pStyle w:val="3"/>
        <w:spacing w:before="0" w:after="0" w:line="360" w:lineRule="auto"/>
        <w:rPr>
          <w:rFonts w:ascii="Times New Roman" w:hAnsi="Times New Roman"/>
          <w:b w:val="0"/>
          <w:bCs/>
          <w:color w:val="auto"/>
          <w:highlight w:val="none"/>
        </w:rPr>
      </w:pPr>
      <w:bookmarkStart w:id="69" w:name="_Toc12050"/>
      <w:bookmarkStart w:id="70" w:name="_Toc17238589"/>
      <w:r>
        <w:rPr>
          <w:rFonts w:hint="eastAsia" w:ascii="Times New Roman" w:hAnsi="Times New Roman"/>
          <w:b w:val="0"/>
          <w:bCs/>
          <w:color w:val="auto"/>
          <w:highlight w:val="none"/>
        </w:rPr>
        <w:t>五</w:t>
      </w:r>
      <w:bookmarkStart w:id="71" w:name="_Hlt17150339"/>
      <w:bookmarkEnd w:id="71"/>
      <w:r>
        <w:rPr>
          <w:rFonts w:hint="eastAsia" w:ascii="Times New Roman" w:hAnsi="Times New Roman"/>
          <w:b w:val="0"/>
          <w:bCs/>
          <w:color w:val="auto"/>
          <w:highlight w:val="none"/>
        </w:rPr>
        <w:t>、《现代煤化工技术》核心课程标准</w:t>
      </w:r>
      <w:bookmarkEnd w:id="69"/>
      <w:bookmarkEnd w:id="70"/>
    </w:p>
    <w:tbl>
      <w:tblPr>
        <w:tblStyle w:val="15"/>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274"/>
        <w:gridCol w:w="162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课程编码</w:t>
            </w:r>
          </w:p>
        </w:tc>
        <w:tc>
          <w:tcPr>
            <w:tcW w:w="3274" w:type="dxa"/>
            <w:noWrap/>
            <w:vAlign w:val="center"/>
          </w:tcPr>
          <w:p>
            <w:pPr>
              <w:spacing w:line="360" w:lineRule="auto"/>
              <w:jc w:val="center"/>
              <w:rPr>
                <w:rFonts w:hint="default" w:eastAsiaTheme="minorEastAsia"/>
                <w:color w:val="auto"/>
                <w:szCs w:val="21"/>
                <w:highlight w:val="none"/>
                <w:lang w:val="en-US" w:eastAsia="zh-CN"/>
              </w:rPr>
            </w:pPr>
            <w:r>
              <w:rPr>
                <w:rFonts w:hint="eastAsia"/>
                <w:color w:val="auto"/>
                <w:szCs w:val="21"/>
                <w:highlight w:val="none"/>
                <w:lang w:val="en-US" w:eastAsia="zh-CN"/>
              </w:rPr>
              <w:t>1003072</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课程类别</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专业学习领域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计划学时</w:t>
            </w:r>
          </w:p>
        </w:tc>
        <w:tc>
          <w:tcPr>
            <w:tcW w:w="3274" w:type="dxa"/>
            <w:noWrap/>
            <w:vAlign w:val="center"/>
          </w:tcPr>
          <w:p>
            <w:pPr>
              <w:spacing w:line="360" w:lineRule="auto"/>
              <w:jc w:val="center"/>
              <w:rPr>
                <w:color w:val="auto"/>
                <w:szCs w:val="21"/>
                <w:highlight w:val="none"/>
              </w:rPr>
            </w:pPr>
            <w:r>
              <w:rPr>
                <w:rFonts w:hint="eastAsia"/>
                <w:color w:val="auto"/>
                <w:szCs w:val="21"/>
                <w:highlight w:val="none"/>
              </w:rPr>
              <w:t>72</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课程类型</w:t>
            </w:r>
          </w:p>
        </w:tc>
        <w:tc>
          <w:tcPr>
            <w:tcW w:w="1994" w:type="dxa"/>
            <w:noWrap/>
            <w:vAlign w:val="center"/>
          </w:tcPr>
          <w:p>
            <w:pPr>
              <w:spacing w:line="360" w:lineRule="auto"/>
              <w:jc w:val="center"/>
              <w:rPr>
                <w:color w:val="auto"/>
                <w:szCs w:val="21"/>
                <w:highlight w:val="none"/>
              </w:rPr>
            </w:pPr>
            <w:r>
              <w:rPr>
                <w:color w:val="auto"/>
                <w:szCs w:val="21"/>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适用专业</w:t>
            </w:r>
          </w:p>
        </w:tc>
        <w:tc>
          <w:tcPr>
            <w:tcW w:w="3274" w:type="dxa"/>
            <w:noWrap/>
            <w:vAlign w:val="center"/>
          </w:tcPr>
          <w:p>
            <w:pPr>
              <w:spacing w:line="360" w:lineRule="auto"/>
              <w:jc w:val="center"/>
              <w:rPr>
                <w:color w:val="auto"/>
                <w:szCs w:val="21"/>
                <w:highlight w:val="none"/>
              </w:rPr>
            </w:pPr>
            <w:r>
              <w:rPr>
                <w:rFonts w:hint="eastAsia" w:ascii="宋体" w:hAnsi="宋体"/>
                <w:color w:val="auto"/>
                <w:szCs w:val="21"/>
                <w:highlight w:val="none"/>
              </w:rPr>
              <w:t>煤炭深加工与利用</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课程性质</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开课学期</w:t>
            </w:r>
          </w:p>
        </w:tc>
        <w:tc>
          <w:tcPr>
            <w:tcW w:w="3274" w:type="dxa"/>
            <w:noWrap/>
            <w:vAlign w:val="center"/>
          </w:tcPr>
          <w:p>
            <w:pPr>
              <w:spacing w:line="360" w:lineRule="auto"/>
              <w:jc w:val="center"/>
              <w:rPr>
                <w:color w:val="auto"/>
                <w:szCs w:val="21"/>
                <w:highlight w:val="none"/>
              </w:rPr>
            </w:pPr>
            <w:r>
              <w:rPr>
                <w:rFonts w:hAnsi="宋体"/>
                <w:color w:val="auto"/>
                <w:szCs w:val="21"/>
                <w:highlight w:val="none"/>
              </w:rPr>
              <w:t>第</w:t>
            </w:r>
            <w:r>
              <w:rPr>
                <w:rFonts w:hint="eastAsia"/>
                <w:color w:val="auto"/>
                <w:szCs w:val="21"/>
                <w:highlight w:val="none"/>
              </w:rPr>
              <w:t>4</w:t>
            </w:r>
            <w:r>
              <w:rPr>
                <w:rFonts w:hAnsi="宋体"/>
                <w:color w:val="auto"/>
                <w:szCs w:val="21"/>
                <w:highlight w:val="none"/>
              </w:rPr>
              <w:t>学期</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学分</w:t>
            </w:r>
          </w:p>
        </w:tc>
        <w:tc>
          <w:tcPr>
            <w:tcW w:w="1994" w:type="dxa"/>
            <w:noWrap/>
            <w:vAlign w:val="center"/>
          </w:tcPr>
          <w:p>
            <w:pPr>
              <w:spacing w:line="360" w:lineRule="auto"/>
              <w:jc w:val="center"/>
              <w:rPr>
                <w:color w:val="auto"/>
                <w:szCs w:val="21"/>
                <w:highlight w:val="none"/>
              </w:rPr>
            </w:pPr>
            <w:r>
              <w:rPr>
                <w:rFonts w:hint="eastAsia"/>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先行课程</w:t>
            </w:r>
          </w:p>
        </w:tc>
        <w:tc>
          <w:tcPr>
            <w:tcW w:w="3274" w:type="dxa"/>
            <w:noWrap/>
            <w:vAlign w:val="center"/>
          </w:tcPr>
          <w:p>
            <w:pPr>
              <w:spacing w:line="360" w:lineRule="auto"/>
              <w:jc w:val="center"/>
              <w:rPr>
                <w:color w:val="auto"/>
                <w:szCs w:val="21"/>
                <w:highlight w:val="none"/>
              </w:rPr>
            </w:pPr>
            <w:r>
              <w:rPr>
                <w:rFonts w:hAnsi="宋体"/>
                <w:color w:val="auto"/>
                <w:szCs w:val="21"/>
                <w:highlight w:val="none"/>
              </w:rPr>
              <w:t>基础化学，</w:t>
            </w:r>
            <w:r>
              <w:rPr>
                <w:rFonts w:hint="eastAsia" w:hAnsi="宋体"/>
                <w:color w:val="auto"/>
                <w:szCs w:val="21"/>
                <w:highlight w:val="none"/>
              </w:rPr>
              <w:t>化工单元操作，煤化学</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开课单位</w:t>
            </w:r>
          </w:p>
        </w:tc>
        <w:tc>
          <w:tcPr>
            <w:tcW w:w="1994" w:type="dxa"/>
            <w:noWrap/>
            <w:vAlign w:val="center"/>
          </w:tcPr>
          <w:p>
            <w:pPr>
              <w:spacing w:line="360" w:lineRule="auto"/>
              <w:jc w:val="center"/>
              <w:rPr>
                <w:color w:val="auto"/>
                <w:szCs w:val="21"/>
                <w:highlight w:val="none"/>
              </w:rPr>
            </w:pPr>
            <w:r>
              <w:rPr>
                <w:rFonts w:hint="eastAsia" w:hAnsi="宋体"/>
                <w:color w:val="auto"/>
                <w:szCs w:val="21"/>
                <w:highlight w:val="none"/>
              </w:rPr>
              <w:t>晋城职业技术学院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平行课程</w:t>
            </w:r>
          </w:p>
        </w:tc>
        <w:tc>
          <w:tcPr>
            <w:tcW w:w="3274" w:type="dxa"/>
            <w:noWrap/>
            <w:vAlign w:val="center"/>
          </w:tcPr>
          <w:p>
            <w:pPr>
              <w:widowControl/>
              <w:jc w:val="center"/>
              <w:rPr>
                <w:color w:val="auto"/>
                <w:szCs w:val="21"/>
                <w:highlight w:val="none"/>
              </w:rPr>
            </w:pPr>
            <w:r>
              <w:rPr>
                <w:rFonts w:hint="eastAsia"/>
                <w:color w:val="auto"/>
                <w:szCs w:val="21"/>
                <w:highlight w:val="none"/>
              </w:rPr>
              <w:t>化工设备基础</w:t>
            </w:r>
          </w:p>
        </w:tc>
        <w:tc>
          <w:tcPr>
            <w:tcW w:w="1620" w:type="dxa"/>
            <w:noWrap/>
            <w:vAlign w:val="center"/>
          </w:tcPr>
          <w:p>
            <w:pPr>
              <w:spacing w:line="360" w:lineRule="auto"/>
              <w:jc w:val="center"/>
              <w:rPr>
                <w:color w:val="auto"/>
                <w:szCs w:val="21"/>
                <w:highlight w:val="none"/>
              </w:rPr>
            </w:pPr>
            <w:r>
              <w:rPr>
                <w:rFonts w:hAnsi="宋体"/>
                <w:color w:val="auto"/>
                <w:szCs w:val="21"/>
                <w:highlight w:val="none"/>
              </w:rPr>
              <w:t>考核类型</w:t>
            </w:r>
          </w:p>
        </w:tc>
        <w:tc>
          <w:tcPr>
            <w:tcW w:w="1994" w:type="dxa"/>
            <w:noWrap/>
            <w:vAlign w:val="center"/>
          </w:tcPr>
          <w:p>
            <w:pPr>
              <w:spacing w:line="360" w:lineRule="auto"/>
              <w:jc w:val="center"/>
              <w:rPr>
                <w:color w:val="auto"/>
                <w:szCs w:val="21"/>
                <w:highlight w:val="none"/>
              </w:rPr>
            </w:pPr>
            <w:r>
              <w:rPr>
                <w:rFonts w:hAnsi="宋体"/>
                <w:color w:val="auto"/>
                <w:szCs w:val="21"/>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ign w:val="center"/>
          </w:tcPr>
          <w:p>
            <w:pPr>
              <w:spacing w:line="360" w:lineRule="auto"/>
              <w:jc w:val="center"/>
              <w:rPr>
                <w:color w:val="auto"/>
                <w:szCs w:val="21"/>
                <w:highlight w:val="none"/>
              </w:rPr>
            </w:pPr>
            <w:r>
              <w:rPr>
                <w:rFonts w:hAnsi="宋体"/>
                <w:color w:val="auto"/>
                <w:szCs w:val="21"/>
                <w:highlight w:val="none"/>
              </w:rPr>
              <w:t>后继课程</w:t>
            </w:r>
          </w:p>
        </w:tc>
        <w:tc>
          <w:tcPr>
            <w:tcW w:w="6888" w:type="dxa"/>
            <w:gridSpan w:val="3"/>
            <w:noWrap/>
            <w:vAlign w:val="center"/>
          </w:tcPr>
          <w:p>
            <w:pPr>
              <w:spacing w:line="360" w:lineRule="auto"/>
              <w:jc w:val="center"/>
              <w:rPr>
                <w:rFonts w:hint="default" w:eastAsiaTheme="minorEastAsia"/>
                <w:color w:val="auto"/>
                <w:szCs w:val="21"/>
                <w:highlight w:val="none"/>
                <w:lang w:val="en-US" w:eastAsia="zh-CN"/>
              </w:rPr>
            </w:pPr>
            <w:r>
              <w:rPr>
                <w:rFonts w:hint="eastAsia"/>
                <w:color w:val="auto"/>
                <w:szCs w:val="21"/>
                <w:highlight w:val="none"/>
              </w:rPr>
              <w:t>跟岗实习、顶岗实习</w:t>
            </w:r>
          </w:p>
        </w:tc>
      </w:tr>
    </w:tbl>
    <w:p>
      <w:pPr>
        <w:spacing w:line="360" w:lineRule="auto"/>
        <w:ind w:firstLine="480" w:firstLineChars="200"/>
        <w:rPr>
          <w:rFonts w:ascii="宋体" w:hAnsi="宋体"/>
          <w:color w:val="auto"/>
          <w:sz w:val="24"/>
          <w:highlight w:val="none"/>
        </w:rPr>
      </w:pP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（一）课程性质与定位</w:t>
      </w:r>
    </w:p>
    <w:p>
      <w:pPr>
        <w:spacing w:line="360" w:lineRule="auto"/>
        <w:ind w:firstLine="480" w:firstLineChars="200"/>
        <w:rPr>
          <w:rFonts w:ascii="Times New Roman" w:hAnsi="Times New Roman" w:eastAsia="宋体" w:cs="宋体"/>
          <w:color w:val="auto"/>
          <w:sz w:val="24"/>
          <w:highlight w:val="none"/>
        </w:rPr>
      </w:pPr>
      <w:r>
        <w:rPr>
          <w:rFonts w:hint="eastAsia" w:ascii="Times New Roman" w:hAnsi="Times New Roman" w:eastAsia="宋体" w:cs="宋体"/>
          <w:color w:val="auto"/>
          <w:sz w:val="24"/>
          <w:highlight w:val="none"/>
        </w:rPr>
        <w:t>本课程是煤化工类专业的一门必修课。本课的任务是使学生掌握煤化工生产的基本概念，了解煤化工安全生产方面的知识，深化空气深冷液化分离、煤气化、煤液化、甲醇生产技术及煤化学产品加工工艺等方面知识；培养学生的煤化工生产操作方面的专业能力，如正确地确定生产的工艺条件的能力，在煤化工安全生产操作规程下解决生产过程中一般工艺技术问题的能力以及正确操作煤化工的重要设备等；同时注重培养学生的社会能力和方法能力。本课程是在学生完成化工原理、物理化学、有机化学、无机化学、煤化学等基础课的学习后开设的，并通过专业实训与仿真实训强化学生的专业技能。</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bookmarkStart w:id="72" w:name="_Hlk17145693"/>
      <w:r>
        <w:rPr>
          <w:rFonts w:hint="eastAsia" w:ascii="Times New Roman" w:hAnsi="Times New Roman" w:eastAsia="黑体" w:cs="黑体"/>
          <w:bCs/>
          <w:color w:val="auto"/>
          <w:sz w:val="30"/>
          <w:szCs w:val="30"/>
          <w:highlight w:val="none"/>
          <w:lang w:val="en-US" w:eastAsia="zh-CN"/>
        </w:rPr>
        <w:t>（二）课程设计理念</w:t>
      </w:r>
    </w:p>
    <w:bookmarkEnd w:id="72"/>
    <w:p>
      <w:pPr>
        <w:pStyle w:val="14"/>
        <w:spacing w:beforeAutospacing="0" w:afterAutospacing="0" w:line="480" w:lineRule="atLeast"/>
        <w:ind w:firstLine="480"/>
        <w:textAlignment w:val="baseline"/>
        <w:rPr>
          <w:rFonts w:ascii="Times New Roman" w:hAnsi="Times New Roman" w:eastAsia="宋体"/>
          <w:color w:val="auto"/>
          <w:highlight w:val="none"/>
        </w:rPr>
      </w:pPr>
      <w:r>
        <w:rPr>
          <w:rFonts w:ascii="Times New Roman" w:hAnsi="Times New Roman" w:eastAsia="宋体" w:cs="&amp;quot"/>
          <w:color w:val="auto"/>
          <w:highlight w:val="none"/>
        </w:rPr>
        <w:t>《</w:t>
      </w:r>
      <w:r>
        <w:rPr>
          <w:rFonts w:hint="eastAsia" w:ascii="Times New Roman" w:hAnsi="Times New Roman" w:eastAsia="宋体" w:cs="&amp;quot"/>
          <w:color w:val="auto"/>
          <w:highlight w:val="none"/>
        </w:rPr>
        <w:t>现代</w:t>
      </w:r>
      <w:r>
        <w:rPr>
          <w:rFonts w:ascii="Times New Roman" w:hAnsi="Times New Roman" w:eastAsia="宋体" w:cs="&amp;quot"/>
          <w:color w:val="auto"/>
          <w:highlight w:val="none"/>
        </w:rPr>
        <w:t>煤化工技术》是以对企业技术骨干和管理人员关于工作任务的调查分析为依据，确立课程教学目标和内容；以培养就业能力为导向，课程内容与职业资格取证要求融通；以典型工作任务分析为基础，构建总体能力目标、具体能力目标和知识目标。煤化工生产技术专业是以就业为导向、职业能力培养为目标，培养具有较强实践动手能力，具备必须的文化基础知识、煤化工工艺基本理论和从事煤化工生产操作、工艺运</w:t>
      </w:r>
      <w:r>
        <w:rPr>
          <w:rFonts w:hint="eastAsia" w:ascii="Times New Roman" w:hAnsi="Times New Roman" w:eastAsia="宋体"/>
          <w:color w:val="auto"/>
          <w:highlight w:val="none"/>
        </w:rPr>
        <w:t xml:space="preserve">行、技术管理等工作的职业能力和综合素质，在生产、建设、管理、服务等一线工作精工艺、懂设备、懂管理的高素质技能型专门人才。 </w:t>
      </w:r>
    </w:p>
    <w:p>
      <w:pPr>
        <w:pStyle w:val="14"/>
        <w:spacing w:beforeAutospacing="0" w:afterAutospacing="0" w:line="480" w:lineRule="atLeast"/>
        <w:ind w:firstLine="480"/>
        <w:textAlignment w:val="baseline"/>
        <w:rPr>
          <w:rFonts w:ascii="Times New Roman" w:hAnsi="Times New Roman" w:eastAsia="宋体" w:cs="&amp;quot"/>
          <w:color w:val="auto"/>
          <w:highlight w:val="none"/>
        </w:rPr>
      </w:pPr>
      <w:r>
        <w:rPr>
          <w:rFonts w:hint="eastAsia" w:ascii="Times New Roman" w:hAnsi="Times New Roman" w:eastAsia="宋体"/>
          <w:color w:val="auto"/>
          <w:highlight w:val="none"/>
        </w:rPr>
        <w:t>按工作任务工作岗位进行任务分解，形成5个学习情景：煤焦化技术；煤气化技术；煤液化技术；合成气合成天然气与甲醇技术；甲醇合成其他化学产品技术。对工作过程的实施以工学结合方式实现。在教学安排上，按周数进行。采用教师授课、实训室实习、下厂参观及及顶岗操作，便于原理讲授与操作训练相结合。每个学习情境内选取典型的工作任务，在教师指导下，课堂传授专业知识、课下掌</w:t>
      </w:r>
      <w:r>
        <w:rPr>
          <w:rFonts w:ascii="Times New Roman" w:hAnsi="Times New Roman" w:eastAsia="宋体" w:cs="&amp;quot"/>
          <w:color w:val="auto"/>
          <w:highlight w:val="none"/>
        </w:rPr>
        <w:t>握专业技能，把教师的教学过程与学生的学习过程、企业生产与工作过程联系起来，使学习内容充分体现企业实际需要，让学生在生产任务实施中训练操作技能、团队合作和沟通技能、工作能力和方法能力，体验企业工作过程和氛围，构建知识。在教学过程中，教师起指导、咨询作用，让学生有充分的机会自行处理项目实施中出现的各种问题。</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（三）课程目标</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本课程的目标是：使学生具备高素质的</w:t>
      </w:r>
      <w:r>
        <w:rPr>
          <w:rFonts w:hint="eastAsia" w:ascii="Times New Roman" w:hAnsi="Times New Roman"/>
          <w:bCs/>
          <w:color w:val="auto"/>
          <w:sz w:val="24"/>
          <w:highlight w:val="none"/>
          <w:lang w:val="en-US" w:eastAsia="zh-CN"/>
        </w:rPr>
        <w:t>煤炭深加工与利用专业</w:t>
      </w:r>
      <w:r>
        <w:rPr>
          <w:rFonts w:hint="eastAsia" w:ascii="Times New Roman" w:hAnsi="Times New Roman" w:eastAsia="宋体"/>
          <w:color w:val="auto"/>
          <w:sz w:val="24"/>
          <w:highlight w:val="none"/>
        </w:rPr>
        <w:t>人才所必需的无机化工生产技术基础知识、基本原理及生产技术。能够进行正常岗位操作、开停车操作等生产操作。通过课程学习，培养学生的专业能力、方法能力和社会能力。</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1</w:t>
      </w:r>
      <w:r>
        <w:rPr>
          <w:rFonts w:hint="eastAsia" w:ascii="Times New Roman" w:hAnsi="Times New Roman" w:eastAsia="宋体"/>
          <w:color w:val="auto"/>
          <w:sz w:val="24"/>
          <w:highlight w:val="none"/>
          <w:lang w:eastAsia="zh-CN"/>
        </w:rPr>
        <w:t>.</w:t>
      </w:r>
      <w:r>
        <w:rPr>
          <w:rFonts w:hint="eastAsia" w:ascii="Times New Roman" w:hAnsi="Times New Roman" w:eastAsia="宋体"/>
          <w:color w:val="auto"/>
          <w:sz w:val="24"/>
          <w:highlight w:val="none"/>
        </w:rPr>
        <w:t>专业知识目标</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(1)掌握典型煤化工产品生产工艺和原理；</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(2)熟悉工艺参数对生产操作过程的影响；</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(3)熟知煤化工设备的结构组成与操作原理；</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(4)掌握煤加工的工艺流程；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(5)了解典型煤化工产品的性质组成；</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2</w:t>
      </w:r>
      <w:r>
        <w:rPr>
          <w:rFonts w:hint="eastAsia" w:ascii="Times New Roman" w:hAnsi="Times New Roman" w:eastAsia="宋体"/>
          <w:color w:val="auto"/>
          <w:sz w:val="24"/>
          <w:highlight w:val="none"/>
          <w:lang w:eastAsia="zh-CN"/>
        </w:rPr>
        <w:t>.</w:t>
      </w:r>
      <w:r>
        <w:rPr>
          <w:rFonts w:hint="eastAsia" w:ascii="Times New Roman" w:hAnsi="Times New Roman" w:eastAsia="宋体"/>
          <w:color w:val="auto"/>
          <w:sz w:val="24"/>
          <w:highlight w:val="none"/>
        </w:rPr>
        <w:t>方法能力目标</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(1)能掌握典型产品生产的开车、正常运行、停车的操作方法；</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(2)能具备操作过程中工艺参数的调节能力；</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(3)能按生产自动控制运行规程操作；</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(4)能进行事故判断与处理的技能；</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(5)能读取和绘制生产工艺流程图；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(6)能检验产品质量并对结果进行分析评价；</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(7)能正确处理实验数据及准确报告实验结果；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(8)能遵守实验室各项安全守则，安全、环保地进行实验操作。</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hint="eastAsia" w:ascii="Times New Roman" w:hAnsi="Times New Roman" w:eastAsia="宋体"/>
          <w:color w:val="auto"/>
          <w:kern w:val="2"/>
          <w:highlight w:val="none"/>
        </w:rPr>
        <w:t>3</w:t>
      </w:r>
      <w:r>
        <w:rPr>
          <w:rFonts w:hint="eastAsia" w:ascii="Times New Roman" w:hAnsi="Times New Roman" w:eastAsia="宋体"/>
          <w:color w:val="auto"/>
          <w:kern w:val="2"/>
          <w:highlight w:val="none"/>
          <w:lang w:eastAsia="zh-CN"/>
        </w:rPr>
        <w:t>.</w:t>
      </w:r>
      <w:r>
        <w:rPr>
          <w:rFonts w:hint="eastAsia" w:ascii="Times New Roman" w:hAnsi="Times New Roman" w:eastAsia="宋体"/>
          <w:color w:val="auto"/>
          <w:kern w:val="2"/>
          <w:highlight w:val="none"/>
        </w:rPr>
        <w:t>社会能力目标</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hint="eastAsia" w:ascii="Times New Roman" w:hAnsi="Times New Roman" w:eastAsia="宋体"/>
          <w:color w:val="auto"/>
          <w:kern w:val="2"/>
          <w:highlight w:val="none"/>
        </w:rPr>
        <w:t>（1）具有较好的人际沟通能力，能主动、热情、认真地进行工作交接；</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hint="eastAsia" w:ascii="Times New Roman" w:hAnsi="Times New Roman" w:eastAsia="宋体"/>
          <w:color w:val="auto"/>
          <w:kern w:val="2"/>
          <w:highlight w:val="none"/>
        </w:rPr>
        <w:t>（2）具有“爱国、创业、求实、奉献”的大庆精神；</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hint="eastAsia" w:ascii="Times New Roman" w:hAnsi="Times New Roman" w:eastAsia="宋体"/>
          <w:color w:val="auto"/>
          <w:kern w:val="2"/>
          <w:highlight w:val="none"/>
        </w:rPr>
        <w:t>（3）具有严谨的工作作风和实事求是的工作态度；</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hint="eastAsia" w:ascii="Times New Roman" w:hAnsi="Times New Roman" w:eastAsia="宋体"/>
          <w:color w:val="auto"/>
          <w:kern w:val="2"/>
          <w:highlight w:val="none"/>
        </w:rPr>
        <w:t>（4）具有一定的组织管理能力和团队协作能力。</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（四）课程教学内容及学时分配</w:t>
      </w:r>
    </w:p>
    <w:p>
      <w:pPr>
        <w:spacing w:line="360" w:lineRule="auto"/>
        <w:jc w:val="center"/>
        <w:rPr>
          <w:rFonts w:ascii="Times New Roman" w:hAnsi="Times New Roman" w:eastAsia="宋体"/>
          <w:color w:val="auto"/>
          <w:sz w:val="24"/>
          <w:highlight w:val="none"/>
        </w:rPr>
      </w:pPr>
      <w:r>
        <w:rPr>
          <w:rFonts w:hint="eastAsia" w:ascii="Times New Roman" w:hAnsi="Times New Roman" w:eastAsia="宋体"/>
          <w:color w:val="auto"/>
          <w:sz w:val="24"/>
          <w:highlight w:val="none"/>
        </w:rPr>
        <w:t xml:space="preserve">4.6 </w:t>
      </w:r>
      <w:r>
        <w:rPr>
          <w:rFonts w:hint="eastAsia" w:ascii="Times New Roman" w:hAnsi="Times New Roman" w:eastAsia="宋体"/>
          <w:color w:val="auto"/>
          <w:kern w:val="0"/>
          <w:sz w:val="24"/>
          <w:highlight w:val="none"/>
        </w:rPr>
        <w:t>《现代</w:t>
      </w:r>
      <w:r>
        <w:rPr>
          <w:rFonts w:ascii="Times New Roman" w:hAnsi="Times New Roman" w:eastAsia="宋体" w:cs="&amp;quot"/>
          <w:color w:val="auto"/>
          <w:sz w:val="24"/>
          <w:highlight w:val="none"/>
        </w:rPr>
        <w:t>煤化工技术</w:t>
      </w:r>
      <w:r>
        <w:rPr>
          <w:rFonts w:hint="eastAsia" w:ascii="Times New Roman" w:hAnsi="Times New Roman" w:eastAsia="宋体"/>
          <w:color w:val="auto"/>
          <w:kern w:val="0"/>
          <w:sz w:val="24"/>
          <w:highlight w:val="none"/>
        </w:rPr>
        <w:t>》</w:t>
      </w:r>
      <w:r>
        <w:rPr>
          <w:rFonts w:ascii="Times New Roman" w:hAnsi="Times New Roman" w:eastAsia="宋体"/>
          <w:color w:val="auto"/>
          <w:kern w:val="0"/>
          <w:sz w:val="24"/>
          <w:highlight w:val="none"/>
        </w:rPr>
        <w:t>课程教学内容及学时安排</w:t>
      </w:r>
    </w:p>
    <w:tbl>
      <w:tblPr>
        <w:tblStyle w:val="15"/>
        <w:tblW w:w="8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3461"/>
        <w:gridCol w:w="2601"/>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250" w:type="dxa"/>
            <w:noWrap/>
            <w:vAlign w:val="center"/>
          </w:tcPr>
          <w:p>
            <w:pPr>
              <w:pStyle w:val="7"/>
              <w:snapToGrid w:val="0"/>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项目任务</w:t>
            </w:r>
          </w:p>
        </w:tc>
        <w:tc>
          <w:tcPr>
            <w:tcW w:w="3461" w:type="dxa"/>
            <w:noWrap/>
            <w:vAlign w:val="center"/>
          </w:tcPr>
          <w:p>
            <w:pPr>
              <w:pStyle w:val="7"/>
              <w:snapToGrid w:val="0"/>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学习情境描述及目标</w:t>
            </w:r>
          </w:p>
        </w:tc>
        <w:tc>
          <w:tcPr>
            <w:tcW w:w="2601" w:type="dxa"/>
            <w:noWrap/>
            <w:vAlign w:val="center"/>
          </w:tcPr>
          <w:p>
            <w:pPr>
              <w:pStyle w:val="7"/>
              <w:snapToGrid w:val="0"/>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学习内容</w:t>
            </w:r>
          </w:p>
        </w:tc>
        <w:tc>
          <w:tcPr>
            <w:tcW w:w="868" w:type="dxa"/>
            <w:noWrap/>
            <w:vAlign w:val="center"/>
          </w:tcPr>
          <w:p>
            <w:pPr>
              <w:pStyle w:val="7"/>
              <w:snapToGrid w:val="0"/>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绪论</w:t>
            </w:r>
          </w:p>
        </w:tc>
        <w:tc>
          <w:tcPr>
            <w:tcW w:w="346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了解煤化工工业发展历史、煤化工工业在国民经济中的地位，煤化工发展趋势。掌握化学加工工业的基本概况、特点，掌握石油、煤、天然气等能源概况。</w:t>
            </w:r>
          </w:p>
        </w:tc>
        <w:tc>
          <w:tcPr>
            <w:tcW w:w="260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煤炭资源，煤化工发展简史， 煤化工的范畴</w:t>
            </w:r>
          </w:p>
        </w:tc>
        <w:tc>
          <w:tcPr>
            <w:tcW w:w="868"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煤的低温干馏</w:t>
            </w:r>
          </w:p>
        </w:tc>
        <w:tc>
          <w:tcPr>
            <w:tcW w:w="346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理解煤的热解基本规律和特点。</w:t>
            </w:r>
            <w:r>
              <w:rPr>
                <w:rFonts w:hint="eastAsia" w:ascii="Times New Roman" w:hAnsi="Times New Roman" w:eastAsia="宋体" w:cs="Times New Roman"/>
                <w:color w:val="auto"/>
                <w:highlight w:val="none"/>
              </w:rPr>
              <w:br w:type="textWrapping"/>
            </w:r>
            <w:r>
              <w:rPr>
                <w:rFonts w:hint="eastAsia" w:ascii="Times New Roman" w:hAnsi="Times New Roman" w:eastAsia="宋体" w:cs="Times New Roman"/>
                <w:color w:val="auto"/>
                <w:highlight w:val="none"/>
              </w:rPr>
              <w:t>掌握低温干馏产品的种类，低温干馏主要炉型，影响干馏产品的因素，固体热载体干馏工艺。</w:t>
            </w:r>
          </w:p>
        </w:tc>
        <w:tc>
          <w:tcPr>
            <w:tcW w:w="260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低温干馏主要炉型，影响干馏产品的因素，固体热载体干馏工艺流程</w:t>
            </w:r>
          </w:p>
        </w:tc>
        <w:tc>
          <w:tcPr>
            <w:tcW w:w="868"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炼焦</w:t>
            </w:r>
          </w:p>
        </w:tc>
        <w:tc>
          <w:tcPr>
            <w:tcW w:w="346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了解焦炉耐火砖、砌筑和烘炉，型焦。</w:t>
            </w:r>
            <w:r>
              <w:rPr>
                <w:rFonts w:hint="eastAsia" w:ascii="Times New Roman" w:hAnsi="Times New Roman" w:eastAsia="宋体" w:cs="Times New Roman"/>
                <w:color w:val="auto"/>
                <w:highlight w:val="none"/>
              </w:rPr>
              <w:br w:type="textWrapping"/>
            </w:r>
            <w:r>
              <w:rPr>
                <w:rFonts w:hint="eastAsia" w:ascii="Times New Roman" w:hAnsi="Times New Roman" w:eastAsia="宋体" w:cs="Times New Roman"/>
                <w:color w:val="auto"/>
                <w:highlight w:val="none"/>
              </w:rPr>
              <w:t>理解煤的成焦过程，配煤对焦炭质量的影响，煤气燃烧和焦炉热平衡，焦炉传热基础，焦炉流体力学基础。</w:t>
            </w:r>
            <w:r>
              <w:rPr>
                <w:rFonts w:hint="eastAsia" w:ascii="Times New Roman" w:hAnsi="Times New Roman" w:eastAsia="宋体" w:cs="Times New Roman"/>
                <w:color w:val="auto"/>
                <w:highlight w:val="none"/>
              </w:rPr>
              <w:br w:type="textWrapping"/>
            </w:r>
            <w:r>
              <w:rPr>
                <w:rFonts w:hint="eastAsia" w:ascii="Times New Roman" w:hAnsi="Times New Roman" w:eastAsia="宋体" w:cs="Times New Roman"/>
                <w:color w:val="auto"/>
                <w:highlight w:val="none"/>
              </w:rPr>
              <w:t>掌握现代焦炉炼焦的特点、炼焦新技术</w:t>
            </w:r>
          </w:p>
        </w:tc>
        <w:tc>
          <w:tcPr>
            <w:tcW w:w="260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炼焦原料煤、焦炉、炼焦新技术。</w:t>
            </w:r>
          </w:p>
        </w:tc>
        <w:tc>
          <w:tcPr>
            <w:tcW w:w="868"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炼焦化学产品的回收与精制</w:t>
            </w:r>
          </w:p>
        </w:tc>
        <w:tc>
          <w:tcPr>
            <w:tcW w:w="346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了解：粗煤气分离的方法以及相关设备，氨和吡啶的回收和粗苯回收的方法以及相关设备，粗苯精制的方法以及相关设备。。</w:t>
            </w:r>
            <w:r>
              <w:rPr>
                <w:rFonts w:hint="eastAsia" w:ascii="Times New Roman" w:hAnsi="Times New Roman" w:eastAsia="宋体" w:cs="Times New Roman"/>
                <w:color w:val="auto"/>
                <w:highlight w:val="none"/>
              </w:rPr>
              <w:br w:type="textWrapping"/>
            </w:r>
            <w:r>
              <w:rPr>
                <w:rFonts w:hint="eastAsia" w:ascii="Times New Roman" w:hAnsi="Times New Roman" w:eastAsia="宋体" w:cs="Times New Roman"/>
                <w:color w:val="auto"/>
                <w:highlight w:val="none"/>
              </w:rPr>
              <w:t>掌握：氨和吡啶的回收和粗苯回收的原理和流程、粗苯精制的原理和流程。</w:t>
            </w:r>
          </w:p>
        </w:tc>
        <w:tc>
          <w:tcPr>
            <w:tcW w:w="260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氨和吡啶的回收和粗苯回收的流程、粗苯精制的流程。</w:t>
            </w:r>
          </w:p>
        </w:tc>
        <w:tc>
          <w:tcPr>
            <w:tcW w:w="868"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煤的气化</w:t>
            </w:r>
          </w:p>
        </w:tc>
        <w:tc>
          <w:tcPr>
            <w:tcW w:w="346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理解：煤气化的基本规律、计算理论和方法。</w:t>
            </w:r>
            <w:r>
              <w:rPr>
                <w:rFonts w:hint="eastAsia" w:ascii="Times New Roman" w:hAnsi="Times New Roman" w:eastAsia="宋体" w:cs="Times New Roman"/>
                <w:color w:val="auto"/>
                <w:highlight w:val="none"/>
              </w:rPr>
              <w:br w:type="textWrapping"/>
            </w:r>
            <w:r>
              <w:rPr>
                <w:rFonts w:hint="eastAsia" w:ascii="Times New Roman" w:hAnsi="Times New Roman" w:eastAsia="宋体" w:cs="Times New Roman"/>
                <w:color w:val="auto"/>
                <w:highlight w:val="none"/>
              </w:rPr>
              <w:t>掌握：煤气化的基本原理，实际生产工艺与设备。</w:t>
            </w:r>
          </w:p>
        </w:tc>
        <w:tc>
          <w:tcPr>
            <w:tcW w:w="260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煤气化的基本原理、气化炉的基本原理、流化床气化法、固定(移动)床气化法、气流床气化法、煤气的净化</w:t>
            </w:r>
          </w:p>
        </w:tc>
        <w:tc>
          <w:tcPr>
            <w:tcW w:w="868"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煤间接液化</w:t>
            </w:r>
          </w:p>
        </w:tc>
        <w:tc>
          <w:tcPr>
            <w:tcW w:w="346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了解：费托合成反应器类型、合成甲醇反应器、甲醇利用进展</w:t>
            </w:r>
            <w:r>
              <w:rPr>
                <w:rFonts w:hint="eastAsia" w:ascii="Times New Roman" w:hAnsi="Times New Roman" w:eastAsia="宋体" w:cs="Times New Roman"/>
                <w:color w:val="auto"/>
                <w:highlight w:val="none"/>
              </w:rPr>
              <w:br w:type="textWrapping"/>
            </w:r>
            <w:r>
              <w:rPr>
                <w:rFonts w:hint="eastAsia" w:ascii="Times New Roman" w:hAnsi="Times New Roman" w:eastAsia="宋体" w:cs="Times New Roman"/>
                <w:color w:val="auto"/>
                <w:highlight w:val="none"/>
              </w:rPr>
              <w:t>理解：费托合成原理、合成甲醇的工艺流程、甲醇转化成汽油的工艺流程、煤制乙酐、合成气两段直接合成汽油。</w:t>
            </w:r>
            <w:r>
              <w:rPr>
                <w:rFonts w:hint="eastAsia" w:ascii="Times New Roman" w:hAnsi="Times New Roman" w:eastAsia="宋体" w:cs="Times New Roman"/>
                <w:color w:val="auto"/>
                <w:highlight w:val="none"/>
              </w:rPr>
              <w:br w:type="textWrapping"/>
            </w:r>
            <w:r>
              <w:rPr>
                <w:rFonts w:hint="eastAsia" w:ascii="Times New Roman" w:hAnsi="Times New Roman" w:eastAsia="宋体" w:cs="Times New Roman"/>
                <w:color w:val="auto"/>
                <w:highlight w:val="none"/>
              </w:rPr>
              <w:t>掌握：合成甲醇原理和工艺流程、甲醇转化成汽油的工艺流程、费托合成原理</w:t>
            </w:r>
            <w:r>
              <w:rPr>
                <w:rFonts w:hint="eastAsia" w:ascii="Times New Roman" w:hAnsi="Times New Roman" w:eastAsia="宋体" w:cs="Times New Roman"/>
                <w:color w:val="auto"/>
                <w:highlight w:val="none"/>
              </w:rPr>
              <w:br w:type="textWrapping"/>
            </w:r>
          </w:p>
        </w:tc>
        <w:tc>
          <w:tcPr>
            <w:tcW w:w="260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合成甲醇的工艺流程、甲醇转化成汽油的工艺流程、费托合成原理</w:t>
            </w:r>
          </w:p>
        </w:tc>
        <w:tc>
          <w:tcPr>
            <w:tcW w:w="868"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250"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煤直接液化</w:t>
            </w:r>
          </w:p>
        </w:tc>
        <w:tc>
          <w:tcPr>
            <w:tcW w:w="346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了解：煤直接液化的意义和发展概况、煤直接液化的发展前景</w:t>
            </w:r>
            <w:r>
              <w:rPr>
                <w:rFonts w:hint="eastAsia" w:ascii="Times New Roman" w:hAnsi="Times New Roman" w:eastAsia="宋体" w:cs="Times New Roman"/>
                <w:color w:val="auto"/>
                <w:highlight w:val="none"/>
              </w:rPr>
              <w:br w:type="textWrapping"/>
            </w:r>
            <w:r>
              <w:rPr>
                <w:rFonts w:hint="eastAsia" w:ascii="Times New Roman" w:hAnsi="Times New Roman" w:eastAsia="宋体" w:cs="Times New Roman"/>
                <w:color w:val="auto"/>
                <w:highlight w:val="none"/>
              </w:rPr>
              <w:t>理解：煤加氢液化原理</w:t>
            </w:r>
            <w:r>
              <w:rPr>
                <w:rFonts w:hint="eastAsia" w:ascii="Times New Roman" w:hAnsi="Times New Roman" w:eastAsia="宋体" w:cs="Times New Roman"/>
                <w:color w:val="auto"/>
                <w:highlight w:val="none"/>
              </w:rPr>
              <w:br w:type="textWrapping"/>
            </w:r>
            <w:r>
              <w:rPr>
                <w:rFonts w:hint="eastAsia" w:ascii="Times New Roman" w:hAnsi="Times New Roman" w:eastAsia="宋体" w:cs="Times New Roman"/>
                <w:color w:val="auto"/>
                <w:highlight w:val="none"/>
              </w:rPr>
              <w:t>掌握：德国煤直接液化工艺、美国煤加氢液化的中间试验、煤直接液化技术开发中的若干重要问题</w:t>
            </w:r>
          </w:p>
        </w:tc>
        <w:tc>
          <w:tcPr>
            <w:tcW w:w="2601" w:type="dxa"/>
            <w:noWrap/>
            <w:vAlign w:val="center"/>
          </w:tcPr>
          <w:p>
            <w:pPr>
              <w:pStyle w:val="7"/>
              <w:snapToGrid w:val="0"/>
              <w:jc w:val="left"/>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煤加氢液化原理，煤直接液化技术开发中的若干重要问题，煤直接液化新技术的开发</w:t>
            </w:r>
          </w:p>
        </w:tc>
        <w:tc>
          <w:tcPr>
            <w:tcW w:w="868" w:type="dxa"/>
            <w:noWrap/>
            <w:vAlign w:val="center"/>
          </w:tcPr>
          <w:p>
            <w:pPr>
              <w:pStyle w:val="7"/>
              <w:snapToGrid w:val="0"/>
              <w:jc w:val="center"/>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8</w:t>
            </w:r>
          </w:p>
        </w:tc>
      </w:tr>
    </w:tbl>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（五）教学组织与教学方法</w:t>
      </w:r>
    </w:p>
    <w:p>
      <w:pPr>
        <w:pStyle w:val="14"/>
        <w:spacing w:beforeAutospacing="0" w:afterAutospacing="0" w:line="360" w:lineRule="auto"/>
        <w:ind w:firstLine="480" w:firstLineChars="200"/>
        <w:rPr>
          <w:rFonts w:ascii="Times New Roman" w:hAnsi="Times New Roman" w:eastAsia="宋体"/>
          <w:color w:val="auto"/>
          <w:highlight w:val="none"/>
        </w:rPr>
      </w:pPr>
      <w:r>
        <w:rPr>
          <w:rFonts w:hint="eastAsia" w:ascii="Times New Roman" w:hAnsi="Times New Roman" w:eastAsia="宋体"/>
          <w:color w:val="auto"/>
          <w:highlight w:val="none"/>
        </w:rPr>
        <w:t xml:space="preserve">本门课程通过具体煤炭化工产品生产讲解煤化工生产工艺知识，教学实施过程中要注意在煤化工产品生产过程中理论应用，同时要注重培养学生的应用所学知识分析问题，并提出解决实际问题方法。在教学过程中加强职业素质培养。 </w:t>
      </w:r>
    </w:p>
    <w:p>
      <w:pPr>
        <w:pStyle w:val="14"/>
        <w:spacing w:beforeAutospacing="0" w:afterAutospacing="0" w:line="480" w:lineRule="atLeast"/>
        <w:ind w:firstLine="480"/>
        <w:textAlignment w:val="baseline"/>
        <w:rPr>
          <w:rFonts w:ascii="Times New Roman" w:hAnsi="Times New Roman" w:eastAsia="宋体"/>
          <w:color w:val="auto"/>
          <w:highlight w:val="none"/>
        </w:rPr>
      </w:pPr>
      <w:r>
        <w:rPr>
          <w:rFonts w:hint="eastAsia" w:ascii="Times New Roman" w:hAnsi="Times New Roman" w:eastAsia="宋体"/>
          <w:color w:val="auto"/>
          <w:highlight w:val="none"/>
        </w:rPr>
        <w:t>本门教学中应注意理论与实践的结合，适当安排指导性自习，加强课前、课后的答疑辅导，注意学生能力的培养，使学生通过对无机化学相关知识的理解，树立整体观念，进而总结归纳元素或化合物化学性质、化学反应一些深层次的基本规律。</w:t>
      </w:r>
    </w:p>
    <w:p>
      <w:pPr>
        <w:pStyle w:val="14"/>
        <w:spacing w:beforeAutospacing="0" w:afterAutospacing="0" w:line="480" w:lineRule="atLeast"/>
        <w:ind w:firstLine="480"/>
        <w:textAlignment w:val="baseline"/>
        <w:rPr>
          <w:rFonts w:ascii="Times New Roman" w:hAnsi="Times New Roman" w:eastAsia="宋体"/>
          <w:color w:val="auto"/>
          <w:highlight w:val="none"/>
        </w:rPr>
      </w:pPr>
      <w:r>
        <w:rPr>
          <w:rFonts w:hint="eastAsia" w:ascii="Times New Roman" w:hAnsi="Times New Roman" w:eastAsia="宋体"/>
          <w:color w:val="auto"/>
          <w:highlight w:val="none"/>
        </w:rPr>
        <w:t xml:space="preserve">（1）开展课堂讨论式教学法 </w:t>
      </w:r>
    </w:p>
    <w:p>
      <w:pPr>
        <w:pStyle w:val="14"/>
        <w:spacing w:beforeAutospacing="0" w:afterAutospacing="0" w:line="480" w:lineRule="atLeast"/>
        <w:ind w:firstLine="480"/>
        <w:textAlignment w:val="baseline"/>
        <w:rPr>
          <w:rFonts w:ascii="Times New Roman" w:hAnsi="Times New Roman" w:eastAsia="宋体"/>
          <w:color w:val="auto"/>
          <w:highlight w:val="none"/>
        </w:rPr>
      </w:pPr>
      <w:r>
        <w:rPr>
          <w:rFonts w:hint="eastAsia" w:ascii="Times New Roman" w:hAnsi="Times New Roman" w:eastAsia="宋体"/>
          <w:color w:val="auto"/>
          <w:highlight w:val="none"/>
        </w:rPr>
        <w:t xml:space="preserve">建议可在部分章节采用以事例为引导的课堂讨论式教学，通过事例引导和教师指导下的课堂讨论、资料查询、自学等方式启发学生分析、讨论有关煤化工生产问题，学习煤化工生产的知识。这些章节包括空气深冷液化分离、催化剂与催化作用、干煤粉气化等内容。 </w:t>
      </w:r>
    </w:p>
    <w:p>
      <w:pPr>
        <w:pStyle w:val="14"/>
        <w:spacing w:beforeAutospacing="0" w:afterAutospacing="0" w:line="480" w:lineRule="atLeast"/>
        <w:ind w:firstLine="480"/>
        <w:textAlignment w:val="baseline"/>
        <w:rPr>
          <w:rFonts w:ascii="Times New Roman" w:hAnsi="Times New Roman" w:eastAsia="宋体"/>
          <w:color w:val="auto"/>
          <w:highlight w:val="none"/>
        </w:rPr>
      </w:pPr>
      <w:r>
        <w:rPr>
          <w:rFonts w:hint="eastAsia" w:ascii="Times New Roman" w:hAnsi="Times New Roman" w:eastAsia="宋体"/>
          <w:color w:val="auto"/>
          <w:highlight w:val="none"/>
        </w:rPr>
        <w:t xml:space="preserve">（2）倡导以问题为中心的教学方式 </w:t>
      </w:r>
    </w:p>
    <w:p>
      <w:pPr>
        <w:pStyle w:val="14"/>
        <w:spacing w:beforeAutospacing="0" w:afterAutospacing="0" w:line="480" w:lineRule="atLeast"/>
        <w:ind w:firstLine="480"/>
        <w:textAlignment w:val="baseline"/>
        <w:rPr>
          <w:rFonts w:ascii="Times New Roman" w:hAnsi="Times New Roman" w:eastAsia="宋体"/>
          <w:b/>
          <w:bCs/>
          <w:color w:val="auto"/>
          <w:sz w:val="24"/>
          <w:highlight w:val="none"/>
        </w:rPr>
      </w:pPr>
      <w:r>
        <w:rPr>
          <w:rFonts w:hint="eastAsia" w:ascii="Times New Roman" w:hAnsi="Times New Roman" w:eastAsia="宋体"/>
          <w:color w:val="auto"/>
          <w:highlight w:val="none"/>
        </w:rPr>
        <w:t>以学生为主体的小组讨论式的方法，强调从提出问题人手，激发学生学习的兴趣，让学生有针对性地去探索并运用理论知识，以提高分析和解决问题的能力。</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（六）考核标准与成绩评定方法</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（1）本门课程是一门考试课，评价依据是本课程标准规定的课程目标、教学内容和要求。</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（2）考试时间：90分钟（理论考核90分钟）。</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（3）考试方式、分制与解释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a.理论成绩的综合评价 采用闭卷、笔试的方式，以百分制评分，满分为100分，占总评成绩的70~80%。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b.实验成绩的综合评价 实验成绩由实验现场表现和实验报告成绩两部分组成。实验成绩占总评成绩的20~30%。</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（4）试题类型及权重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选择题15%～30%、判断题10～20%、填空题10～25%、简答题(包括完成并配平反应式)10～20%、计算题10～30%。 </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（七）教学建议</w:t>
      </w:r>
    </w:p>
    <w:p>
      <w:pPr>
        <w:spacing w:line="360" w:lineRule="auto"/>
        <w:ind w:firstLine="480"/>
        <w:rPr>
          <w:rFonts w:ascii="Times New Roman" w:hAnsi="Times New Roman" w:eastAsia="宋体"/>
          <w:color w:val="auto"/>
          <w:sz w:val="24"/>
          <w:highlight w:val="none"/>
        </w:rPr>
      </w:pPr>
      <w:r>
        <w:rPr>
          <w:rFonts w:hint="eastAsia" w:ascii="Times New Roman" w:hAnsi="Times New Roman" w:eastAsia="宋体"/>
          <w:color w:val="auto"/>
          <w:sz w:val="24"/>
          <w:highlight w:val="none"/>
        </w:rPr>
        <w:t>重视基础知识，加强学的动手能力，借助现代化的教学手段，激发学生的学习兴趣，重视在教学过程中，激发和训练学生的创新思维，尽量与社会、生产生活相联系，培养学生的综合能力。</w:t>
      </w:r>
    </w:p>
    <w:p>
      <w:pPr>
        <w:spacing w:line="360" w:lineRule="auto"/>
        <w:ind w:firstLine="480"/>
        <w:rPr>
          <w:rFonts w:ascii="Times New Roman" w:hAnsi="Times New Roman" w:eastAsia="宋体"/>
          <w:color w:val="auto"/>
          <w:sz w:val="24"/>
          <w:highlight w:val="none"/>
        </w:rPr>
      </w:pPr>
      <w:r>
        <w:rPr>
          <w:rFonts w:hint="eastAsia" w:ascii="Times New Roman" w:hAnsi="Times New Roman" w:eastAsia="宋体"/>
          <w:color w:val="auto"/>
          <w:sz w:val="24"/>
          <w:highlight w:val="none"/>
        </w:rPr>
        <w:t>特色教材的编写过程依据本课程人才培养目标的要求，与项目组成员中的企业人员进行讨论，分析，确定切合生产实际的教材内容。教材编写中注重教材的实用性和技能性，以任务驱动，实践导向设计的思路。</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（八）选用教材标及推荐教材和参考用书（或课程网站）</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 xml:space="preserve">《煤化工工艺学》，编者：郭树才，化学工业出版社 </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《现代煤化工生产技术》编者：</w:t>
      </w:r>
      <w:r>
        <w:rPr>
          <w:rFonts w:hint="eastAsia" w:ascii="Times New Roman" w:hAnsi="Times New Roman" w:eastAsia="宋体"/>
          <w:color w:val="auto"/>
          <w:kern w:val="2"/>
          <w:highlight w:val="none"/>
        </w:rPr>
        <w:t>付长亮，</w:t>
      </w:r>
      <w:r>
        <w:rPr>
          <w:rFonts w:ascii="Times New Roman" w:hAnsi="Times New Roman" w:eastAsia="宋体"/>
          <w:color w:val="auto"/>
          <w:kern w:val="2"/>
          <w:highlight w:val="none"/>
        </w:rPr>
        <w:t>化学工业出版社</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hint="eastAsia" w:ascii="Times New Roman" w:hAnsi="Times New Roman" w:eastAsia="宋体"/>
          <w:color w:val="auto"/>
          <w:kern w:val="2"/>
          <w:highlight w:val="none"/>
        </w:rPr>
        <w:t>《煤化工生产技术》，</w:t>
      </w:r>
      <w:r>
        <w:rPr>
          <w:rFonts w:ascii="Times New Roman" w:hAnsi="Times New Roman" w:eastAsia="宋体"/>
          <w:color w:val="auto"/>
          <w:kern w:val="2"/>
          <w:highlight w:val="none"/>
        </w:rPr>
        <w:t>编者：</w:t>
      </w:r>
      <w:r>
        <w:rPr>
          <w:rFonts w:hint="eastAsia" w:ascii="Times New Roman" w:hAnsi="Times New Roman" w:eastAsia="宋体"/>
          <w:color w:val="auto"/>
          <w:kern w:val="2"/>
          <w:highlight w:val="none"/>
        </w:rPr>
        <w:t>侯霞，中国石化出版社</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《煤化工基础》，编者：李玉林、胡瑞生、白雅琴，化学工业出版社</w:t>
      </w:r>
    </w:p>
    <w:p>
      <w:pPr>
        <w:pStyle w:val="14"/>
        <w:spacing w:beforeAutospacing="0" w:afterAutospacing="0" w:line="480" w:lineRule="atLeast"/>
        <w:ind w:firstLine="48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《煤化学》，编者：朱银惠，化学工业出版社。</w:t>
      </w:r>
    </w:p>
    <w:p>
      <w:pPr>
        <w:pStyle w:val="3"/>
        <w:spacing w:before="0" w:after="0" w:line="360" w:lineRule="auto"/>
        <w:rPr>
          <w:rFonts w:ascii="Times New Roman" w:hAnsi="Times New Roman"/>
          <w:b w:val="0"/>
          <w:bCs/>
          <w:color w:val="auto"/>
          <w:highlight w:val="none"/>
        </w:rPr>
      </w:pPr>
      <w:bookmarkStart w:id="73" w:name="_Toc17238590"/>
      <w:bookmarkStart w:id="74" w:name="_Toc17571"/>
      <w:r>
        <w:rPr>
          <w:rFonts w:hint="eastAsia" w:ascii="Times New Roman" w:hAnsi="Times New Roman"/>
          <w:b w:val="0"/>
          <w:bCs/>
          <w:color w:val="auto"/>
          <w:highlight w:val="none"/>
        </w:rPr>
        <w:t>六、《煤气化工艺》核心课程标准</w:t>
      </w:r>
      <w:bookmarkEnd w:id="73"/>
      <w:bookmarkEnd w:id="74"/>
    </w:p>
    <w:tbl>
      <w:tblPr>
        <w:tblStyle w:val="15"/>
        <w:tblW w:w="822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514"/>
        <w:gridCol w:w="138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课程编码</w:t>
            </w:r>
          </w:p>
        </w:tc>
        <w:tc>
          <w:tcPr>
            <w:tcW w:w="351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default" w:eastAsiaTheme="minorEastAsia"/>
                <w:color w:val="auto"/>
                <w:szCs w:val="21"/>
                <w:highlight w:val="none"/>
                <w:lang w:val="en-US" w:eastAsia="zh-CN"/>
              </w:rPr>
            </w:pPr>
            <w:r>
              <w:rPr>
                <w:rFonts w:hint="eastAsia"/>
                <w:color w:val="auto"/>
                <w:szCs w:val="21"/>
                <w:highlight w:val="none"/>
                <w:lang w:val="en-US" w:eastAsia="zh-CN"/>
              </w:rPr>
              <w:t>1003075</w:t>
            </w:r>
          </w:p>
        </w:tc>
        <w:tc>
          <w:tcPr>
            <w:tcW w:w="138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课程类别</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专业学习领域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计划学时</w:t>
            </w:r>
          </w:p>
        </w:tc>
        <w:tc>
          <w:tcPr>
            <w:tcW w:w="351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color w:val="auto"/>
                <w:szCs w:val="21"/>
                <w:highlight w:val="none"/>
              </w:rPr>
              <w:t>72</w:t>
            </w:r>
          </w:p>
        </w:tc>
        <w:tc>
          <w:tcPr>
            <w:tcW w:w="138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课程类型</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color w:val="auto"/>
                <w:szCs w:val="21"/>
                <w:highlight w:val="none"/>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适用专业</w:t>
            </w:r>
          </w:p>
        </w:tc>
        <w:tc>
          <w:tcPr>
            <w:tcW w:w="351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ascii="宋体" w:hAnsi="宋体"/>
                <w:color w:val="auto"/>
                <w:szCs w:val="21"/>
                <w:highlight w:val="none"/>
              </w:rPr>
              <w:t>煤炭深加工与利用</w:t>
            </w:r>
          </w:p>
        </w:tc>
        <w:tc>
          <w:tcPr>
            <w:tcW w:w="138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课程性质</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开课学期</w:t>
            </w:r>
          </w:p>
        </w:tc>
        <w:tc>
          <w:tcPr>
            <w:tcW w:w="351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第</w:t>
            </w:r>
            <w:r>
              <w:rPr>
                <w:rFonts w:hint="eastAsia"/>
                <w:color w:val="auto"/>
                <w:szCs w:val="21"/>
                <w:highlight w:val="none"/>
              </w:rPr>
              <w:t>4</w:t>
            </w:r>
            <w:r>
              <w:rPr>
                <w:rFonts w:hint="eastAsia" w:hAnsi="宋体"/>
                <w:color w:val="auto"/>
                <w:szCs w:val="21"/>
                <w:highlight w:val="none"/>
              </w:rPr>
              <w:t>学期</w:t>
            </w:r>
          </w:p>
        </w:tc>
        <w:tc>
          <w:tcPr>
            <w:tcW w:w="138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学分</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先行课程</w:t>
            </w:r>
          </w:p>
        </w:tc>
        <w:tc>
          <w:tcPr>
            <w:tcW w:w="351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color w:val="auto"/>
                <w:szCs w:val="21"/>
                <w:highlight w:val="none"/>
              </w:rPr>
              <w:t>煤化学、化工单元操作、化工设备</w:t>
            </w:r>
          </w:p>
        </w:tc>
        <w:tc>
          <w:tcPr>
            <w:tcW w:w="138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开课单位</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晋城职业技术学院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平行课程</w:t>
            </w:r>
          </w:p>
        </w:tc>
        <w:tc>
          <w:tcPr>
            <w:tcW w:w="3514" w:type="dxa"/>
            <w:tcBorders>
              <w:top w:val="single" w:color="auto" w:sz="4" w:space="0"/>
              <w:left w:val="single" w:color="auto" w:sz="4" w:space="0"/>
              <w:bottom w:val="single" w:color="auto" w:sz="4" w:space="0"/>
              <w:right w:val="single" w:color="auto" w:sz="4" w:space="0"/>
            </w:tcBorders>
            <w:noWrap/>
            <w:vAlign w:val="center"/>
          </w:tcPr>
          <w:p>
            <w:pPr>
              <w:widowControl/>
              <w:jc w:val="center"/>
              <w:rPr>
                <w:color w:val="auto"/>
                <w:szCs w:val="21"/>
                <w:highlight w:val="none"/>
              </w:rPr>
            </w:pPr>
            <w:r>
              <w:rPr>
                <w:rFonts w:hint="eastAsia" w:hAnsi="宋体"/>
                <w:color w:val="auto"/>
                <w:szCs w:val="21"/>
                <w:highlight w:val="none"/>
                <w:lang w:val="en-US" w:eastAsia="zh-CN"/>
              </w:rPr>
              <w:t>洁净煤技术、</w:t>
            </w:r>
            <w:r>
              <w:rPr>
                <w:rFonts w:hint="eastAsia" w:hAnsi="宋体"/>
                <w:color w:val="auto"/>
                <w:szCs w:val="21"/>
                <w:highlight w:val="none"/>
              </w:rPr>
              <w:t>现代煤化工技术</w:t>
            </w:r>
          </w:p>
        </w:tc>
        <w:tc>
          <w:tcPr>
            <w:tcW w:w="1380"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考核类型</w:t>
            </w:r>
          </w:p>
        </w:tc>
        <w:tc>
          <w:tcPr>
            <w:tcW w:w="199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hAnsi="宋体"/>
                <w:color w:val="auto"/>
                <w:szCs w:val="21"/>
                <w:highlight w:val="none"/>
              </w:rPr>
              <w:t>后继课程</w:t>
            </w:r>
          </w:p>
        </w:tc>
        <w:tc>
          <w:tcPr>
            <w:tcW w:w="6888" w:type="dxa"/>
            <w:gridSpan w:val="3"/>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color w:val="auto"/>
                <w:szCs w:val="21"/>
                <w:highlight w:val="none"/>
              </w:rPr>
            </w:pPr>
            <w:r>
              <w:rPr>
                <w:rFonts w:hint="eastAsia"/>
                <w:color w:val="auto"/>
                <w:szCs w:val="21"/>
                <w:highlight w:val="none"/>
              </w:rPr>
              <w:t>跟岗实习、顶岗实习</w:t>
            </w:r>
          </w:p>
        </w:tc>
      </w:tr>
    </w:tbl>
    <w:p>
      <w:pPr>
        <w:tabs>
          <w:tab w:val="left" w:pos="567"/>
        </w:tabs>
        <w:spacing w:line="360" w:lineRule="auto"/>
        <w:ind w:left="480"/>
        <w:rPr>
          <w:rFonts w:ascii="宋体" w:hAnsi="宋体"/>
          <w:color w:val="auto"/>
          <w:sz w:val="24"/>
          <w:highlight w:val="none"/>
        </w:rPr>
      </w:pP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（一）课程性质与定位</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本课程是高职高专</w:t>
      </w:r>
      <w:r>
        <w:rPr>
          <w:rFonts w:hint="eastAsia" w:ascii="Times New Roman" w:hAnsi="Times New Roman" w:eastAsia="宋体"/>
          <w:color w:val="auto"/>
          <w:sz w:val="24"/>
          <w:highlight w:val="none"/>
          <w:lang w:val="en-US" w:eastAsia="zh-CN"/>
        </w:rPr>
        <w:t>煤炭深加工与利用专业</w:t>
      </w:r>
      <w:r>
        <w:rPr>
          <w:rFonts w:hint="eastAsia" w:ascii="Times New Roman" w:hAnsi="Times New Roman" w:eastAsia="宋体"/>
          <w:color w:val="auto"/>
          <w:sz w:val="24"/>
          <w:highlight w:val="none"/>
        </w:rPr>
        <w:t>的一门专业核心课程。通过学习让学生掌握</w:t>
      </w:r>
      <w:r>
        <w:rPr>
          <w:rFonts w:ascii="Times New Roman" w:hAnsi="Times New Roman" w:eastAsia="宋体"/>
          <w:color w:val="auto"/>
          <w:sz w:val="24"/>
          <w:highlight w:val="none"/>
        </w:rPr>
        <w:t>以</w:t>
      </w:r>
      <w:r>
        <w:rPr>
          <w:rFonts w:hint="eastAsia" w:ascii="Times New Roman" w:hAnsi="Times New Roman" w:eastAsia="宋体"/>
          <w:color w:val="auto"/>
          <w:sz w:val="24"/>
          <w:highlight w:val="none"/>
        </w:rPr>
        <w:t>煤气</w:t>
      </w:r>
      <w:r>
        <w:rPr>
          <w:rFonts w:ascii="Times New Roman" w:hAnsi="Times New Roman" w:eastAsia="宋体"/>
          <w:color w:val="auto"/>
          <w:sz w:val="24"/>
          <w:highlight w:val="none"/>
        </w:rPr>
        <w:t>的生产方法、基本原理、工艺</w:t>
      </w:r>
      <w:r>
        <w:rPr>
          <w:rFonts w:hint="eastAsia" w:ascii="Times New Roman" w:hAnsi="Times New Roman" w:eastAsia="宋体"/>
          <w:color w:val="auto"/>
          <w:sz w:val="24"/>
          <w:highlight w:val="none"/>
        </w:rPr>
        <w:t>流</w:t>
      </w:r>
      <w:r>
        <w:rPr>
          <w:rFonts w:ascii="Times New Roman" w:hAnsi="Times New Roman" w:eastAsia="宋体"/>
          <w:color w:val="auto"/>
          <w:sz w:val="24"/>
          <w:highlight w:val="none"/>
        </w:rPr>
        <w:t>程、操作条件与参数分析、主要设备结构、岗位操作、生产故障排除等知识</w:t>
      </w:r>
      <w:r>
        <w:rPr>
          <w:rFonts w:hint="eastAsia" w:ascii="Times New Roman" w:hAnsi="Times New Roman" w:eastAsia="宋体"/>
          <w:color w:val="auto"/>
          <w:sz w:val="24"/>
          <w:highlight w:val="none"/>
        </w:rPr>
        <w:t>；培养</w:t>
      </w:r>
      <w:r>
        <w:rPr>
          <w:rFonts w:ascii="Times New Roman" w:hAnsi="Times New Roman" w:eastAsia="宋体"/>
          <w:color w:val="auto"/>
          <w:sz w:val="24"/>
          <w:highlight w:val="none"/>
        </w:rPr>
        <w:t>学生具备准确的工艺计算能力，确定工</w:t>
      </w:r>
      <w:r>
        <w:rPr>
          <w:rFonts w:hint="eastAsia" w:ascii="Times New Roman" w:hAnsi="Times New Roman" w:eastAsia="宋体"/>
          <w:color w:val="auto"/>
          <w:sz w:val="24"/>
          <w:highlight w:val="none"/>
        </w:rPr>
        <w:t>艺</w:t>
      </w:r>
      <w:r>
        <w:rPr>
          <w:rFonts w:ascii="Times New Roman" w:hAnsi="Times New Roman" w:eastAsia="宋体"/>
          <w:color w:val="auto"/>
          <w:sz w:val="24"/>
          <w:highlight w:val="none"/>
        </w:rPr>
        <w:t>流程和设备选型的能力</w:t>
      </w:r>
      <w:r>
        <w:rPr>
          <w:rFonts w:hint="eastAsia" w:ascii="Times New Roman" w:hAnsi="Times New Roman" w:eastAsia="宋体"/>
          <w:color w:val="auto"/>
          <w:sz w:val="24"/>
          <w:highlight w:val="none"/>
        </w:rPr>
        <w:t>及</w:t>
      </w:r>
      <w:r>
        <w:rPr>
          <w:rFonts w:ascii="Times New Roman" w:hAnsi="Times New Roman" w:eastAsia="宋体"/>
          <w:color w:val="auto"/>
          <w:sz w:val="24"/>
          <w:highlight w:val="none"/>
        </w:rPr>
        <w:t>岗位</w:t>
      </w:r>
      <w:r>
        <w:rPr>
          <w:rFonts w:hint="eastAsia" w:ascii="Times New Roman" w:hAnsi="Times New Roman" w:eastAsia="宋体"/>
          <w:color w:val="auto"/>
          <w:sz w:val="24"/>
          <w:highlight w:val="none"/>
        </w:rPr>
        <w:t>安全</w:t>
      </w:r>
      <w:r>
        <w:rPr>
          <w:rFonts w:ascii="Times New Roman" w:hAnsi="Times New Roman" w:eastAsia="宋体"/>
          <w:color w:val="auto"/>
          <w:sz w:val="24"/>
          <w:highlight w:val="none"/>
        </w:rPr>
        <w:t>操作</w:t>
      </w:r>
      <w:r>
        <w:rPr>
          <w:rFonts w:hint="eastAsia" w:ascii="Times New Roman" w:hAnsi="Times New Roman" w:eastAsia="宋体"/>
          <w:color w:val="auto"/>
          <w:sz w:val="24"/>
          <w:highlight w:val="none"/>
        </w:rPr>
        <w:t>能力；培养学生具有严谨认真、实事求是的科学态度；提高学生分析问题、解决问题的能力；养成良好的职业卫生习惯和职业道德，打下扎实的理论基础。</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（二）课程设计理念</w:t>
      </w:r>
    </w:p>
    <w:p>
      <w:pPr>
        <w:spacing w:line="360" w:lineRule="auto"/>
        <w:ind w:firstLine="432" w:firstLineChars="180"/>
        <w:rPr>
          <w:rFonts w:ascii="Times New Roman" w:hAnsi="Times New Roman" w:eastAsia="宋体"/>
          <w:color w:val="auto"/>
          <w:sz w:val="24"/>
          <w:highlight w:val="none"/>
        </w:rPr>
      </w:pPr>
      <w:r>
        <w:rPr>
          <w:rFonts w:hint="eastAsia" w:ascii="Times New Roman" w:hAnsi="Times New Roman" w:eastAsia="宋体"/>
          <w:color w:val="auto"/>
          <w:sz w:val="24"/>
          <w:highlight w:val="none"/>
        </w:rPr>
        <w:t>《煤气化工艺》开设课程的目的是根据本地产业结构和化工生产实际，丰富学生的专业知识体系，提升学生的专业素养，为从事煤化工相关工作奠定基础。通过本课程的学习,明确煤气化工艺在整个专业课中的地位及所学的全部内容，按照职业岗位要求，设计学习任务，以学生为主体，项目为导向，按照职业性、实践性和开放性要求组织教学，理论与实践相结合。具体理念包括: 人才培养目标符合高端技能型的需要，基于工作过程设计学习内容、采取项目导向教学模式，教学过程体现理论与实践相结合，评价过程化、系统化、立体化，注重全面发展。</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（三）课程目标</w:t>
      </w:r>
    </w:p>
    <w:p>
      <w:pPr>
        <w:spacing w:line="360" w:lineRule="auto"/>
        <w:ind w:firstLine="48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宋体" w:cs="宋体"/>
          <w:color w:val="auto"/>
          <w:kern w:val="0"/>
          <w:sz w:val="24"/>
          <w:highlight w:val="none"/>
        </w:rPr>
        <w:t>通过本门课程学习，</w:t>
      </w:r>
      <w:r>
        <w:rPr>
          <w:rFonts w:hint="eastAsia" w:ascii="Times New Roman" w:hAnsi="Times New Roman" w:eastAsia="宋体"/>
          <w:color w:val="auto"/>
          <w:sz w:val="24"/>
          <w:highlight w:val="none"/>
        </w:rPr>
        <w:t>了解中国煤炭气化生产应用情况；掌握煤气生产的典型流程；掌握煤炭气化的</w:t>
      </w:r>
      <w:r>
        <w:rPr>
          <w:rFonts w:ascii="Times New Roman" w:hAnsi="Times New Roman" w:eastAsia="宋体"/>
          <w:color w:val="auto"/>
          <w:sz w:val="24"/>
          <w:highlight w:val="none"/>
        </w:rPr>
        <w:t>生产方法、基本原理、</w:t>
      </w:r>
      <w:r>
        <w:rPr>
          <w:rFonts w:hint="eastAsia" w:ascii="Times New Roman" w:hAnsi="Times New Roman" w:eastAsia="宋体"/>
          <w:color w:val="auto"/>
          <w:sz w:val="24"/>
          <w:highlight w:val="none"/>
        </w:rPr>
        <w:t>生产过程；掌握煤炭气化的</w:t>
      </w:r>
      <w:r>
        <w:rPr>
          <w:rFonts w:ascii="Times New Roman" w:hAnsi="Times New Roman" w:eastAsia="宋体"/>
          <w:color w:val="auto"/>
          <w:sz w:val="24"/>
          <w:highlight w:val="none"/>
        </w:rPr>
        <w:t>操作条件、主要设备结构、岗位操作、生产故障排除等知识</w:t>
      </w:r>
      <w:r>
        <w:rPr>
          <w:rFonts w:hint="eastAsia" w:ascii="Times New Roman" w:hAnsi="Times New Roman" w:eastAsia="宋体"/>
          <w:color w:val="auto"/>
          <w:sz w:val="24"/>
          <w:highlight w:val="none"/>
        </w:rPr>
        <w:t>；培养</w:t>
      </w:r>
      <w:r>
        <w:rPr>
          <w:rFonts w:ascii="Times New Roman" w:hAnsi="Times New Roman" w:eastAsia="宋体"/>
          <w:color w:val="auto"/>
          <w:sz w:val="24"/>
          <w:highlight w:val="none"/>
        </w:rPr>
        <w:t>学生具备准确的工艺计算能力</w:t>
      </w:r>
      <w:r>
        <w:rPr>
          <w:rFonts w:hint="eastAsia" w:ascii="Times New Roman" w:hAnsi="Times New Roman" w:eastAsia="宋体"/>
          <w:color w:val="auto"/>
          <w:sz w:val="24"/>
          <w:highlight w:val="none"/>
        </w:rPr>
        <w:t>；培养学生</w:t>
      </w:r>
      <w:r>
        <w:rPr>
          <w:rFonts w:ascii="Times New Roman" w:hAnsi="Times New Roman" w:eastAsia="宋体"/>
          <w:color w:val="auto"/>
          <w:sz w:val="24"/>
          <w:highlight w:val="none"/>
        </w:rPr>
        <w:t>确定工流程和设备选型的能力</w:t>
      </w:r>
      <w:r>
        <w:rPr>
          <w:rFonts w:hint="eastAsia" w:ascii="Times New Roman" w:hAnsi="Times New Roman" w:eastAsia="宋体"/>
          <w:color w:val="auto"/>
          <w:sz w:val="24"/>
          <w:highlight w:val="none"/>
        </w:rPr>
        <w:t>；培养学生具备</w:t>
      </w:r>
      <w:r>
        <w:rPr>
          <w:rFonts w:ascii="Times New Roman" w:hAnsi="Times New Roman" w:eastAsia="宋体"/>
          <w:color w:val="auto"/>
          <w:sz w:val="24"/>
          <w:highlight w:val="none"/>
        </w:rPr>
        <w:t>岗位</w:t>
      </w:r>
      <w:r>
        <w:rPr>
          <w:rFonts w:hint="eastAsia" w:ascii="Times New Roman" w:hAnsi="Times New Roman" w:eastAsia="宋体"/>
          <w:color w:val="auto"/>
          <w:sz w:val="24"/>
          <w:highlight w:val="none"/>
        </w:rPr>
        <w:t>安全</w:t>
      </w:r>
      <w:r>
        <w:rPr>
          <w:rFonts w:ascii="Times New Roman" w:hAnsi="Times New Roman" w:eastAsia="宋体"/>
          <w:color w:val="auto"/>
          <w:sz w:val="24"/>
          <w:highlight w:val="none"/>
        </w:rPr>
        <w:t>操作</w:t>
      </w:r>
      <w:r>
        <w:rPr>
          <w:rFonts w:hint="eastAsia" w:ascii="Times New Roman" w:hAnsi="Times New Roman" w:eastAsia="宋体"/>
          <w:color w:val="auto"/>
          <w:sz w:val="24"/>
          <w:highlight w:val="none"/>
        </w:rPr>
        <w:t>能力；培养学生严谨认真、实事求是、精益求精的科学态度；提高学生分析问题、解决问题的能力；培养学生遵守操作规程、安全生产的工作习惯；培养学生节约意识、质量意识、安全意识、创新意识、吃苦耐劳等良好的职业卫生习惯和职业道德。</w:t>
      </w:r>
    </w:p>
    <w:p>
      <w:pPr>
        <w:spacing w:line="360" w:lineRule="auto"/>
        <w:ind w:firstLine="600" w:firstLineChars="200"/>
        <w:rPr>
          <w:rFonts w:hint="eastAsia" w:ascii="Times New Roman" w:hAnsi="Times New Roman" w:eastAsia="宋体"/>
          <w:color w:val="auto"/>
          <w:sz w:val="24"/>
          <w:highlight w:val="none"/>
        </w:rPr>
      </w:pPr>
      <w:r>
        <w:rPr>
          <w:rFonts w:hint="eastAsia" w:ascii="Times New Roman" w:hAnsi="Times New Roman" w:eastAsia="黑体" w:cs="黑体"/>
          <w:bCs/>
          <w:color w:val="auto"/>
          <w:sz w:val="30"/>
          <w:szCs w:val="30"/>
          <w:highlight w:val="none"/>
          <w:lang w:val="en-US" w:eastAsia="zh-CN"/>
        </w:rPr>
        <w:t>（四）课程教学内容及学时分配</w:t>
      </w:r>
    </w:p>
    <w:p>
      <w:pPr>
        <w:spacing w:line="360" w:lineRule="auto"/>
        <w:ind w:left="480"/>
        <w:jc w:val="center"/>
        <w:rPr>
          <w:rFonts w:ascii="Times New Roman" w:hAnsi="Times New Roman" w:eastAsia="宋体"/>
          <w:color w:val="auto"/>
          <w:sz w:val="24"/>
          <w:highlight w:val="none"/>
        </w:rPr>
      </w:pPr>
      <w:r>
        <w:rPr>
          <w:rFonts w:hint="eastAsia" w:ascii="Times New Roman" w:hAnsi="Times New Roman" w:eastAsia="宋体"/>
          <w:color w:val="auto"/>
          <w:sz w:val="24"/>
          <w:highlight w:val="none"/>
        </w:rPr>
        <w:t>4.7</w:t>
      </w:r>
      <w:r>
        <w:rPr>
          <w:rFonts w:hint="eastAsia" w:ascii="Times New Roman" w:hAnsi="Times New Roman" w:eastAsia="宋体"/>
          <w:color w:val="auto"/>
          <w:kern w:val="0"/>
          <w:sz w:val="24"/>
          <w:highlight w:val="none"/>
        </w:rPr>
        <w:t>《</w:t>
      </w:r>
      <w:r>
        <w:rPr>
          <w:rFonts w:hint="eastAsia" w:ascii="Times New Roman" w:hAnsi="Times New Roman" w:eastAsia="宋体" w:cs="宋体"/>
          <w:color w:val="auto"/>
          <w:sz w:val="24"/>
          <w:highlight w:val="none"/>
        </w:rPr>
        <w:t>煤气化工艺</w:t>
      </w:r>
      <w:r>
        <w:rPr>
          <w:rFonts w:hint="eastAsia" w:ascii="Times New Roman" w:hAnsi="Times New Roman" w:eastAsia="宋体"/>
          <w:color w:val="auto"/>
          <w:kern w:val="0"/>
          <w:sz w:val="24"/>
          <w:highlight w:val="none"/>
        </w:rPr>
        <w:t>》</w:t>
      </w:r>
      <w:r>
        <w:rPr>
          <w:rFonts w:ascii="Times New Roman" w:hAnsi="Times New Roman" w:eastAsia="宋体"/>
          <w:color w:val="auto"/>
          <w:kern w:val="0"/>
          <w:sz w:val="24"/>
          <w:highlight w:val="none"/>
        </w:rPr>
        <w:t>课程教学内容及学时安排</w:t>
      </w:r>
    </w:p>
    <w:tbl>
      <w:tblPr>
        <w:tblStyle w:val="15"/>
        <w:tblW w:w="8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2677"/>
        <w:gridCol w:w="3385"/>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250" w:type="dxa"/>
            <w:noWrap/>
            <w:vAlign w:val="center"/>
          </w:tcPr>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项目任务</w:t>
            </w:r>
          </w:p>
        </w:tc>
        <w:tc>
          <w:tcPr>
            <w:tcW w:w="2677" w:type="dxa"/>
            <w:noWrap/>
            <w:vAlign w:val="center"/>
          </w:tcPr>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学习情境描述及目标</w:t>
            </w:r>
          </w:p>
        </w:tc>
        <w:tc>
          <w:tcPr>
            <w:tcW w:w="3385" w:type="dxa"/>
            <w:noWrap/>
            <w:vAlign w:val="center"/>
          </w:tcPr>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学习内容</w:t>
            </w:r>
          </w:p>
        </w:tc>
        <w:tc>
          <w:tcPr>
            <w:tcW w:w="868" w:type="dxa"/>
            <w:noWrap/>
            <w:vAlign w:val="center"/>
          </w:tcPr>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学时</w:t>
            </w:r>
          </w:p>
          <w:p>
            <w:pPr>
              <w:pStyle w:val="7"/>
              <w:snapToGrid w:val="0"/>
              <w:spacing w:line="440" w:lineRule="exact"/>
              <w:jc w:val="center"/>
              <w:rPr>
                <w:rFonts w:ascii="Times New Roman" w:hAnsi="Times New Roman" w:eastAsia="宋体" w:cs="Times New Roman"/>
                <w:b/>
                <w:color w:val="auto"/>
                <w:highlight w:val="none"/>
              </w:rPr>
            </w:pPr>
            <w:r>
              <w:rPr>
                <w:rFonts w:ascii="Times New Roman" w:hAnsi="Times New Roman" w:eastAsia="宋体" w:cs="Times New Roman"/>
                <w:b/>
                <w:color w:val="auto"/>
                <w:highlight w:val="none"/>
              </w:rPr>
              <w:t>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320" w:lineRule="exact"/>
              <w:jc w:val="center"/>
              <w:rPr>
                <w:rFonts w:ascii="Times New Roman" w:hAnsi="Times New Roman" w:eastAsia="宋体"/>
                <w:color w:val="auto"/>
                <w:szCs w:val="21"/>
                <w:highlight w:val="none"/>
              </w:rPr>
            </w:pPr>
            <w:r>
              <w:rPr>
                <w:rFonts w:ascii="Times New Roman" w:hAnsi="Times New Roman" w:eastAsia="宋体" w:cs="微软雅黑"/>
                <w:color w:val="auto"/>
                <w:szCs w:val="21"/>
                <w:highlight w:val="none"/>
                <w:shd w:val="clear" w:color="auto" w:fill="FFFFFF"/>
              </w:rPr>
              <w:t>第一章绪论</w:t>
            </w:r>
            <w:r>
              <w:rPr>
                <w:rFonts w:hint="eastAsia" w:ascii="Times New Roman" w:hAnsi="Times New Roman" w:eastAsia="宋体" w:cs="微软雅黑"/>
                <w:color w:val="auto"/>
                <w:szCs w:val="21"/>
                <w:highlight w:val="none"/>
                <w:shd w:val="clear" w:color="auto" w:fill="FFFFFF"/>
              </w:rPr>
              <w:t> </w:t>
            </w:r>
          </w:p>
        </w:tc>
        <w:tc>
          <w:tcPr>
            <w:tcW w:w="2677" w:type="dxa"/>
            <w:noWrap/>
            <w:vAlign w:val="center"/>
          </w:tcPr>
          <w:p>
            <w:pPr>
              <w:rPr>
                <w:rFonts w:ascii="Times New Roman" w:hAnsi="Times New Roman" w:eastAsia="宋体"/>
                <w:color w:val="auto"/>
                <w:szCs w:val="21"/>
                <w:highlight w:val="none"/>
              </w:rPr>
            </w:pPr>
          </w:p>
        </w:tc>
        <w:tc>
          <w:tcPr>
            <w:tcW w:w="3385" w:type="dxa"/>
            <w:noWrap/>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1、了解煤炭气化的重要意义；2、掌握煤气的生成、组成和产率；</w:t>
            </w:r>
          </w:p>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3、掌握煤气生产的方法和典型流程；</w:t>
            </w:r>
          </w:p>
        </w:tc>
        <w:tc>
          <w:tcPr>
            <w:tcW w:w="868" w:type="dxa"/>
            <w:noWrap/>
            <w:vAlign w:val="center"/>
          </w:tcPr>
          <w:p>
            <w:pPr>
              <w:jc w:val="cente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320" w:lineRule="exact"/>
              <w:jc w:val="center"/>
              <w:rPr>
                <w:rFonts w:ascii="Times New Roman" w:hAnsi="Times New Roman" w:eastAsia="宋体"/>
                <w:color w:val="auto"/>
                <w:szCs w:val="21"/>
                <w:highlight w:val="none"/>
              </w:rPr>
            </w:pPr>
            <w:r>
              <w:rPr>
                <w:rFonts w:hint="eastAsia" w:ascii="Times New Roman" w:hAnsi="Times New Roman" w:eastAsia="宋体" w:cs="微软雅黑"/>
                <w:color w:val="auto"/>
                <w:szCs w:val="21"/>
                <w:highlight w:val="none"/>
                <w:shd w:val="clear" w:color="auto" w:fill="FFFFFF"/>
              </w:rPr>
              <w:t>第二章煤气化原理</w:t>
            </w:r>
            <w:r>
              <w:rPr>
                <w:rFonts w:hint="eastAsia" w:ascii="Times New Roman" w:hAnsi="Times New Roman" w:eastAsia="宋体" w:cs="微软雅黑"/>
                <w:color w:val="auto"/>
                <w:szCs w:val="21"/>
                <w:highlight w:val="none"/>
                <w:shd w:val="clear" w:color="auto" w:fill="FFFFFF"/>
              </w:rPr>
              <w:br w:type="textWrapping"/>
            </w:r>
          </w:p>
        </w:tc>
        <w:tc>
          <w:tcPr>
            <w:tcW w:w="2677" w:type="dxa"/>
            <w:noWrap/>
            <w:vAlign w:val="center"/>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掌握煤气初冷操作技术和初冷常见事故的处理；</w:t>
            </w:r>
          </w:p>
        </w:tc>
        <w:tc>
          <w:tcPr>
            <w:tcW w:w="3385" w:type="dxa"/>
            <w:noWrap/>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1、掌握煤气在集气管内的冷却机理及技术要求；2、掌握煤气在初冷器中冷却的方法；3、了解焦油氨水的混合物的性质及分离要求、方法流程；4、了解煤气冷却的主要设备；</w:t>
            </w:r>
          </w:p>
        </w:tc>
        <w:tc>
          <w:tcPr>
            <w:tcW w:w="868" w:type="dxa"/>
            <w:noWrap/>
            <w:vAlign w:val="center"/>
          </w:tcPr>
          <w:p>
            <w:pPr>
              <w:jc w:val="cente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320" w:lineRule="exact"/>
              <w:jc w:val="center"/>
              <w:rPr>
                <w:rFonts w:ascii="Times New Roman" w:hAnsi="Times New Roman" w:eastAsia="宋体"/>
                <w:color w:val="auto"/>
                <w:szCs w:val="21"/>
                <w:highlight w:val="none"/>
              </w:rPr>
            </w:pPr>
            <w:r>
              <w:rPr>
                <w:rFonts w:hint="eastAsia" w:ascii="Times New Roman" w:hAnsi="Times New Roman" w:eastAsia="宋体" w:cs="微软雅黑"/>
                <w:color w:val="auto"/>
                <w:szCs w:val="21"/>
                <w:highlight w:val="none"/>
                <w:shd w:val="clear" w:color="auto" w:fill="FFFFFF"/>
              </w:rPr>
              <w:t>第三章空气分离</w:t>
            </w:r>
          </w:p>
        </w:tc>
        <w:tc>
          <w:tcPr>
            <w:tcW w:w="2677" w:type="dxa"/>
            <w:noWrap/>
            <w:vAlign w:val="center"/>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掌握鼓风机系统的操作和常见事故的处理；</w:t>
            </w:r>
          </w:p>
        </w:tc>
        <w:tc>
          <w:tcPr>
            <w:tcW w:w="3385" w:type="dxa"/>
            <w:noWrap/>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1、了解煤气输送系统及管路设计；2、掌握鼓风机的结构、性能及调节；3、掌握煤气中煤焦油雾的形成、清除目的及清除原理；</w:t>
            </w:r>
          </w:p>
        </w:tc>
        <w:tc>
          <w:tcPr>
            <w:tcW w:w="868" w:type="dxa"/>
            <w:noWrap/>
            <w:vAlign w:val="center"/>
          </w:tcPr>
          <w:p>
            <w:pPr>
              <w:jc w:val="cente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320" w:lineRule="exact"/>
              <w:jc w:val="center"/>
              <w:rPr>
                <w:rFonts w:ascii="Times New Roman" w:hAnsi="Times New Roman" w:eastAsia="宋体"/>
                <w:color w:val="auto"/>
                <w:szCs w:val="21"/>
                <w:highlight w:val="none"/>
              </w:rPr>
            </w:pPr>
            <w:r>
              <w:rPr>
                <w:rFonts w:hint="eastAsia" w:ascii="Times New Roman" w:hAnsi="Times New Roman" w:eastAsia="宋体" w:cs="微软雅黑"/>
                <w:color w:val="auto"/>
                <w:szCs w:val="21"/>
                <w:highlight w:val="none"/>
                <w:shd w:val="clear" w:color="auto" w:fill="FFFFFF"/>
              </w:rPr>
              <w:t>第四章气化过程生产技术</w:t>
            </w:r>
            <w:r>
              <w:rPr>
                <w:rFonts w:hint="eastAsia" w:ascii="Times New Roman" w:hAnsi="Times New Roman" w:eastAsia="宋体" w:cs="微软雅黑"/>
                <w:color w:val="auto"/>
                <w:szCs w:val="21"/>
                <w:highlight w:val="none"/>
                <w:shd w:val="clear" w:color="auto" w:fill="FFFFFF"/>
              </w:rPr>
              <w:br w:type="textWrapping"/>
            </w:r>
            <w:r>
              <w:rPr>
                <w:rFonts w:hint="eastAsia" w:ascii="Times New Roman" w:hAnsi="Times New Roman" w:eastAsia="宋体"/>
                <w:color w:val="auto"/>
                <w:szCs w:val="21"/>
                <w:highlight w:val="none"/>
                <w:shd w:val="clear" w:color="auto" w:fill="FFFFFF"/>
              </w:rPr>
              <w:br w:type="textWrapping"/>
            </w:r>
          </w:p>
        </w:tc>
        <w:tc>
          <w:tcPr>
            <w:tcW w:w="2677" w:type="dxa"/>
            <w:noWrap/>
            <w:vAlign w:val="center"/>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掌握煤气的主要操作和常见事故处理；</w:t>
            </w:r>
          </w:p>
        </w:tc>
        <w:tc>
          <w:tcPr>
            <w:tcW w:w="3385" w:type="dxa"/>
            <w:noWrap/>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1、掌握硫酸吸收法回收煤气中氨生产方法、原理、工艺流程；2、掌握磷酸吸收法回收煤气中的氨原理、工艺流程；3、掌握粗轻吡啶的组成、性质、工艺原理、流程、设备等；4、掌握剩余氨水的组成、加工工艺流程及设备；</w:t>
            </w:r>
          </w:p>
        </w:tc>
        <w:tc>
          <w:tcPr>
            <w:tcW w:w="868" w:type="dxa"/>
            <w:noWrap/>
            <w:vAlign w:val="center"/>
          </w:tcPr>
          <w:p>
            <w:pPr>
              <w:jc w:val="cente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320" w:lineRule="exact"/>
              <w:jc w:val="center"/>
              <w:rPr>
                <w:rFonts w:ascii="Times New Roman" w:hAnsi="Times New Roman" w:eastAsia="宋体"/>
                <w:color w:val="auto"/>
                <w:szCs w:val="21"/>
                <w:highlight w:val="none"/>
              </w:rPr>
            </w:pPr>
            <w:r>
              <w:rPr>
                <w:rFonts w:hint="eastAsia" w:ascii="Times New Roman" w:hAnsi="Times New Roman" w:eastAsia="宋体" w:cs="微软雅黑"/>
                <w:color w:val="auto"/>
                <w:szCs w:val="21"/>
                <w:highlight w:val="none"/>
                <w:shd w:val="clear" w:color="auto" w:fill="FFFFFF"/>
              </w:rPr>
              <w:t>第五章煤气净化</w:t>
            </w:r>
            <w:r>
              <w:rPr>
                <w:rFonts w:hint="eastAsia" w:ascii="Times New Roman" w:hAnsi="Times New Roman" w:eastAsia="宋体" w:cs="微软雅黑"/>
                <w:color w:val="auto"/>
                <w:szCs w:val="21"/>
                <w:highlight w:val="none"/>
                <w:shd w:val="clear" w:color="auto" w:fill="FFFFFF"/>
              </w:rPr>
              <w:br w:type="textWrapping"/>
            </w:r>
          </w:p>
        </w:tc>
        <w:tc>
          <w:tcPr>
            <w:tcW w:w="2677" w:type="dxa"/>
            <w:noWrap/>
            <w:vAlign w:val="center"/>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掌握煤气的设计参数和脱硫剂量的计算；</w:t>
            </w:r>
          </w:p>
        </w:tc>
        <w:tc>
          <w:tcPr>
            <w:tcW w:w="3385" w:type="dxa"/>
            <w:noWrap/>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1、了解焦炉煤气中脱除硫化氢和氰化氢的重要性及方法；2、掌握干法脱硫的原理、设备；3、掌握改良ADA法脱硫和栲胶法脱硫的原理、流程；4、了解HPF法、苦味酸法、AS法等脱硫原理；</w:t>
            </w:r>
          </w:p>
        </w:tc>
        <w:tc>
          <w:tcPr>
            <w:tcW w:w="868" w:type="dxa"/>
            <w:noWrap/>
            <w:vAlign w:val="center"/>
          </w:tcPr>
          <w:p>
            <w:pPr>
              <w:jc w:val="cente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320" w:lineRule="exact"/>
              <w:jc w:val="center"/>
              <w:rPr>
                <w:rFonts w:ascii="Times New Roman" w:hAnsi="Times New Roman" w:eastAsia="宋体"/>
                <w:color w:val="auto"/>
                <w:szCs w:val="21"/>
                <w:highlight w:val="none"/>
              </w:rPr>
            </w:pPr>
            <w:r>
              <w:rPr>
                <w:rFonts w:hint="eastAsia" w:ascii="Times New Roman" w:hAnsi="Times New Roman" w:eastAsia="宋体" w:cs="微软雅黑"/>
                <w:color w:val="auto"/>
                <w:szCs w:val="21"/>
                <w:highlight w:val="none"/>
                <w:shd w:val="clear" w:color="auto" w:fill="FFFFFF"/>
              </w:rPr>
              <w:t>第六章合成氨生产</w:t>
            </w:r>
            <w:r>
              <w:rPr>
                <w:rFonts w:hint="eastAsia" w:ascii="Times New Roman" w:hAnsi="Times New Roman" w:eastAsia="宋体" w:cs="微软雅黑"/>
                <w:color w:val="auto"/>
                <w:szCs w:val="21"/>
                <w:highlight w:val="none"/>
                <w:shd w:val="clear" w:color="auto" w:fill="FFFFFF"/>
              </w:rPr>
              <w:br w:type="textWrapping"/>
            </w:r>
          </w:p>
        </w:tc>
        <w:tc>
          <w:tcPr>
            <w:tcW w:w="2677" w:type="dxa"/>
            <w:noWrap/>
            <w:vAlign w:val="center"/>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掌握煤气工段的主要操作及常见事故的处理；</w:t>
            </w:r>
          </w:p>
        </w:tc>
        <w:tc>
          <w:tcPr>
            <w:tcW w:w="3385" w:type="dxa"/>
            <w:noWrap/>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1、掌握煤气的组成、性质、回收方法；2、掌握用洗油吸收煤气中的苯族烃原理、流程、影响因素；3、了解煤气中冷和除萘的原理、方法；4、掌握富油脱苯的方法、原理、设备等；</w:t>
            </w:r>
          </w:p>
        </w:tc>
        <w:tc>
          <w:tcPr>
            <w:tcW w:w="868" w:type="dxa"/>
            <w:noWrap/>
            <w:vAlign w:val="center"/>
          </w:tcPr>
          <w:p>
            <w:pPr>
              <w:jc w:val="cente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320" w:lineRule="exact"/>
              <w:jc w:val="center"/>
              <w:rPr>
                <w:rFonts w:ascii="Times New Roman" w:hAnsi="Times New Roman" w:eastAsia="宋体"/>
                <w:color w:val="auto"/>
                <w:szCs w:val="21"/>
                <w:highlight w:val="none"/>
              </w:rPr>
            </w:pPr>
            <w:r>
              <w:rPr>
                <w:rFonts w:hint="eastAsia" w:ascii="Times New Roman" w:hAnsi="Times New Roman" w:eastAsia="宋体" w:cs="微软雅黑"/>
                <w:color w:val="auto"/>
                <w:szCs w:val="21"/>
                <w:highlight w:val="none"/>
                <w:shd w:val="clear" w:color="auto" w:fill="FFFFFF"/>
              </w:rPr>
              <w:t>第七章甲醇生产</w:t>
            </w:r>
          </w:p>
        </w:tc>
        <w:tc>
          <w:tcPr>
            <w:tcW w:w="2677" w:type="dxa"/>
            <w:noWrap/>
            <w:vAlign w:val="center"/>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掌握煤气车间主要操作和安全防火；</w:t>
            </w:r>
          </w:p>
        </w:tc>
        <w:tc>
          <w:tcPr>
            <w:tcW w:w="3385" w:type="dxa"/>
            <w:noWrap/>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1、了解煤气精制的主要产品和加工方法；2、了解煤气净化的原理、流程、设备；</w:t>
            </w:r>
          </w:p>
        </w:tc>
        <w:tc>
          <w:tcPr>
            <w:tcW w:w="868" w:type="dxa"/>
            <w:noWrap/>
            <w:vAlign w:val="center"/>
          </w:tcPr>
          <w:p>
            <w:pPr>
              <w:jc w:val="cente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noWrap/>
            <w:vAlign w:val="center"/>
          </w:tcPr>
          <w:p>
            <w:pPr>
              <w:spacing w:line="320" w:lineRule="exact"/>
              <w:jc w:val="center"/>
              <w:rPr>
                <w:rFonts w:ascii="Times New Roman" w:hAnsi="Times New Roman" w:eastAsia="宋体" w:cs="微软雅黑"/>
                <w:color w:val="auto"/>
                <w:szCs w:val="21"/>
                <w:highlight w:val="none"/>
                <w:shd w:val="clear" w:color="auto" w:fill="FFFFFF"/>
              </w:rPr>
            </w:pPr>
            <w:r>
              <w:rPr>
                <w:rFonts w:hint="eastAsia" w:ascii="Times New Roman" w:hAnsi="Times New Roman" w:eastAsia="宋体" w:cs="微软雅黑"/>
                <w:color w:val="auto"/>
                <w:szCs w:val="21"/>
                <w:highlight w:val="none"/>
                <w:shd w:val="clear" w:color="auto" w:fill="FFFFFF"/>
              </w:rPr>
              <w:t>第八章二甲醚生产</w:t>
            </w:r>
          </w:p>
        </w:tc>
        <w:tc>
          <w:tcPr>
            <w:tcW w:w="2677" w:type="dxa"/>
            <w:noWrap/>
            <w:vAlign w:val="center"/>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掌握二甲醚的性质生产工艺</w:t>
            </w:r>
          </w:p>
        </w:tc>
        <w:tc>
          <w:tcPr>
            <w:tcW w:w="3385" w:type="dxa"/>
            <w:noWrap/>
          </w:tcPr>
          <w:p>
            <w:pP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1、了解二甲醚的性质和用途；2、熟悉二甲醚的合成工艺</w:t>
            </w:r>
          </w:p>
        </w:tc>
        <w:tc>
          <w:tcPr>
            <w:tcW w:w="868" w:type="dxa"/>
            <w:noWrap/>
            <w:vAlign w:val="center"/>
          </w:tcPr>
          <w:p>
            <w:pPr>
              <w:jc w:val="cente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4</w:t>
            </w:r>
          </w:p>
        </w:tc>
      </w:tr>
    </w:tbl>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（五）教学组织与教学方法</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在教学过程中，通过本地化学工业的发展，激发学生学习的兴趣，提高学生学习的动机；教学过程中，注重教与学的互动，让学生在活动中中增强增强爱岗敬业、团结协作精神，实现素质、知识、技能同步提高；在教学活动中，要利用多媒体、投影等教学资源辅助教学，帮助学生学习理解工艺流程和工艺控制；通过参观学习环节，让学生感受工作氛围，感受企业文化，培养学生的岗位适应能力；通过工学结合，让学生到企业实习实训，接受企业技术人员的现场指导，理论联系实际并学以致用，提高学习效率；通过顶岗实习环节，让学生参与生产实训，真正在生产实践中得到锻炼，实现学习内容与生产岗位的良好对接。</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根据课程内容性质和特点，采用适当的教学方法，有利于提高教学效率。诸如煤气产品的组成、生成、产率、各化学产品的性质等采用启发式教学；对煤气回收与加工化学产品的操作条件分析、参数分析可以采用讨论式教学；对回收煤气中化学产品的生产原理、方法、流程采用任务驱动教学法；对岗位安全生产操作通过案例分析教学法。</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（六）考核标准与成绩评定方法</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全面了解学生的学习历程。包括上课出勤、课堂纪律、课堂提问、作业、知识测评、实训等主要环节，关注学生学习结果和过程评价，激发学生学习的热情和动力，提高学生学习的自信心，提高教学质量。</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坚持理论知识与实践知识综合评价的原则;采取多种方式评价原则;学生自评、学生互评、小组评价、教师评价、家长评价、企业行业专家评价等。</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（1）本门课程是一门考试课，评价依据是本课程标准规定的课程目标、教学内容和要求。</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（2）考试时间：90分钟（理论考核90分钟）。</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 xml:space="preserve">（3）考试方式、分制与解释 </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a. 建议本课程课堂评价（上课出勤和学习态度、课堂提问和作业情况）占20%。</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 xml:space="preserve">b.理论成绩的综合评价 采用闭卷、笔试的方式，以百分制评分，满分为100分，占总评成绩的50～60%。 </w:t>
      </w:r>
    </w:p>
    <w:p>
      <w:pPr>
        <w:spacing w:line="360" w:lineRule="auto"/>
        <w:ind w:left="1" w:firstLine="564" w:firstLineChars="235"/>
        <w:rPr>
          <w:rFonts w:ascii="Times New Roman" w:hAnsi="Times New Roman" w:eastAsia="宋体"/>
          <w:color w:val="auto"/>
          <w:sz w:val="24"/>
          <w:highlight w:val="none"/>
        </w:rPr>
      </w:pPr>
      <w:r>
        <w:rPr>
          <w:rFonts w:ascii="Times New Roman" w:hAnsi="Times New Roman" w:eastAsia="宋体"/>
          <w:color w:val="auto"/>
          <w:sz w:val="24"/>
          <w:highlight w:val="none"/>
        </w:rPr>
        <w:t>c.</w:t>
      </w:r>
      <w:r>
        <w:rPr>
          <w:rFonts w:hint="eastAsia" w:ascii="Times New Roman" w:hAnsi="Times New Roman" w:eastAsia="宋体"/>
          <w:color w:val="auto"/>
          <w:sz w:val="24"/>
          <w:highlight w:val="none"/>
        </w:rPr>
        <w:t>实验成绩的综合评价 实验成绩由实验现场表现和实验报告成绩两部分组成。实验成绩占总评成绩的20～30%。</w:t>
      </w:r>
    </w:p>
    <w:p>
      <w:pPr>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 xml:space="preserve">（4）试题类型及权重 </w:t>
      </w:r>
    </w:p>
    <w:p>
      <w:pPr>
        <w:tabs>
          <w:tab w:val="left" w:pos="480"/>
        </w:tabs>
        <w:spacing w:line="360" w:lineRule="auto"/>
        <w:ind w:left="1" w:firstLine="564" w:firstLineChars="235"/>
        <w:rPr>
          <w:rFonts w:ascii="Times New Roman" w:hAnsi="Times New Roman" w:eastAsia="宋体"/>
          <w:color w:val="auto"/>
          <w:sz w:val="24"/>
          <w:highlight w:val="none"/>
        </w:rPr>
      </w:pPr>
      <w:r>
        <w:rPr>
          <w:rFonts w:hint="eastAsia" w:ascii="Times New Roman" w:hAnsi="Times New Roman" w:eastAsia="宋体"/>
          <w:color w:val="auto"/>
          <w:sz w:val="24"/>
          <w:highlight w:val="none"/>
        </w:rPr>
        <w:t>选择题15%～30%、判断题10～20%、填空题10～25%、简答题(包括完成并配平反应式)10～20%、计算题10～30%。</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（七）教学建议</w:t>
      </w:r>
    </w:p>
    <w:p>
      <w:pPr>
        <w:tabs>
          <w:tab w:val="left" w:pos="567"/>
        </w:tabs>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课堂教学中，全部使用电子教案（PowerPoint）授课，采用多媒体课件和黑板板书相结合，配合网络网站。在教学中，我们注意充分利用现代计算机技术带来的便利条件，增强教学效果。主要是利用多媒体的图形、照片等增强学生的理解。运用现代教育技术和虚拟现实技术，建立虚拟项目和虚拟工艺等仿真教学环境，增加学生的感性认识，启发科学思维，注重理论联系实际，注重新技术引用。</w:t>
      </w:r>
    </w:p>
    <w:p>
      <w:pPr>
        <w:tabs>
          <w:tab w:val="left" w:pos="567"/>
        </w:tabs>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在教学过程中采用启发式教学为主，辅以讨论式、问答式等方式，特别强调讲课过程中紧密联系前后章节内容，强化理解，有助于学生加强记忆和理解，并能将各部分知识最终连接成为一个整体。</w:t>
      </w:r>
    </w:p>
    <w:p>
      <w:pPr>
        <w:spacing w:line="360" w:lineRule="auto"/>
        <w:ind w:firstLine="480" w:firstLineChars="200"/>
        <w:rPr>
          <w:rFonts w:ascii="Times New Roman" w:hAnsi="Times New Roman" w:eastAsia="宋体"/>
          <w:color w:val="auto"/>
          <w:sz w:val="24"/>
          <w:highlight w:val="none"/>
        </w:rPr>
      </w:pPr>
      <w:r>
        <w:rPr>
          <w:rFonts w:hint="eastAsia" w:ascii="Times New Roman" w:hAnsi="Times New Roman" w:eastAsia="宋体"/>
          <w:color w:val="auto"/>
          <w:sz w:val="24"/>
          <w:highlight w:val="none"/>
        </w:rPr>
        <w:t>开发校外实训基地，与化工企业深度合作，充分利用校外实习基地，做到课堂教学、现场教学、实训教学有机结合。通过参观学习、工学交替、顶岗实习等手段，提高学习效果并学以致用。</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（八）选用教材标及推荐教材和参考用书（或课程网站）</w:t>
      </w:r>
    </w:p>
    <w:p>
      <w:pPr>
        <w:pStyle w:val="14"/>
        <w:spacing w:beforeAutospacing="0" w:afterAutospacing="0" w:line="480" w:lineRule="atLeast"/>
        <w:ind w:firstLine="480" w:firstLineChars="200"/>
        <w:textAlignment w:val="baseline"/>
        <w:rPr>
          <w:rFonts w:ascii="Times New Roman" w:hAnsi="Times New Roman" w:eastAsia="宋体"/>
          <w:color w:val="auto"/>
          <w:kern w:val="2"/>
          <w:highlight w:val="none"/>
        </w:rPr>
      </w:pPr>
      <w:r>
        <w:rPr>
          <w:rFonts w:hint="eastAsia" w:ascii="Times New Roman" w:hAnsi="Times New Roman" w:eastAsia="宋体"/>
          <w:color w:val="auto"/>
          <w:kern w:val="2"/>
          <w:highlight w:val="none"/>
        </w:rPr>
        <w:t>《煤气生产技术》，</w:t>
      </w:r>
      <w:r>
        <w:rPr>
          <w:rFonts w:ascii="Times New Roman" w:hAnsi="Times New Roman" w:eastAsia="宋体"/>
          <w:color w:val="auto"/>
          <w:kern w:val="2"/>
          <w:highlight w:val="none"/>
        </w:rPr>
        <w:t>编者：</w:t>
      </w:r>
      <w:r>
        <w:rPr>
          <w:rFonts w:hint="eastAsia" w:ascii="Times New Roman" w:hAnsi="Times New Roman" w:eastAsia="宋体"/>
          <w:color w:val="auto"/>
          <w:kern w:val="2"/>
          <w:highlight w:val="none"/>
        </w:rPr>
        <w:t>何建平等，化学工业出版社，2015</w:t>
      </w:r>
    </w:p>
    <w:p>
      <w:pPr>
        <w:pStyle w:val="14"/>
        <w:spacing w:beforeAutospacing="0" w:afterAutospacing="0" w:line="480" w:lineRule="atLeast"/>
        <w:ind w:firstLine="480" w:firstLineChars="200"/>
        <w:textAlignment w:val="baseline"/>
        <w:rPr>
          <w:rFonts w:ascii="Times New Roman" w:hAnsi="Times New Roman" w:eastAsia="宋体"/>
          <w:color w:val="auto"/>
          <w:kern w:val="2"/>
          <w:highlight w:val="none"/>
        </w:rPr>
      </w:pPr>
      <w:r>
        <w:rPr>
          <w:rFonts w:ascii="Times New Roman" w:hAnsi="Times New Roman" w:eastAsia="宋体"/>
          <w:color w:val="auto"/>
          <w:kern w:val="2"/>
          <w:highlight w:val="none"/>
        </w:rPr>
        <w:t>《煤气化生产技术》编者：许祥静</w:t>
      </w:r>
      <w:r>
        <w:rPr>
          <w:rFonts w:hint="eastAsia" w:ascii="Times New Roman" w:hAnsi="Times New Roman" w:eastAsia="宋体"/>
          <w:color w:val="auto"/>
          <w:kern w:val="2"/>
          <w:highlight w:val="none"/>
        </w:rPr>
        <w:t>化学工业出版社，2010</w:t>
      </w:r>
    </w:p>
    <w:p>
      <w:pPr>
        <w:widowControl/>
        <w:shd w:val="clear" w:color="auto" w:fill="FFFFFF"/>
        <w:spacing w:before="100" w:beforeAutospacing="1" w:after="100" w:afterAutospacing="1" w:line="480" w:lineRule="auto"/>
        <w:jc w:val="left"/>
        <w:rPr>
          <w:rFonts w:ascii="Times New Roman" w:hAnsi="Times New Roman" w:eastAsia="宋体" w:cs="宋体"/>
          <w:color w:val="auto"/>
          <w:kern w:val="0"/>
          <w:sz w:val="24"/>
          <w:highlight w:val="none"/>
        </w:rPr>
      </w:pPr>
    </w:p>
    <w:p>
      <w:pPr>
        <w:pStyle w:val="14"/>
        <w:spacing w:beforeAutospacing="0" w:afterAutospacing="0" w:line="480" w:lineRule="atLeast"/>
        <w:textAlignment w:val="baseline"/>
        <w:rPr>
          <w:rFonts w:ascii="Times New Roman" w:hAnsi="Times New Roman" w:eastAsia="宋体"/>
          <w:color w:val="auto"/>
          <w:kern w:val="2"/>
          <w:highlight w:val="none"/>
        </w:rPr>
      </w:pPr>
    </w:p>
    <w:p>
      <w:pPr>
        <w:pStyle w:val="2"/>
        <w:spacing w:line="360" w:lineRule="auto"/>
        <w:rPr>
          <w:rFonts w:ascii="Times New Roman" w:hAnsi="Times New Roman" w:eastAsia="宋体" w:cs="黑体"/>
          <w:b w:val="0"/>
          <w:bCs w:val="0"/>
          <w:color w:val="auto"/>
          <w:sz w:val="36"/>
          <w:szCs w:val="36"/>
          <w:highlight w:val="none"/>
        </w:rPr>
      </w:pPr>
    </w:p>
    <w:p>
      <w:pPr>
        <w:rPr>
          <w:rFonts w:ascii="黑体" w:hAnsi="黑体" w:eastAsia="黑体" w:cs="黑体"/>
          <w:color w:val="auto"/>
          <w:sz w:val="36"/>
          <w:szCs w:val="36"/>
          <w:highlight w:val="none"/>
        </w:rPr>
      </w:pPr>
    </w:p>
    <w:p>
      <w:pPr>
        <w:pStyle w:val="2"/>
        <w:spacing w:before="0" w:after="0" w:line="360" w:lineRule="auto"/>
        <w:jc w:val="center"/>
        <w:rPr>
          <w:rFonts w:ascii="Times New Roman" w:hAnsi="Times New Roman" w:eastAsia="黑体" w:cs="黑体"/>
          <w:b w:val="0"/>
          <w:bCs w:val="0"/>
          <w:color w:val="auto"/>
          <w:sz w:val="36"/>
          <w:szCs w:val="36"/>
          <w:highlight w:val="none"/>
        </w:rPr>
      </w:pPr>
      <w:bookmarkStart w:id="75" w:name="_Toc21203"/>
      <w:r>
        <w:rPr>
          <w:rFonts w:hint="eastAsia" w:ascii="Times New Roman" w:hAnsi="Times New Roman" w:eastAsia="黑体" w:cs="黑体"/>
          <w:b w:val="0"/>
          <w:bCs w:val="0"/>
          <w:color w:val="auto"/>
          <w:sz w:val="36"/>
          <w:szCs w:val="36"/>
          <w:highlight w:val="none"/>
        </w:rPr>
        <w:t>第五部分 煤炭深加工与利用专业教学实施保障方案</w:t>
      </w:r>
      <w:bookmarkEnd w:id="75"/>
    </w:p>
    <w:p>
      <w:pPr>
        <w:pStyle w:val="3"/>
        <w:snapToGrid w:val="0"/>
        <w:spacing w:before="0" w:after="0" w:line="360" w:lineRule="auto"/>
        <w:ind w:firstLine="640" w:firstLineChars="200"/>
        <w:rPr>
          <w:rFonts w:ascii="Times New Roman" w:hAnsi="Times New Roman"/>
          <w:b w:val="0"/>
          <w:bCs/>
          <w:color w:val="auto"/>
          <w:highlight w:val="none"/>
        </w:rPr>
      </w:pPr>
      <w:bookmarkStart w:id="76" w:name="_Toc458089351"/>
      <w:bookmarkStart w:id="77" w:name="_Toc18637"/>
      <w:bookmarkStart w:id="78" w:name="_Toc458088738"/>
      <w:bookmarkStart w:id="79" w:name="_Toc361942965"/>
      <w:bookmarkStart w:id="80" w:name="_Toc458088972"/>
      <w:bookmarkStart w:id="81" w:name="_Toc458095096"/>
      <w:r>
        <w:rPr>
          <w:rFonts w:hint="eastAsia" w:ascii="Times New Roman" w:hAnsi="Times New Roman"/>
          <w:b w:val="0"/>
          <w:bCs/>
          <w:color w:val="auto"/>
          <w:highlight w:val="none"/>
        </w:rPr>
        <w:t>一、人才培养方案的实施与保障</w:t>
      </w:r>
      <w:bookmarkEnd w:id="76"/>
      <w:bookmarkEnd w:id="77"/>
      <w:bookmarkEnd w:id="78"/>
      <w:bookmarkEnd w:id="79"/>
      <w:bookmarkEnd w:id="80"/>
      <w:bookmarkEnd w:id="81"/>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bookmarkStart w:id="82" w:name="_Toc7598"/>
      <w:r>
        <w:rPr>
          <w:rFonts w:hint="eastAsia" w:ascii="Times New Roman" w:hAnsi="Times New Roman" w:eastAsia="黑体" w:cs="黑体"/>
          <w:bCs/>
          <w:color w:val="auto"/>
          <w:sz w:val="30"/>
          <w:szCs w:val="30"/>
          <w:highlight w:val="none"/>
          <w:lang w:val="en-US" w:eastAsia="zh-CN"/>
        </w:rPr>
        <w:t>（一）人才培养方案管理与实施的组织保障</w:t>
      </w:r>
      <w:bookmarkEnd w:id="82"/>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人才</w:t>
      </w:r>
      <w:r>
        <w:rPr>
          <w:rFonts w:ascii="Times New Roman" w:hAnsi="Times New Roman"/>
          <w:color w:val="auto"/>
          <w:sz w:val="24"/>
          <w:highlight w:val="none"/>
        </w:rPr>
        <w:t>培养方案是按照</w:t>
      </w:r>
      <w:r>
        <w:rPr>
          <w:rFonts w:hint="eastAsia" w:ascii="Times New Roman" w:hAnsi="Times New Roman"/>
          <w:color w:val="auto"/>
          <w:sz w:val="24"/>
          <w:highlight w:val="none"/>
        </w:rPr>
        <w:t>专业建设</w:t>
      </w:r>
      <w:r>
        <w:rPr>
          <w:rFonts w:ascii="Times New Roman" w:hAnsi="Times New Roman"/>
          <w:color w:val="auto"/>
          <w:sz w:val="24"/>
          <w:highlight w:val="none"/>
        </w:rPr>
        <w:t>的要求，</w:t>
      </w:r>
      <w:r>
        <w:rPr>
          <w:rFonts w:hint="eastAsia" w:ascii="Times New Roman" w:hAnsi="Times New Roman"/>
          <w:color w:val="auto"/>
          <w:sz w:val="24"/>
          <w:highlight w:val="none"/>
        </w:rPr>
        <w:t>科学合理地</w:t>
      </w:r>
      <w:r>
        <w:rPr>
          <w:rFonts w:ascii="Times New Roman" w:hAnsi="Times New Roman"/>
          <w:color w:val="auto"/>
          <w:sz w:val="24"/>
          <w:highlight w:val="none"/>
        </w:rPr>
        <w:t>构建工学结合、以</w:t>
      </w:r>
      <w:r>
        <w:rPr>
          <w:rFonts w:hint="eastAsia" w:ascii="Times New Roman" w:hAnsi="Times New Roman"/>
          <w:color w:val="auto"/>
          <w:sz w:val="24"/>
          <w:highlight w:val="none"/>
        </w:rPr>
        <w:t>任务驱动型</w:t>
      </w:r>
      <w:r>
        <w:rPr>
          <w:rFonts w:ascii="Times New Roman" w:hAnsi="Times New Roman"/>
          <w:color w:val="auto"/>
          <w:sz w:val="24"/>
          <w:highlight w:val="none"/>
        </w:rPr>
        <w:t>为导向的人才培养方案，</w:t>
      </w:r>
      <w:r>
        <w:rPr>
          <w:rFonts w:hint="eastAsia" w:ascii="Times New Roman" w:hAnsi="Times New Roman"/>
          <w:color w:val="auto"/>
          <w:sz w:val="24"/>
          <w:highlight w:val="none"/>
        </w:rPr>
        <w:t>其目标是</w:t>
      </w:r>
      <w:r>
        <w:rPr>
          <w:rFonts w:ascii="Times New Roman" w:hAnsi="Times New Roman"/>
          <w:color w:val="auto"/>
          <w:sz w:val="24"/>
          <w:highlight w:val="none"/>
        </w:rPr>
        <w:t>培养</w:t>
      </w:r>
      <w:r>
        <w:rPr>
          <w:rFonts w:hint="eastAsia" w:ascii="Times New Roman" w:hAnsi="Times New Roman"/>
          <w:color w:val="auto"/>
          <w:sz w:val="24"/>
          <w:highlight w:val="none"/>
        </w:rPr>
        <w:t>全面发展的高素质技术技能人才</w:t>
      </w:r>
      <w:r>
        <w:rPr>
          <w:rFonts w:ascii="Times New Roman" w:hAnsi="Times New Roman"/>
          <w:color w:val="auto"/>
          <w:sz w:val="24"/>
          <w:highlight w:val="none"/>
        </w:rPr>
        <w:t>。</w:t>
      </w:r>
    </w:p>
    <w:p>
      <w:pPr>
        <w:spacing w:line="360" w:lineRule="auto"/>
        <w:ind w:firstLine="480" w:firstLineChars="200"/>
        <w:rPr>
          <w:rFonts w:ascii="Times New Roman" w:hAnsi="Times New Roman"/>
          <w:color w:val="auto"/>
          <w:sz w:val="24"/>
          <w:highlight w:val="none"/>
        </w:rPr>
      </w:pPr>
      <w:r>
        <w:rPr>
          <w:rFonts w:ascii="Times New Roman" w:hAnsi="Times New Roman"/>
          <w:color w:val="auto"/>
          <w:sz w:val="24"/>
          <w:highlight w:val="none"/>
        </w:rPr>
        <w:t>组织运行保障是实施人才培养方案基本条件，组织运行保障</w:t>
      </w:r>
      <w:r>
        <w:rPr>
          <w:rFonts w:hint="eastAsia" w:ascii="Times New Roman" w:hAnsi="Times New Roman"/>
          <w:color w:val="auto"/>
          <w:sz w:val="24"/>
          <w:highlight w:val="none"/>
        </w:rPr>
        <w:t>由</w:t>
      </w:r>
      <w:r>
        <w:rPr>
          <w:rFonts w:ascii="Times New Roman" w:hAnsi="Times New Roman"/>
          <w:color w:val="auto"/>
          <w:sz w:val="24"/>
          <w:highlight w:val="none"/>
        </w:rPr>
        <w:t>日常教学管理、学生管理、教师工作管理和教学资源管理等</w:t>
      </w:r>
      <w:r>
        <w:rPr>
          <w:rFonts w:hint="eastAsia" w:ascii="Times New Roman" w:hAnsi="Times New Roman"/>
          <w:color w:val="auto"/>
          <w:sz w:val="24"/>
          <w:highlight w:val="none"/>
        </w:rPr>
        <w:t>组成</w:t>
      </w:r>
      <w:r>
        <w:rPr>
          <w:rFonts w:ascii="Times New Roman" w:hAnsi="Times New Roman"/>
          <w:color w:val="auto"/>
          <w:sz w:val="24"/>
          <w:highlight w:val="none"/>
        </w:rPr>
        <w:t>，</w:t>
      </w:r>
      <w:r>
        <w:rPr>
          <w:rFonts w:hint="eastAsia" w:ascii="Times New Roman" w:hAnsi="Times New Roman"/>
          <w:color w:val="auto"/>
          <w:sz w:val="24"/>
          <w:highlight w:val="none"/>
        </w:rPr>
        <w:t>其中</w:t>
      </w:r>
      <w:r>
        <w:rPr>
          <w:rFonts w:ascii="Times New Roman" w:hAnsi="Times New Roman"/>
          <w:color w:val="auto"/>
          <w:sz w:val="24"/>
          <w:highlight w:val="none"/>
        </w:rPr>
        <w:t>日常教学管理是教学运行组织管理的关键。只有加强日常教学管理，加强对学生和教师的人性化管理，合理调配和配置教学资源，才能保证课程教学的顺利进行，保证人才培养方案落到实处。这样来保证教学的正常运行，使教学有组织、有计划，最终达到教学目标。</w:t>
      </w:r>
    </w:p>
    <w:p>
      <w:pPr>
        <w:pStyle w:val="7"/>
        <w:spacing w:line="360" w:lineRule="auto"/>
        <w:ind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1</w:t>
      </w:r>
      <w:r>
        <w:rPr>
          <w:rFonts w:hint="eastAsia" w:ascii="Times New Roman" w:hAnsi="Times New Roman" w:cs="Times New Roman"/>
          <w:color w:val="auto"/>
          <w:sz w:val="24"/>
          <w:szCs w:val="24"/>
          <w:highlight w:val="none"/>
          <w:lang w:eastAsia="zh-CN"/>
        </w:rPr>
        <w:t>.</w:t>
      </w:r>
      <w:r>
        <w:rPr>
          <w:rFonts w:ascii="Times New Roman" w:hAnsi="Times New Roman" w:cs="Times New Roman"/>
          <w:color w:val="auto"/>
          <w:sz w:val="24"/>
          <w:szCs w:val="24"/>
          <w:highlight w:val="none"/>
        </w:rPr>
        <w:t>教学运行管理组织机构</w:t>
      </w:r>
    </w:p>
    <w:p>
      <w:pPr>
        <w:spacing w:line="360" w:lineRule="auto"/>
        <w:ind w:firstLine="480"/>
        <w:rPr>
          <w:rFonts w:ascii="Times New Roman" w:hAnsi="Times New Roman"/>
          <w:color w:val="auto"/>
          <w:sz w:val="24"/>
          <w:highlight w:val="none"/>
        </w:rPr>
      </w:pPr>
      <w:r>
        <w:rPr>
          <w:rFonts w:ascii="Times New Roman" w:hAnsi="Times New Roman"/>
          <w:color w:val="auto"/>
          <w:sz w:val="24"/>
          <w:highlight w:val="none"/>
        </w:rPr>
        <w:t>在</w:t>
      </w:r>
      <w:r>
        <w:rPr>
          <w:rFonts w:hint="eastAsia" w:ascii="Times New Roman" w:hAnsi="Times New Roman"/>
          <w:color w:val="auto"/>
          <w:sz w:val="24"/>
          <w:highlight w:val="none"/>
        </w:rPr>
        <w:t>院党委</w:t>
      </w:r>
      <w:r>
        <w:rPr>
          <w:rFonts w:ascii="Times New Roman" w:hAnsi="Times New Roman"/>
          <w:color w:val="auto"/>
          <w:sz w:val="24"/>
          <w:highlight w:val="none"/>
        </w:rPr>
        <w:t>领导下，</w:t>
      </w:r>
      <w:r>
        <w:rPr>
          <w:rFonts w:hint="eastAsia" w:ascii="Times New Roman" w:hAnsi="Times New Roman"/>
          <w:color w:val="auto"/>
          <w:sz w:val="24"/>
          <w:highlight w:val="none"/>
        </w:rPr>
        <w:t>化工</w:t>
      </w:r>
      <w:r>
        <w:rPr>
          <w:rFonts w:ascii="Times New Roman" w:hAnsi="Times New Roman"/>
          <w:color w:val="auto"/>
          <w:sz w:val="24"/>
          <w:highlight w:val="none"/>
        </w:rPr>
        <w:t>系下设</w:t>
      </w:r>
      <w:r>
        <w:rPr>
          <w:rFonts w:hint="eastAsia" w:ascii="Times New Roman" w:hAnsi="Times New Roman"/>
          <w:color w:val="auto"/>
          <w:sz w:val="24"/>
          <w:highlight w:val="none"/>
        </w:rPr>
        <w:t>煤化工专业群</w:t>
      </w:r>
      <w:r>
        <w:rPr>
          <w:rFonts w:ascii="Times New Roman" w:hAnsi="Times New Roman"/>
          <w:color w:val="auto"/>
          <w:sz w:val="24"/>
          <w:highlight w:val="none"/>
        </w:rPr>
        <w:t>，由</w:t>
      </w:r>
      <w:r>
        <w:rPr>
          <w:rFonts w:hint="eastAsia" w:ascii="Times New Roman" w:hAnsi="Times New Roman"/>
          <w:color w:val="auto"/>
          <w:sz w:val="24"/>
          <w:highlight w:val="none"/>
        </w:rPr>
        <w:t>专业主任、</w:t>
      </w:r>
      <w:r>
        <w:rPr>
          <w:rFonts w:ascii="Times New Roman" w:hAnsi="Times New Roman"/>
          <w:color w:val="auto"/>
          <w:sz w:val="24"/>
          <w:highlight w:val="none"/>
        </w:rPr>
        <w:t>专业带头人、骨干教师、企业兼职教师和学生管理人</w:t>
      </w:r>
      <w:r>
        <w:rPr>
          <w:rFonts w:hint="eastAsia" w:ascii="Times New Roman" w:hAnsi="Times New Roman"/>
          <w:color w:val="auto"/>
          <w:sz w:val="24"/>
          <w:highlight w:val="none"/>
        </w:rPr>
        <w:t>员</w:t>
      </w:r>
      <w:r>
        <w:rPr>
          <w:rFonts w:ascii="Times New Roman" w:hAnsi="Times New Roman"/>
          <w:color w:val="auto"/>
          <w:sz w:val="24"/>
          <w:highlight w:val="none"/>
        </w:rPr>
        <w:t>组成专业教学管理组织机构</w:t>
      </w:r>
      <w:r>
        <w:rPr>
          <w:rFonts w:hint="eastAsia" w:ascii="Times New Roman" w:hAnsi="Times New Roman"/>
          <w:color w:val="auto"/>
          <w:sz w:val="24"/>
          <w:highlight w:val="none"/>
        </w:rPr>
        <w:t>，</w:t>
      </w:r>
      <w:r>
        <w:rPr>
          <w:rFonts w:ascii="Times New Roman" w:hAnsi="Times New Roman"/>
          <w:color w:val="auto"/>
          <w:sz w:val="24"/>
          <w:highlight w:val="none"/>
        </w:rPr>
        <w:t>负责日常教学管理、学生管理、教师工作管理和教学资源管理等工作。</w:t>
      </w:r>
    </w:p>
    <w:p>
      <w:pPr>
        <w:pStyle w:val="7"/>
        <w:numPr>
          <w:ilvl w:val="0"/>
          <w:numId w:val="0"/>
        </w:numPr>
        <w:spacing w:line="360" w:lineRule="auto"/>
        <w:ind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lang w:val="en-US" w:eastAsia="zh-CN"/>
        </w:rPr>
        <w:t>2.</w:t>
      </w:r>
      <w:r>
        <w:rPr>
          <w:rFonts w:ascii="Times New Roman" w:hAnsi="Times New Roman" w:cs="Times New Roman"/>
          <w:color w:val="auto"/>
          <w:sz w:val="24"/>
          <w:szCs w:val="24"/>
          <w:highlight w:val="none"/>
        </w:rPr>
        <w:t>专业教学指导委员会</w:t>
      </w:r>
    </w:p>
    <w:p>
      <w:pPr>
        <w:pStyle w:val="7"/>
        <w:spacing w:line="360" w:lineRule="auto"/>
        <w:ind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煤炭深加工与利用专</w:t>
      </w:r>
      <w:r>
        <w:rPr>
          <w:rFonts w:ascii="Times New Roman" w:hAnsi="Times New Roman" w:cs="Times New Roman"/>
          <w:color w:val="auto"/>
          <w:sz w:val="24"/>
          <w:szCs w:val="24"/>
          <w:highlight w:val="none"/>
        </w:rPr>
        <w:t>业成立了由系领导和合作企业负责人共同牵头的专业教学指导委员会，负责</w:t>
      </w:r>
      <w:r>
        <w:rPr>
          <w:rFonts w:hint="eastAsia" w:ascii="Times New Roman" w:hAnsi="Times New Roman" w:cs="Times New Roman"/>
          <w:color w:val="auto"/>
          <w:sz w:val="24"/>
          <w:szCs w:val="24"/>
          <w:highlight w:val="none"/>
        </w:rPr>
        <w:t>人才培养方案的制定、</w:t>
      </w:r>
      <w:r>
        <w:rPr>
          <w:rFonts w:ascii="Times New Roman" w:hAnsi="Times New Roman" w:cs="Times New Roman"/>
          <w:color w:val="auto"/>
          <w:sz w:val="24"/>
          <w:szCs w:val="24"/>
          <w:highlight w:val="none"/>
        </w:rPr>
        <w:t>课程开发、教学计划的修订等工作。</w:t>
      </w:r>
    </w:p>
    <w:p>
      <w:pPr>
        <w:spacing w:line="360" w:lineRule="auto"/>
        <w:jc w:val="center"/>
        <w:rPr>
          <w:rFonts w:ascii="Times New Roman" w:hAnsi="Times New Roman"/>
          <w:color w:val="auto"/>
          <w:sz w:val="24"/>
          <w:highlight w:val="none"/>
        </w:rPr>
      </w:pPr>
      <w:r>
        <w:rPr>
          <w:rFonts w:ascii="Times New Roman" w:hAnsi="Times New Roman" w:eastAsia="仿宋_GB2312"/>
          <w:color w:val="auto"/>
          <w:sz w:val="18"/>
          <w:szCs w:val="18"/>
          <w:highlight w:val="none"/>
        </w:rPr>
        <w:t>　</w:t>
      </w:r>
      <w:r>
        <w:rPr>
          <w:rFonts w:hint="eastAsia" w:ascii="Times New Roman" w:hAnsi="Times New Roman"/>
          <w:bCs/>
          <w:color w:val="auto"/>
          <w:sz w:val="24"/>
          <w:highlight w:val="none"/>
        </w:rPr>
        <w:t xml:space="preserve">表5.1 </w:t>
      </w:r>
      <w:r>
        <w:rPr>
          <w:rFonts w:hint="eastAsia" w:ascii="Times New Roman" w:hAnsi="Times New Roman"/>
          <w:bCs/>
          <w:color w:val="auto"/>
          <w:sz w:val="24"/>
          <w:highlight w:val="none"/>
          <w:lang w:val="en-US" w:eastAsia="zh-CN"/>
        </w:rPr>
        <w:t>煤炭深加工与利用</w:t>
      </w:r>
      <w:r>
        <w:rPr>
          <w:rFonts w:hint="eastAsia" w:ascii="Times New Roman" w:hAnsi="Times New Roman"/>
          <w:bCs/>
          <w:color w:val="auto"/>
          <w:sz w:val="24"/>
          <w:highlight w:val="none"/>
        </w:rPr>
        <w:t>专业指导委员会一览表</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100"/>
        <w:gridCol w:w="2970"/>
        <w:gridCol w:w="1382"/>
        <w:gridCol w:w="2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56"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职务</w:t>
            </w:r>
          </w:p>
        </w:tc>
        <w:tc>
          <w:tcPr>
            <w:tcW w:w="1100"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姓名</w:t>
            </w:r>
          </w:p>
        </w:tc>
        <w:tc>
          <w:tcPr>
            <w:tcW w:w="2970"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工作单位</w:t>
            </w:r>
          </w:p>
        </w:tc>
        <w:tc>
          <w:tcPr>
            <w:tcW w:w="1382"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学历/职称</w:t>
            </w:r>
          </w:p>
        </w:tc>
        <w:tc>
          <w:tcPr>
            <w:tcW w:w="2114"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restart"/>
            <w:noWrap/>
            <w:vAlign w:val="center"/>
          </w:tcPr>
          <w:p>
            <w:pPr>
              <w:snapToGrid w:val="0"/>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主任</w:t>
            </w:r>
          </w:p>
        </w:tc>
        <w:tc>
          <w:tcPr>
            <w:tcW w:w="1100" w:type="dxa"/>
            <w:noWrap/>
            <w:vAlign w:val="center"/>
          </w:tcPr>
          <w:p>
            <w:pPr>
              <w:pStyle w:val="5"/>
              <w:spacing w:after="0"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吉晋兰</w:t>
            </w:r>
          </w:p>
        </w:tc>
        <w:tc>
          <w:tcPr>
            <w:tcW w:w="2970"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晋城职业技术学院</w:t>
            </w:r>
          </w:p>
        </w:tc>
        <w:tc>
          <w:tcPr>
            <w:tcW w:w="1382"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博士/教授</w:t>
            </w:r>
          </w:p>
        </w:tc>
        <w:tc>
          <w:tcPr>
            <w:tcW w:w="2114"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化工系主任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Times New Roman" w:hAnsi="Times New Roman"/>
                <w:color w:val="auto"/>
                <w:szCs w:val="21"/>
                <w:highlight w:val="none"/>
              </w:rPr>
            </w:pPr>
          </w:p>
        </w:tc>
        <w:tc>
          <w:tcPr>
            <w:tcW w:w="1100" w:type="dxa"/>
            <w:noWrap/>
            <w:vAlign w:val="center"/>
          </w:tcPr>
          <w:p>
            <w:pPr>
              <w:pStyle w:val="5"/>
              <w:spacing w:after="0"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姬爱国</w:t>
            </w:r>
          </w:p>
        </w:tc>
        <w:tc>
          <w:tcPr>
            <w:tcW w:w="2970"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晋城职业技术学院</w:t>
            </w:r>
          </w:p>
        </w:tc>
        <w:tc>
          <w:tcPr>
            <w:tcW w:w="1382"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博士/副教授</w:t>
            </w:r>
          </w:p>
        </w:tc>
        <w:tc>
          <w:tcPr>
            <w:tcW w:w="2114"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副院长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956" w:type="dxa"/>
            <w:vMerge w:val="restart"/>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副主任</w:t>
            </w:r>
          </w:p>
        </w:tc>
        <w:tc>
          <w:tcPr>
            <w:tcW w:w="1100" w:type="dxa"/>
            <w:noWrap/>
            <w:vAlign w:val="center"/>
          </w:tcPr>
          <w:p>
            <w:pPr>
              <w:widowControl/>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李晋国</w:t>
            </w:r>
          </w:p>
        </w:tc>
        <w:tc>
          <w:tcPr>
            <w:tcW w:w="2970"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晋城职业技术学院</w:t>
            </w:r>
          </w:p>
        </w:tc>
        <w:tc>
          <w:tcPr>
            <w:tcW w:w="1382" w:type="dxa"/>
            <w:noWrap/>
            <w:vAlign w:val="center"/>
          </w:tcPr>
          <w:p>
            <w:pPr>
              <w:widowControl/>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硕士/讲师</w:t>
            </w:r>
          </w:p>
        </w:tc>
        <w:tc>
          <w:tcPr>
            <w:tcW w:w="2114" w:type="dxa"/>
            <w:noWrap/>
            <w:vAlign w:val="center"/>
          </w:tcPr>
          <w:p>
            <w:pPr>
              <w:widowControl/>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晋职院考评办主任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spacing w:line="360" w:lineRule="auto"/>
              <w:jc w:val="center"/>
              <w:rPr>
                <w:rFonts w:ascii="Times New Roman" w:hAnsi="Times New Roman"/>
                <w:color w:val="auto"/>
                <w:kern w:val="0"/>
                <w:szCs w:val="21"/>
                <w:highlight w:val="none"/>
              </w:rPr>
            </w:pPr>
          </w:p>
        </w:tc>
        <w:tc>
          <w:tcPr>
            <w:tcW w:w="1100"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olor w:val="auto"/>
                <w:szCs w:val="21"/>
                <w:highlight w:val="none"/>
              </w:rPr>
              <w:t>碗海鹰</w:t>
            </w:r>
          </w:p>
        </w:tc>
        <w:tc>
          <w:tcPr>
            <w:tcW w:w="2970" w:type="dxa"/>
            <w:noWrap/>
            <w:vAlign w:val="center"/>
          </w:tcPr>
          <w:p>
            <w:pPr>
              <w:spacing w:line="360" w:lineRule="auto"/>
              <w:ind w:left="-109" w:leftChars="-52" w:right="-92" w:rightChars="-44"/>
              <w:jc w:val="center"/>
              <w:rPr>
                <w:rFonts w:ascii="Times New Roman" w:hAnsi="Times New Roman"/>
                <w:color w:val="auto"/>
                <w:szCs w:val="21"/>
                <w:highlight w:val="none"/>
              </w:rPr>
            </w:pPr>
            <w:r>
              <w:rPr>
                <w:rFonts w:hint="eastAsia" w:ascii="Times New Roman" w:hAnsi="Times New Roman"/>
                <w:color w:val="auto"/>
                <w:szCs w:val="21"/>
                <w:highlight w:val="none"/>
              </w:rPr>
              <w:t>晋城市华美瑞泽新材料有限公司</w:t>
            </w:r>
          </w:p>
        </w:tc>
        <w:tc>
          <w:tcPr>
            <w:tcW w:w="1382" w:type="dxa"/>
            <w:noWrap/>
            <w:vAlign w:val="center"/>
          </w:tcPr>
          <w:p>
            <w:pPr>
              <w:pStyle w:val="5"/>
              <w:spacing w:after="0" w:line="360" w:lineRule="auto"/>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博士</w:t>
            </w:r>
          </w:p>
        </w:tc>
        <w:tc>
          <w:tcPr>
            <w:tcW w:w="2114" w:type="dxa"/>
            <w:noWrap/>
            <w:vAlign w:val="center"/>
          </w:tcPr>
          <w:p>
            <w:pPr>
              <w:spacing w:line="360" w:lineRule="auto"/>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总经理兼技术总监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restart"/>
            <w:noWrap/>
            <w:vAlign w:val="center"/>
          </w:tcPr>
          <w:p>
            <w:pPr>
              <w:widowControl/>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委员</w:t>
            </w:r>
          </w:p>
        </w:tc>
        <w:tc>
          <w:tcPr>
            <w:tcW w:w="1100" w:type="dxa"/>
            <w:noWrap/>
            <w:vAlign w:val="center"/>
          </w:tcPr>
          <w:p>
            <w:pPr>
              <w:pStyle w:val="5"/>
              <w:spacing w:after="0"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牛学丽</w:t>
            </w:r>
          </w:p>
        </w:tc>
        <w:tc>
          <w:tcPr>
            <w:tcW w:w="2970" w:type="dxa"/>
            <w:noWrap/>
            <w:vAlign w:val="center"/>
          </w:tcPr>
          <w:p>
            <w:pPr>
              <w:pStyle w:val="5"/>
              <w:spacing w:after="0"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晋城职业技术学院</w:t>
            </w:r>
          </w:p>
        </w:tc>
        <w:tc>
          <w:tcPr>
            <w:tcW w:w="1382"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博士/副教授</w:t>
            </w:r>
          </w:p>
        </w:tc>
        <w:tc>
          <w:tcPr>
            <w:tcW w:w="2114"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Times New Roman" w:hAnsi="Times New Roman"/>
                <w:color w:val="auto"/>
                <w:szCs w:val="21"/>
                <w:highlight w:val="none"/>
              </w:rPr>
            </w:pPr>
          </w:p>
        </w:tc>
        <w:tc>
          <w:tcPr>
            <w:tcW w:w="1100" w:type="dxa"/>
            <w:noWrap/>
            <w:vAlign w:val="center"/>
          </w:tcPr>
          <w:p>
            <w:pPr>
              <w:pStyle w:val="5"/>
              <w:spacing w:after="0" w:line="360" w:lineRule="auto"/>
              <w:rPr>
                <w:rFonts w:ascii="Times New Roman" w:hAnsi="Times New Roman"/>
                <w:color w:val="auto"/>
                <w:szCs w:val="21"/>
                <w:highlight w:val="none"/>
              </w:rPr>
            </w:pPr>
            <w:r>
              <w:rPr>
                <w:rFonts w:hint="eastAsia" w:ascii="Times New Roman" w:hAnsi="Times New Roman"/>
                <w:color w:val="auto"/>
                <w:szCs w:val="21"/>
                <w:highlight w:val="none"/>
              </w:rPr>
              <w:t xml:space="preserve">  席琦</w:t>
            </w:r>
          </w:p>
        </w:tc>
        <w:tc>
          <w:tcPr>
            <w:tcW w:w="2970" w:type="dxa"/>
            <w:noWrap/>
            <w:vAlign w:val="center"/>
          </w:tcPr>
          <w:p>
            <w:pPr>
              <w:pStyle w:val="5"/>
              <w:spacing w:after="0"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晋城职业技术学院</w:t>
            </w:r>
          </w:p>
        </w:tc>
        <w:tc>
          <w:tcPr>
            <w:tcW w:w="1382"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硕士/副教授</w:t>
            </w:r>
          </w:p>
        </w:tc>
        <w:tc>
          <w:tcPr>
            <w:tcW w:w="2114" w:type="dxa"/>
            <w:noWrap/>
            <w:vAlign w:val="center"/>
          </w:tcPr>
          <w:p>
            <w:pPr>
              <w:spacing w:line="360" w:lineRule="auto"/>
              <w:ind w:right="-46" w:rightChars="-22"/>
              <w:jc w:val="center"/>
              <w:rPr>
                <w:rFonts w:ascii="Times New Roman" w:hAnsi="Times New Roman"/>
                <w:color w:val="auto"/>
                <w:szCs w:val="21"/>
                <w:highlight w:val="none"/>
              </w:rPr>
            </w:pPr>
            <w:r>
              <w:rPr>
                <w:rFonts w:hint="eastAsia" w:ascii="Times New Roman" w:hAnsi="Times New Roman"/>
                <w:color w:val="auto"/>
                <w:szCs w:val="21"/>
                <w:highlight w:val="none"/>
              </w:rPr>
              <w:t>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Times New Roman" w:hAnsi="Times New Roman"/>
                <w:color w:val="auto"/>
                <w:szCs w:val="21"/>
                <w:highlight w:val="none"/>
              </w:rPr>
            </w:pPr>
          </w:p>
        </w:tc>
        <w:tc>
          <w:tcPr>
            <w:tcW w:w="1100" w:type="dxa"/>
            <w:noWrap/>
            <w:vAlign w:val="center"/>
          </w:tcPr>
          <w:p>
            <w:pPr>
              <w:pStyle w:val="22"/>
              <w:ind w:firstLine="0" w:firstLineChars="0"/>
              <w:jc w:val="center"/>
              <w:rPr>
                <w:rFonts w:ascii="Times New Roman" w:hAnsi="Times New Roman"/>
                <w:color w:val="auto"/>
                <w:szCs w:val="21"/>
                <w:highlight w:val="none"/>
              </w:rPr>
            </w:pPr>
            <w:r>
              <w:rPr>
                <w:rFonts w:hint="eastAsia" w:ascii="Times New Roman" w:hAnsi="Times New Roman"/>
                <w:color w:val="auto"/>
                <w:szCs w:val="21"/>
                <w:highlight w:val="none"/>
              </w:rPr>
              <w:t>王海刚</w:t>
            </w:r>
          </w:p>
        </w:tc>
        <w:tc>
          <w:tcPr>
            <w:tcW w:w="2970" w:type="dxa"/>
            <w:noWrap/>
            <w:vAlign w:val="center"/>
          </w:tcPr>
          <w:p>
            <w:pPr>
              <w:pStyle w:val="5"/>
              <w:spacing w:after="0"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晋城职业技术学院</w:t>
            </w:r>
          </w:p>
        </w:tc>
        <w:tc>
          <w:tcPr>
            <w:tcW w:w="1382"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学士/副教授</w:t>
            </w:r>
          </w:p>
        </w:tc>
        <w:tc>
          <w:tcPr>
            <w:tcW w:w="2114"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化工系副主任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Times New Roman" w:hAnsi="Times New Roman"/>
                <w:color w:val="auto"/>
                <w:szCs w:val="21"/>
                <w:highlight w:val="none"/>
              </w:rPr>
            </w:pPr>
          </w:p>
        </w:tc>
        <w:tc>
          <w:tcPr>
            <w:tcW w:w="1100"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杨国华</w:t>
            </w:r>
          </w:p>
        </w:tc>
        <w:tc>
          <w:tcPr>
            <w:tcW w:w="2970"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兰花集团</w:t>
            </w:r>
          </w:p>
        </w:tc>
        <w:tc>
          <w:tcPr>
            <w:tcW w:w="1382"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高级工程师</w:t>
            </w:r>
          </w:p>
        </w:tc>
        <w:tc>
          <w:tcPr>
            <w:tcW w:w="2114"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人事处副处长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Times New Roman" w:hAnsi="Times New Roman"/>
                <w:color w:val="auto"/>
                <w:szCs w:val="21"/>
                <w:highlight w:val="none"/>
              </w:rPr>
            </w:pPr>
          </w:p>
        </w:tc>
        <w:tc>
          <w:tcPr>
            <w:tcW w:w="1100"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崔进军</w:t>
            </w:r>
          </w:p>
        </w:tc>
        <w:tc>
          <w:tcPr>
            <w:tcW w:w="2970"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山西兰花科创阳化分公司</w:t>
            </w:r>
          </w:p>
        </w:tc>
        <w:tc>
          <w:tcPr>
            <w:tcW w:w="1382"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高级工程师</w:t>
            </w:r>
          </w:p>
        </w:tc>
        <w:tc>
          <w:tcPr>
            <w:tcW w:w="2114"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技术科科长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Times New Roman" w:hAnsi="Times New Roman"/>
                <w:color w:val="auto"/>
                <w:szCs w:val="21"/>
                <w:highlight w:val="none"/>
              </w:rPr>
            </w:pPr>
          </w:p>
        </w:tc>
        <w:tc>
          <w:tcPr>
            <w:tcW w:w="1100"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王维兵</w:t>
            </w:r>
          </w:p>
        </w:tc>
        <w:tc>
          <w:tcPr>
            <w:tcW w:w="2970"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山西兰花科创化肥公司</w:t>
            </w:r>
          </w:p>
        </w:tc>
        <w:tc>
          <w:tcPr>
            <w:tcW w:w="1382"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高级工程师</w:t>
            </w:r>
          </w:p>
        </w:tc>
        <w:tc>
          <w:tcPr>
            <w:tcW w:w="2114"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生产科科长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Times New Roman" w:hAnsi="Times New Roman"/>
                <w:color w:val="auto"/>
                <w:szCs w:val="21"/>
                <w:highlight w:val="none"/>
              </w:rPr>
            </w:pPr>
          </w:p>
        </w:tc>
        <w:tc>
          <w:tcPr>
            <w:tcW w:w="1100"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刘卫军</w:t>
            </w:r>
          </w:p>
        </w:tc>
        <w:tc>
          <w:tcPr>
            <w:tcW w:w="2970"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兰花科创阳化分公司</w:t>
            </w:r>
          </w:p>
        </w:tc>
        <w:tc>
          <w:tcPr>
            <w:tcW w:w="1382"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高级工程师</w:t>
            </w:r>
          </w:p>
        </w:tc>
        <w:tc>
          <w:tcPr>
            <w:tcW w:w="2114"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工会主席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noWrap/>
            <w:vAlign w:val="center"/>
          </w:tcPr>
          <w:p>
            <w:pPr>
              <w:widowControl/>
              <w:spacing w:line="360" w:lineRule="auto"/>
              <w:jc w:val="center"/>
              <w:rPr>
                <w:rFonts w:ascii="Times New Roman" w:hAnsi="Times New Roman"/>
                <w:color w:val="auto"/>
                <w:szCs w:val="21"/>
                <w:highlight w:val="none"/>
              </w:rPr>
            </w:pPr>
          </w:p>
        </w:tc>
        <w:tc>
          <w:tcPr>
            <w:tcW w:w="1100"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王西栋</w:t>
            </w:r>
          </w:p>
        </w:tc>
        <w:tc>
          <w:tcPr>
            <w:tcW w:w="2970"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兰花科创阳化分公司</w:t>
            </w:r>
          </w:p>
        </w:tc>
        <w:tc>
          <w:tcPr>
            <w:tcW w:w="1382"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高级工程师</w:t>
            </w:r>
          </w:p>
        </w:tc>
        <w:tc>
          <w:tcPr>
            <w:tcW w:w="2114"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厂长</w:t>
            </w:r>
          </w:p>
        </w:tc>
      </w:tr>
    </w:tbl>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bookmarkStart w:id="83" w:name="_Toc29009"/>
      <w:bookmarkStart w:id="84" w:name="_Toc23920"/>
      <w:r>
        <w:rPr>
          <w:rFonts w:hint="eastAsia" w:ascii="Times New Roman" w:hAnsi="Times New Roman" w:eastAsia="黑体" w:cs="黑体"/>
          <w:bCs/>
          <w:color w:val="auto"/>
          <w:sz w:val="30"/>
          <w:szCs w:val="30"/>
          <w:highlight w:val="none"/>
          <w:lang w:val="en-US" w:eastAsia="zh-CN"/>
        </w:rPr>
        <w:t>（二）人才培养方案管理与实施的制度保障</w:t>
      </w:r>
      <w:bookmarkEnd w:id="83"/>
      <w:bookmarkEnd w:id="84"/>
    </w:p>
    <w:p>
      <w:pPr>
        <w:spacing w:line="440" w:lineRule="exact"/>
        <w:ind w:firstLine="480"/>
        <w:rPr>
          <w:rFonts w:ascii="Times New Roman" w:hAnsi="Times New Roman"/>
          <w:color w:val="auto"/>
          <w:sz w:val="24"/>
          <w:highlight w:val="none"/>
        </w:rPr>
      </w:pPr>
      <w:r>
        <w:rPr>
          <w:rFonts w:hint="eastAsia" w:ascii="Times New Roman" w:hAnsi="Times New Roman"/>
          <w:color w:val="auto"/>
          <w:sz w:val="24"/>
          <w:highlight w:val="none"/>
        </w:rPr>
        <w:t>为实现人才培养方案的正常运行，根据高职教育规律和我院实际情况，在教学管理上实行学院和教学系两级管理，</w:t>
      </w:r>
      <w:r>
        <w:rPr>
          <w:rFonts w:ascii="Times New Roman" w:hAnsi="Times New Roman"/>
          <w:color w:val="auto"/>
          <w:sz w:val="24"/>
          <w:highlight w:val="none"/>
        </w:rPr>
        <w:t>严格执行学院制定的教学工作规范、教学计划、课程标准和教学</w:t>
      </w:r>
      <w:r>
        <w:rPr>
          <w:rFonts w:hint="eastAsia" w:ascii="Times New Roman" w:hAnsi="Times New Roman"/>
          <w:color w:val="auto"/>
          <w:sz w:val="24"/>
          <w:highlight w:val="none"/>
        </w:rPr>
        <w:t>日志制度</w:t>
      </w:r>
      <w:r>
        <w:rPr>
          <w:rFonts w:ascii="Times New Roman" w:hAnsi="Times New Roman"/>
          <w:color w:val="auto"/>
          <w:sz w:val="24"/>
          <w:highlight w:val="none"/>
        </w:rPr>
        <w:t>，严格教学事故的认定与处理，严格执行教学评价制度，严格执行课堂教学和实践教学过程的检查制度，严格教学文件的规范管理，保证人才培养方案的顺利实施、教学秩序的稳定和教学质量的提高。</w:t>
      </w:r>
    </w:p>
    <w:p>
      <w:pPr>
        <w:pStyle w:val="7"/>
        <w:spacing w:line="440" w:lineRule="exact"/>
        <w:ind w:firstLine="42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1</w:t>
      </w:r>
      <w:r>
        <w:rPr>
          <w:rFonts w:hint="eastAsia" w:ascii="Times New Roman" w:hAnsi="Times New Roman" w:cs="Times New Roman"/>
          <w:color w:val="auto"/>
          <w:sz w:val="24"/>
          <w:szCs w:val="24"/>
          <w:highlight w:val="none"/>
          <w:lang w:eastAsia="zh-CN"/>
        </w:rPr>
        <w:t>.</w:t>
      </w:r>
      <w:r>
        <w:rPr>
          <w:rFonts w:hint="eastAsia" w:ascii="Times New Roman" w:hAnsi="Times New Roman" w:cs="Times New Roman"/>
          <w:color w:val="auto"/>
          <w:sz w:val="24"/>
          <w:szCs w:val="24"/>
          <w:highlight w:val="none"/>
        </w:rPr>
        <w:t>院系两级管理体制</w:t>
      </w:r>
    </w:p>
    <w:p>
      <w:pPr>
        <w:spacing w:line="440" w:lineRule="exact"/>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以“院长—分管副院长—教务处“为院级管理和以“系主任—分管副主任—专业主任—教学秘书”为系级管理的两级教学管理体系，分别承担管理教学的工作，从而明确了学院、系部各自的工作范围、职责、权利和义务。院级工作的重心是突出目标管理、重在决策监督。教学管理重心移到系一级，管理工作重点突出过程管理和组织落实。</w:t>
      </w:r>
    </w:p>
    <w:p>
      <w:pPr>
        <w:pStyle w:val="7"/>
        <w:spacing w:line="440" w:lineRule="exact"/>
        <w:ind w:firstLine="42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2</w:t>
      </w:r>
      <w:r>
        <w:rPr>
          <w:rFonts w:hint="eastAsia" w:ascii="Times New Roman" w:hAnsi="Times New Roman" w:cs="Times New Roman"/>
          <w:color w:val="auto"/>
          <w:sz w:val="24"/>
          <w:szCs w:val="24"/>
          <w:highlight w:val="none"/>
          <w:lang w:eastAsia="zh-CN"/>
        </w:rPr>
        <w:t>.</w:t>
      </w:r>
      <w:r>
        <w:rPr>
          <w:rFonts w:hint="eastAsia" w:ascii="Times New Roman" w:hAnsi="Times New Roman" w:cs="Times New Roman"/>
          <w:color w:val="auto"/>
          <w:sz w:val="24"/>
          <w:szCs w:val="24"/>
          <w:highlight w:val="none"/>
        </w:rPr>
        <w:t>人才培养方案实施的方案设计</w:t>
      </w:r>
    </w:p>
    <w:p>
      <w:pPr>
        <w:spacing w:line="440" w:lineRule="exact"/>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（1）组织</w:t>
      </w:r>
      <w:r>
        <w:rPr>
          <w:rFonts w:ascii="Times New Roman" w:hAnsi="Times New Roman"/>
          <w:color w:val="auto"/>
          <w:sz w:val="24"/>
          <w:highlight w:val="none"/>
        </w:rPr>
        <w:t>制定课程</w:t>
      </w:r>
      <w:r>
        <w:rPr>
          <w:rFonts w:hint="eastAsia" w:ascii="Times New Roman" w:hAnsi="Times New Roman"/>
          <w:color w:val="auto"/>
          <w:sz w:val="24"/>
          <w:highlight w:val="none"/>
        </w:rPr>
        <w:t>标准</w:t>
      </w:r>
    </w:p>
    <w:p>
      <w:pPr>
        <w:spacing w:line="440" w:lineRule="exact"/>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课程标准</w:t>
      </w:r>
      <w:r>
        <w:rPr>
          <w:rFonts w:ascii="Times New Roman" w:hAnsi="Times New Roman"/>
          <w:color w:val="auto"/>
          <w:sz w:val="24"/>
          <w:highlight w:val="none"/>
        </w:rPr>
        <w:t>是落实培养目标和</w:t>
      </w:r>
      <w:r>
        <w:rPr>
          <w:rFonts w:hint="eastAsia" w:ascii="Times New Roman" w:hAnsi="Times New Roman"/>
          <w:color w:val="auto"/>
          <w:sz w:val="24"/>
          <w:highlight w:val="none"/>
        </w:rPr>
        <w:t>人才培养方案</w:t>
      </w:r>
      <w:r>
        <w:rPr>
          <w:rFonts w:ascii="Times New Roman" w:hAnsi="Times New Roman"/>
          <w:color w:val="auto"/>
          <w:sz w:val="24"/>
          <w:highlight w:val="none"/>
        </w:rPr>
        <w:t>最基本的教学文件</w:t>
      </w:r>
      <w:r>
        <w:rPr>
          <w:rFonts w:hint="eastAsia" w:ascii="Times New Roman" w:hAnsi="Times New Roman"/>
          <w:color w:val="auto"/>
          <w:sz w:val="24"/>
          <w:highlight w:val="none"/>
        </w:rPr>
        <w:t>，应</w:t>
      </w:r>
      <w:r>
        <w:rPr>
          <w:rFonts w:ascii="Times New Roman" w:hAnsi="Times New Roman"/>
          <w:color w:val="auto"/>
          <w:sz w:val="24"/>
          <w:highlight w:val="none"/>
        </w:rPr>
        <w:t>准确的贯彻</w:t>
      </w:r>
      <w:r>
        <w:rPr>
          <w:rFonts w:hint="eastAsia" w:ascii="Times New Roman" w:hAnsi="Times New Roman"/>
          <w:color w:val="auto"/>
          <w:sz w:val="24"/>
          <w:highlight w:val="none"/>
        </w:rPr>
        <w:t>人才培养方案</w:t>
      </w:r>
      <w:r>
        <w:rPr>
          <w:rFonts w:ascii="Times New Roman" w:hAnsi="Times New Roman"/>
          <w:color w:val="auto"/>
          <w:sz w:val="24"/>
          <w:highlight w:val="none"/>
        </w:rPr>
        <w:t>所体现的教育思想和培养目标</w:t>
      </w:r>
      <w:r>
        <w:rPr>
          <w:rFonts w:hint="eastAsia" w:ascii="Times New Roman" w:hAnsi="Times New Roman"/>
          <w:color w:val="auto"/>
          <w:sz w:val="24"/>
          <w:highlight w:val="none"/>
        </w:rPr>
        <w:t>。课程标准</w:t>
      </w:r>
      <w:r>
        <w:rPr>
          <w:rFonts w:ascii="Times New Roman" w:hAnsi="Times New Roman"/>
          <w:color w:val="auto"/>
          <w:sz w:val="24"/>
          <w:highlight w:val="none"/>
        </w:rPr>
        <w:t>内容包括本课程的</w:t>
      </w:r>
      <w:r>
        <w:rPr>
          <w:rFonts w:hint="eastAsia" w:ascii="Times New Roman" w:hAnsi="Times New Roman"/>
          <w:color w:val="auto"/>
          <w:sz w:val="24"/>
          <w:highlight w:val="none"/>
        </w:rPr>
        <w:t>性质</w:t>
      </w:r>
      <w:r>
        <w:rPr>
          <w:rFonts w:ascii="Times New Roman" w:hAnsi="Times New Roman"/>
          <w:color w:val="auto"/>
          <w:sz w:val="24"/>
          <w:highlight w:val="none"/>
        </w:rPr>
        <w:t>、</w:t>
      </w:r>
      <w:r>
        <w:rPr>
          <w:rFonts w:hint="eastAsia" w:ascii="Times New Roman" w:hAnsi="Times New Roman"/>
          <w:color w:val="auto"/>
          <w:sz w:val="24"/>
          <w:highlight w:val="none"/>
        </w:rPr>
        <w:t>学时、学分、课程目标、课程内容、教学实施、考核评价等，由专业主任组织编制。</w:t>
      </w:r>
    </w:p>
    <w:p>
      <w:pPr>
        <w:spacing w:line="440" w:lineRule="exact"/>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（2）</w:t>
      </w:r>
      <w:r>
        <w:rPr>
          <w:rFonts w:ascii="Times New Roman" w:hAnsi="Times New Roman"/>
          <w:color w:val="auto"/>
          <w:sz w:val="24"/>
          <w:highlight w:val="none"/>
        </w:rPr>
        <w:t>课堂教学的组织管理</w:t>
      </w:r>
    </w:p>
    <w:p>
      <w:pPr>
        <w:spacing w:line="440" w:lineRule="exact"/>
        <w:ind w:firstLine="480" w:firstLineChars="200"/>
        <w:rPr>
          <w:rFonts w:ascii="Times New Roman" w:hAnsi="Times New Roman"/>
          <w:color w:val="auto"/>
          <w:sz w:val="24"/>
          <w:highlight w:val="none"/>
        </w:rPr>
      </w:pPr>
      <w:r>
        <w:rPr>
          <w:rFonts w:ascii="Times New Roman" w:hAnsi="Times New Roman"/>
          <w:color w:val="auto"/>
          <w:sz w:val="24"/>
          <w:highlight w:val="none"/>
        </w:rPr>
        <w:t>系聘任有相应学识水平、有责任心、有教学经验的</w:t>
      </w:r>
      <w:r>
        <w:rPr>
          <w:rFonts w:hint="eastAsia" w:ascii="Times New Roman" w:hAnsi="Times New Roman"/>
          <w:color w:val="auto"/>
          <w:sz w:val="24"/>
          <w:highlight w:val="none"/>
        </w:rPr>
        <w:t>兼职</w:t>
      </w:r>
      <w:r>
        <w:rPr>
          <w:rFonts w:ascii="Times New Roman" w:hAnsi="Times New Roman"/>
          <w:color w:val="auto"/>
          <w:sz w:val="24"/>
          <w:highlight w:val="none"/>
        </w:rPr>
        <w:t>教师任课。组织任课教师认真研究</w:t>
      </w:r>
      <w:r>
        <w:rPr>
          <w:rFonts w:hint="eastAsia" w:ascii="Times New Roman" w:hAnsi="Times New Roman"/>
          <w:color w:val="auto"/>
          <w:sz w:val="24"/>
          <w:highlight w:val="none"/>
        </w:rPr>
        <w:t>课程标准</w:t>
      </w:r>
      <w:r>
        <w:rPr>
          <w:rFonts w:ascii="Times New Roman" w:hAnsi="Times New Roman"/>
          <w:color w:val="auto"/>
          <w:sz w:val="24"/>
          <w:highlight w:val="none"/>
        </w:rPr>
        <w:t>，组织编写或选用与</w:t>
      </w:r>
      <w:r>
        <w:rPr>
          <w:rFonts w:hint="eastAsia" w:ascii="Times New Roman" w:hAnsi="Times New Roman"/>
          <w:color w:val="auto"/>
          <w:sz w:val="24"/>
          <w:highlight w:val="none"/>
        </w:rPr>
        <w:t>标准</w:t>
      </w:r>
      <w:r>
        <w:rPr>
          <w:rFonts w:ascii="Times New Roman" w:hAnsi="Times New Roman"/>
          <w:color w:val="auto"/>
          <w:sz w:val="24"/>
          <w:highlight w:val="none"/>
        </w:rPr>
        <w:t>相适应的教材和教学参考资料；要求教师认真履行《教师岗位职责》，按教学规律讲好每一节课；组织教师开展教学方法的讨论和研究，努力学习现代信息技术</w:t>
      </w:r>
      <w:r>
        <w:rPr>
          <w:rFonts w:hint="eastAsia" w:ascii="Times New Roman" w:hAnsi="Times New Roman"/>
          <w:color w:val="auto"/>
          <w:sz w:val="24"/>
          <w:highlight w:val="none"/>
        </w:rPr>
        <w:t>，</w:t>
      </w:r>
      <w:r>
        <w:rPr>
          <w:rFonts w:ascii="Times New Roman" w:hAnsi="Times New Roman"/>
          <w:color w:val="auto"/>
          <w:sz w:val="24"/>
          <w:highlight w:val="none"/>
        </w:rPr>
        <w:t>不断提高教学质量。</w:t>
      </w:r>
    </w:p>
    <w:p>
      <w:pPr>
        <w:spacing w:line="440" w:lineRule="exact"/>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（3）校内</w:t>
      </w:r>
      <w:r>
        <w:rPr>
          <w:rFonts w:ascii="Times New Roman" w:hAnsi="Times New Roman"/>
          <w:color w:val="auto"/>
          <w:sz w:val="24"/>
          <w:highlight w:val="none"/>
        </w:rPr>
        <w:t>实践性教学的组织管理</w:t>
      </w:r>
    </w:p>
    <w:p>
      <w:pPr>
        <w:spacing w:line="440" w:lineRule="exact"/>
        <w:ind w:firstLine="480" w:firstLineChars="200"/>
        <w:rPr>
          <w:rFonts w:ascii="Times New Roman" w:hAnsi="Times New Roman"/>
          <w:color w:val="auto"/>
          <w:sz w:val="24"/>
          <w:highlight w:val="none"/>
        </w:rPr>
      </w:pPr>
      <w:r>
        <w:rPr>
          <w:rFonts w:ascii="Times New Roman" w:hAnsi="Times New Roman"/>
          <w:color w:val="auto"/>
          <w:sz w:val="24"/>
          <w:highlight w:val="none"/>
        </w:rPr>
        <w:t>根据职业教育的特点，</w:t>
      </w:r>
      <w:r>
        <w:rPr>
          <w:rFonts w:hint="eastAsia" w:ascii="Times New Roman" w:hAnsi="Times New Roman"/>
          <w:color w:val="auto"/>
          <w:sz w:val="24"/>
          <w:highlight w:val="none"/>
        </w:rPr>
        <w:t>合理设置以工作过程为导向的项目任务化</w:t>
      </w:r>
      <w:r>
        <w:rPr>
          <w:rFonts w:ascii="Times New Roman" w:hAnsi="Times New Roman"/>
          <w:color w:val="auto"/>
          <w:sz w:val="24"/>
          <w:highlight w:val="none"/>
        </w:rPr>
        <w:t>实践</w:t>
      </w:r>
      <w:r>
        <w:rPr>
          <w:rFonts w:hint="eastAsia" w:ascii="Times New Roman" w:hAnsi="Times New Roman"/>
          <w:color w:val="auto"/>
          <w:sz w:val="24"/>
          <w:highlight w:val="none"/>
        </w:rPr>
        <w:t>性</w:t>
      </w:r>
      <w:r>
        <w:rPr>
          <w:rFonts w:ascii="Times New Roman" w:hAnsi="Times New Roman"/>
          <w:color w:val="auto"/>
          <w:sz w:val="24"/>
          <w:highlight w:val="none"/>
        </w:rPr>
        <w:t>课程</w:t>
      </w:r>
      <w:r>
        <w:rPr>
          <w:rFonts w:hint="eastAsia" w:ascii="Times New Roman" w:hAnsi="Times New Roman"/>
          <w:color w:val="auto"/>
          <w:sz w:val="24"/>
          <w:highlight w:val="none"/>
        </w:rPr>
        <w:t>并加强项目任务的实施</w:t>
      </w:r>
      <w:r>
        <w:rPr>
          <w:rFonts w:ascii="Times New Roman" w:hAnsi="Times New Roman"/>
          <w:color w:val="auto"/>
          <w:sz w:val="24"/>
          <w:highlight w:val="none"/>
        </w:rPr>
        <w:t>。实践性教学内容要严格按</w:t>
      </w:r>
      <w:r>
        <w:rPr>
          <w:rFonts w:hint="eastAsia" w:ascii="Times New Roman" w:hAnsi="Times New Roman"/>
          <w:color w:val="auto"/>
          <w:sz w:val="24"/>
          <w:highlight w:val="none"/>
        </w:rPr>
        <w:t>人才培养方案</w:t>
      </w:r>
      <w:r>
        <w:rPr>
          <w:rFonts w:ascii="Times New Roman" w:hAnsi="Times New Roman"/>
          <w:color w:val="auto"/>
          <w:sz w:val="24"/>
          <w:highlight w:val="none"/>
        </w:rPr>
        <w:t>和</w:t>
      </w:r>
      <w:r>
        <w:rPr>
          <w:rFonts w:hint="eastAsia" w:ascii="Times New Roman" w:hAnsi="Times New Roman"/>
          <w:color w:val="auto"/>
          <w:sz w:val="24"/>
          <w:highlight w:val="none"/>
        </w:rPr>
        <w:t>课程标准</w:t>
      </w:r>
      <w:r>
        <w:rPr>
          <w:rFonts w:ascii="Times New Roman" w:hAnsi="Times New Roman"/>
          <w:color w:val="auto"/>
          <w:sz w:val="24"/>
          <w:highlight w:val="none"/>
        </w:rPr>
        <w:t>的要求进行教学，保证课时，保证质量。任课教师要组织好每一节实践课教学，训练学生的专业基本技能和</w:t>
      </w:r>
      <w:r>
        <w:rPr>
          <w:rFonts w:hint="eastAsia" w:ascii="Times New Roman" w:hAnsi="Times New Roman"/>
          <w:color w:val="auto"/>
          <w:sz w:val="24"/>
          <w:highlight w:val="none"/>
        </w:rPr>
        <w:t>综合</w:t>
      </w:r>
      <w:r>
        <w:rPr>
          <w:rFonts w:ascii="Times New Roman" w:hAnsi="Times New Roman"/>
          <w:color w:val="auto"/>
          <w:sz w:val="24"/>
          <w:highlight w:val="none"/>
        </w:rPr>
        <w:t>能力</w:t>
      </w:r>
      <w:r>
        <w:rPr>
          <w:rFonts w:hint="eastAsia" w:ascii="Times New Roman" w:hAnsi="Times New Roman"/>
          <w:color w:val="auto"/>
          <w:sz w:val="24"/>
          <w:highlight w:val="none"/>
        </w:rPr>
        <w:t>；充分发挥校内实习基地的教学资源，做到教学做合一，体现工学结合、做中学、学中做。</w:t>
      </w:r>
    </w:p>
    <w:p>
      <w:pPr>
        <w:pStyle w:val="7"/>
        <w:spacing w:line="440" w:lineRule="exact"/>
        <w:ind w:firstLine="420"/>
        <w:rPr>
          <w:rFonts w:ascii="Times New Roman" w:hAnsi="Times New Roman" w:cs="Times New Roman"/>
          <w:color w:val="auto"/>
          <w:sz w:val="24"/>
          <w:szCs w:val="24"/>
          <w:highlight w:val="none"/>
        </w:rPr>
      </w:pPr>
      <w:r>
        <w:rPr>
          <w:rFonts w:hint="eastAsia" w:ascii="Times New Roman" w:hAnsi="Times New Roman"/>
          <w:color w:val="auto"/>
          <w:sz w:val="24"/>
          <w:highlight w:val="none"/>
        </w:rPr>
        <w:t>（4）校外</w:t>
      </w:r>
      <w:r>
        <w:rPr>
          <w:rFonts w:ascii="Times New Roman" w:hAnsi="Times New Roman" w:cs="Times New Roman"/>
          <w:color w:val="auto"/>
          <w:sz w:val="24"/>
          <w:szCs w:val="24"/>
          <w:highlight w:val="none"/>
        </w:rPr>
        <w:t>实习实训</w:t>
      </w:r>
      <w:r>
        <w:rPr>
          <w:rFonts w:hint="eastAsia" w:ascii="Times New Roman" w:hAnsi="Times New Roman" w:cs="Times New Roman"/>
          <w:color w:val="auto"/>
          <w:sz w:val="24"/>
          <w:szCs w:val="24"/>
          <w:highlight w:val="none"/>
        </w:rPr>
        <w:t>的组织管理</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跟岗实习和</w:t>
      </w:r>
      <w:r>
        <w:rPr>
          <w:rFonts w:ascii="Times New Roman" w:hAnsi="Times New Roman"/>
          <w:color w:val="auto"/>
          <w:sz w:val="24"/>
          <w:highlight w:val="none"/>
        </w:rPr>
        <w:t>顶岗实习</w:t>
      </w:r>
      <w:r>
        <w:rPr>
          <w:rFonts w:hint="eastAsia" w:ascii="Times New Roman" w:hAnsi="Times New Roman"/>
          <w:color w:val="auto"/>
          <w:sz w:val="24"/>
          <w:highlight w:val="none"/>
        </w:rPr>
        <w:t>是</w:t>
      </w:r>
      <w:r>
        <w:rPr>
          <w:rFonts w:ascii="Times New Roman" w:hAnsi="Times New Roman"/>
          <w:color w:val="auto"/>
          <w:sz w:val="24"/>
          <w:highlight w:val="none"/>
        </w:rPr>
        <w:t>工学结合人才培养模式的</w:t>
      </w:r>
      <w:r>
        <w:rPr>
          <w:rFonts w:hint="eastAsia" w:ascii="Times New Roman" w:hAnsi="Times New Roman"/>
          <w:color w:val="auto"/>
          <w:sz w:val="24"/>
          <w:highlight w:val="none"/>
        </w:rPr>
        <w:t>两个</w:t>
      </w:r>
      <w:r>
        <w:rPr>
          <w:rFonts w:ascii="Times New Roman" w:hAnsi="Times New Roman"/>
          <w:color w:val="auto"/>
          <w:sz w:val="24"/>
          <w:highlight w:val="none"/>
        </w:rPr>
        <w:t>重要组成部分，相较于校内教学组织而言，更需规范和管理。为此，学校制订了《校外</w:t>
      </w:r>
      <w:r>
        <w:rPr>
          <w:rFonts w:hint="eastAsia" w:ascii="Times New Roman" w:hAnsi="Times New Roman"/>
          <w:color w:val="auto"/>
          <w:sz w:val="24"/>
          <w:highlight w:val="none"/>
        </w:rPr>
        <w:t>跟</w:t>
      </w:r>
      <w:r>
        <w:rPr>
          <w:rFonts w:ascii="Times New Roman" w:hAnsi="Times New Roman"/>
          <w:color w:val="auto"/>
          <w:sz w:val="24"/>
          <w:highlight w:val="none"/>
        </w:rPr>
        <w:t>岗实习管理制度》</w:t>
      </w:r>
      <w:r>
        <w:rPr>
          <w:rFonts w:hint="eastAsia" w:ascii="Times New Roman" w:hAnsi="Times New Roman"/>
          <w:color w:val="auto"/>
          <w:sz w:val="24"/>
          <w:highlight w:val="none"/>
        </w:rPr>
        <w:t>和</w:t>
      </w:r>
      <w:r>
        <w:rPr>
          <w:rFonts w:ascii="Times New Roman" w:hAnsi="Times New Roman"/>
          <w:color w:val="auto"/>
          <w:sz w:val="24"/>
          <w:highlight w:val="none"/>
        </w:rPr>
        <w:t>《校外顶岗实习管理制度》</w:t>
      </w:r>
      <w:r>
        <w:rPr>
          <w:rFonts w:hint="eastAsia" w:ascii="Times New Roman" w:hAnsi="Times New Roman"/>
          <w:color w:val="auto"/>
          <w:sz w:val="24"/>
          <w:highlight w:val="none"/>
        </w:rPr>
        <w:t>。在跟岗实习期间，专业教师适应“互联网+职业教育”新要求，利用现代信息技术开设多门专业网络课程，学生要求选修5门继续学习，做到网络平台学习和跟岗实习紧密结合；在顶岗实习期间，制定了</w:t>
      </w:r>
      <w:r>
        <w:rPr>
          <w:rFonts w:ascii="Times New Roman" w:hAnsi="Times New Roman"/>
          <w:color w:val="auto"/>
          <w:sz w:val="24"/>
          <w:highlight w:val="none"/>
        </w:rPr>
        <w:t>一系列学生顶岗实习的作业文件，包括：《学生顶岗实习协议书》、《顶岗实习任务书》、《兼职教师顶岗实习周记》、《指导教师日志》、《学生实习日志》、《顶岗实习鉴定表》，以这些作业文件内容指导顶岗实习全过程，使顶岗实习教学环节有组织、有计划、有考核，有落实，保证了人才培养方案的顺利实施。</w:t>
      </w:r>
    </w:p>
    <w:p>
      <w:pPr>
        <w:spacing w:line="440" w:lineRule="exact"/>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（5）</w:t>
      </w:r>
      <w:r>
        <w:rPr>
          <w:rFonts w:ascii="Times New Roman" w:hAnsi="Times New Roman"/>
          <w:color w:val="auto"/>
          <w:sz w:val="24"/>
          <w:highlight w:val="none"/>
        </w:rPr>
        <w:t>对学生考核的管理</w:t>
      </w:r>
    </w:p>
    <w:p>
      <w:pPr>
        <w:spacing w:line="360" w:lineRule="auto"/>
        <w:ind w:firstLine="480" w:firstLineChars="200"/>
        <w:rPr>
          <w:rFonts w:ascii="Times New Roman" w:hAnsi="Times New Roman"/>
          <w:color w:val="auto"/>
          <w:sz w:val="24"/>
          <w:highlight w:val="none"/>
        </w:rPr>
      </w:pPr>
      <w:r>
        <w:rPr>
          <w:rFonts w:ascii="Times New Roman" w:hAnsi="Times New Roman"/>
          <w:color w:val="auto"/>
          <w:sz w:val="24"/>
          <w:highlight w:val="none"/>
        </w:rPr>
        <w:t>凡</w:t>
      </w:r>
      <w:r>
        <w:rPr>
          <w:rFonts w:hint="eastAsia" w:ascii="Times New Roman" w:hAnsi="Times New Roman"/>
          <w:color w:val="auto"/>
          <w:sz w:val="24"/>
          <w:highlight w:val="none"/>
        </w:rPr>
        <w:t>是培养方案</w:t>
      </w:r>
      <w:r>
        <w:rPr>
          <w:rFonts w:ascii="Times New Roman" w:hAnsi="Times New Roman"/>
          <w:color w:val="auto"/>
          <w:sz w:val="24"/>
          <w:highlight w:val="none"/>
        </w:rPr>
        <w:t>规定开设的课程都要对学生进行考核</w:t>
      </w:r>
      <w:r>
        <w:rPr>
          <w:rFonts w:hint="eastAsia" w:ascii="Times New Roman" w:hAnsi="Times New Roman"/>
          <w:color w:val="auto"/>
          <w:sz w:val="24"/>
          <w:highlight w:val="none"/>
        </w:rPr>
        <w:t>，严</w:t>
      </w:r>
      <w:r>
        <w:rPr>
          <w:rFonts w:ascii="Times New Roman" w:hAnsi="Times New Roman"/>
          <w:color w:val="auto"/>
          <w:sz w:val="24"/>
          <w:highlight w:val="none"/>
        </w:rPr>
        <w:t>格落实培养目标和培养规格要求，加大过程考核、实践技能考核成绩在课程总成绩中的比重</w:t>
      </w:r>
      <w:r>
        <w:rPr>
          <w:rFonts w:hint="eastAsia" w:ascii="Times New Roman" w:hAnsi="Times New Roman"/>
          <w:color w:val="auto"/>
          <w:sz w:val="24"/>
          <w:highlight w:val="none"/>
        </w:rPr>
        <w:t>，</w:t>
      </w:r>
      <w:r>
        <w:rPr>
          <w:rFonts w:ascii="Times New Roman" w:hAnsi="Times New Roman"/>
          <w:color w:val="auto"/>
          <w:sz w:val="24"/>
          <w:highlight w:val="none"/>
        </w:rPr>
        <w:t>健全多元化考核评价体系，完善学生学习过程监测、评价与反馈机制，引导学生自我管理、主动学习，提高学习效率。强化实习、实训、毕业设计（论文）等实践性教学环节的全过程管理与考核评价。</w:t>
      </w:r>
    </w:p>
    <w:p>
      <w:pPr>
        <w:pStyle w:val="3"/>
        <w:snapToGrid w:val="0"/>
        <w:spacing w:before="0" w:after="0" w:line="360" w:lineRule="auto"/>
        <w:ind w:firstLine="640" w:firstLineChars="200"/>
        <w:rPr>
          <w:rFonts w:ascii="Times New Roman" w:hAnsi="Times New Roman"/>
          <w:b w:val="0"/>
          <w:bCs/>
          <w:color w:val="auto"/>
          <w:highlight w:val="none"/>
        </w:rPr>
      </w:pPr>
      <w:bookmarkStart w:id="85" w:name="_Toc458088739"/>
      <w:bookmarkStart w:id="86" w:name="_Toc23429"/>
      <w:bookmarkStart w:id="87" w:name="_Toc6906"/>
      <w:bookmarkStart w:id="88" w:name="_Toc458089352"/>
      <w:bookmarkStart w:id="89" w:name="_Toc458095097"/>
      <w:bookmarkStart w:id="90" w:name="_Toc361942966"/>
      <w:bookmarkStart w:id="91" w:name="_Toc458088973"/>
      <w:r>
        <w:rPr>
          <w:rFonts w:hint="eastAsia" w:ascii="Times New Roman" w:hAnsi="Times New Roman"/>
          <w:b w:val="0"/>
          <w:bCs/>
          <w:color w:val="auto"/>
          <w:highlight w:val="none"/>
        </w:rPr>
        <w:t>二、双师教学团队建设的保障</w:t>
      </w:r>
      <w:bookmarkEnd w:id="85"/>
      <w:bookmarkEnd w:id="86"/>
      <w:bookmarkEnd w:id="87"/>
      <w:bookmarkEnd w:id="88"/>
      <w:bookmarkEnd w:id="89"/>
      <w:bookmarkEnd w:id="90"/>
      <w:bookmarkEnd w:id="91"/>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bookmarkStart w:id="92" w:name="_Toc13483"/>
      <w:bookmarkStart w:id="93" w:name="_Toc266266414"/>
      <w:bookmarkStart w:id="94" w:name="_Toc6594"/>
      <w:r>
        <w:rPr>
          <w:rFonts w:hint="eastAsia" w:ascii="Times New Roman" w:hAnsi="Times New Roman" w:eastAsia="黑体" w:cs="黑体"/>
          <w:bCs/>
          <w:color w:val="auto"/>
          <w:sz w:val="30"/>
          <w:szCs w:val="30"/>
          <w:highlight w:val="none"/>
          <w:lang w:val="en-US" w:eastAsia="zh-CN"/>
        </w:rPr>
        <w:t>（一）教学团队的结构</w:t>
      </w:r>
      <w:bookmarkEnd w:id="92"/>
      <w:bookmarkEnd w:id="93"/>
      <w:bookmarkEnd w:id="94"/>
    </w:p>
    <w:p>
      <w:pPr>
        <w:spacing w:line="360" w:lineRule="auto"/>
        <w:ind w:firstLine="470" w:firstLineChars="196"/>
        <w:rPr>
          <w:rFonts w:ascii="Times New Roman" w:hAnsi="Times New Roman"/>
          <w:color w:val="auto"/>
          <w:sz w:val="24"/>
          <w:highlight w:val="none"/>
        </w:rPr>
      </w:pPr>
      <w:r>
        <w:rPr>
          <w:rFonts w:hint="eastAsia" w:ascii="Times New Roman" w:hAnsi="Times New Roman"/>
          <w:color w:val="auto"/>
          <w:sz w:val="24"/>
          <w:highlight w:val="none"/>
        </w:rPr>
        <w:t>1</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教学团队的构成</w:t>
      </w:r>
    </w:p>
    <w:p>
      <w:pPr>
        <w:spacing w:line="360" w:lineRule="auto"/>
        <w:ind w:firstLine="460" w:firstLineChars="192"/>
        <w:rPr>
          <w:rFonts w:ascii="Times New Roman" w:hAnsi="Times New Roman"/>
          <w:color w:val="auto"/>
          <w:sz w:val="24"/>
          <w:highlight w:val="none"/>
        </w:rPr>
      </w:pPr>
      <w:bookmarkStart w:id="95" w:name="_Toc265790477"/>
      <w:r>
        <w:rPr>
          <w:rFonts w:hint="eastAsia" w:ascii="Times New Roman" w:hAnsi="Times New Roman"/>
          <w:color w:val="auto"/>
          <w:sz w:val="24"/>
          <w:highlight w:val="none"/>
        </w:rPr>
        <w:t>本专业的教学团队由本院专任教师和企业兼职教师共同构成。</w:t>
      </w:r>
      <w:bookmarkEnd w:id="95"/>
    </w:p>
    <w:p>
      <w:pPr>
        <w:spacing w:line="360" w:lineRule="auto"/>
        <w:ind w:firstLine="470" w:firstLineChars="196"/>
        <w:rPr>
          <w:rFonts w:ascii="Times New Roman" w:hAnsi="Times New Roman"/>
          <w:color w:val="auto"/>
          <w:sz w:val="24"/>
          <w:highlight w:val="none"/>
        </w:rPr>
      </w:pPr>
      <w:r>
        <w:rPr>
          <w:rFonts w:hint="eastAsia" w:ascii="Times New Roman" w:hAnsi="Times New Roman"/>
          <w:color w:val="auto"/>
          <w:sz w:val="24"/>
          <w:highlight w:val="none"/>
        </w:rPr>
        <w:t>（1）</w:t>
      </w:r>
      <w:r>
        <w:rPr>
          <w:rFonts w:ascii="Times New Roman" w:hAnsi="Times New Roman"/>
          <w:color w:val="auto"/>
          <w:sz w:val="24"/>
          <w:highlight w:val="none"/>
        </w:rPr>
        <w:t>校内专任教师</w:t>
      </w:r>
    </w:p>
    <w:p>
      <w:pPr>
        <w:spacing w:line="360" w:lineRule="auto"/>
        <w:ind w:firstLine="480" w:firstLineChars="200"/>
        <w:rPr>
          <w:rFonts w:ascii="Times New Roman" w:hAnsi="Times New Roman"/>
          <w:bCs/>
          <w:color w:val="auto"/>
          <w:sz w:val="24"/>
          <w:highlight w:val="none"/>
        </w:rPr>
      </w:pPr>
      <w:r>
        <w:rPr>
          <w:rFonts w:hint="eastAsia" w:ascii="Times New Roman" w:hAnsi="Times New Roman"/>
          <w:color w:val="auto"/>
          <w:sz w:val="24"/>
          <w:highlight w:val="none"/>
        </w:rPr>
        <w:t>本</w:t>
      </w:r>
      <w:r>
        <w:rPr>
          <w:rFonts w:ascii="Times New Roman" w:hAnsi="Times New Roman"/>
          <w:color w:val="auto"/>
          <w:sz w:val="24"/>
          <w:highlight w:val="none"/>
        </w:rPr>
        <w:t>专业师资力量比较雄厚</w:t>
      </w:r>
      <w:r>
        <w:rPr>
          <w:rFonts w:hint="eastAsia" w:ascii="Times New Roman" w:hAnsi="Times New Roman"/>
          <w:color w:val="auto"/>
          <w:sz w:val="24"/>
          <w:highlight w:val="none"/>
        </w:rPr>
        <w:t>，共配有专任教师11名，其中，具有教授1人，副教授3人，专任教师中高职称比例36.4%；</w:t>
      </w:r>
      <w:r>
        <w:rPr>
          <w:rFonts w:ascii="Times New Roman" w:hAnsi="Times New Roman"/>
          <w:color w:val="auto"/>
          <w:sz w:val="24"/>
          <w:highlight w:val="none"/>
        </w:rPr>
        <w:t>专任核心课程教师</w:t>
      </w:r>
      <w:r>
        <w:rPr>
          <w:rFonts w:hint="eastAsia" w:ascii="Times New Roman" w:hAnsi="Times New Roman"/>
          <w:color w:val="auto"/>
          <w:sz w:val="24"/>
          <w:highlight w:val="none"/>
        </w:rPr>
        <w:t>5</w:t>
      </w:r>
      <w:r>
        <w:rPr>
          <w:rFonts w:ascii="Times New Roman" w:hAnsi="Times New Roman"/>
          <w:color w:val="auto"/>
          <w:sz w:val="24"/>
          <w:highlight w:val="none"/>
        </w:rPr>
        <w:t>名，</w:t>
      </w:r>
      <w:r>
        <w:rPr>
          <w:rFonts w:hint="eastAsia" w:ascii="Times New Roman" w:hAnsi="Times New Roman"/>
          <w:color w:val="auto"/>
          <w:sz w:val="24"/>
          <w:highlight w:val="none"/>
        </w:rPr>
        <w:t>其中1</w:t>
      </w:r>
      <w:r>
        <w:rPr>
          <w:rFonts w:ascii="Times New Roman" w:hAnsi="Times New Roman"/>
          <w:color w:val="auto"/>
          <w:sz w:val="24"/>
          <w:highlight w:val="none"/>
        </w:rPr>
        <w:t>名专业带头人、</w:t>
      </w:r>
      <w:r>
        <w:rPr>
          <w:rFonts w:hint="eastAsia" w:ascii="Times New Roman" w:hAnsi="Times New Roman"/>
          <w:color w:val="auto"/>
          <w:sz w:val="24"/>
          <w:highlight w:val="none"/>
        </w:rPr>
        <w:t xml:space="preserve">  4</w:t>
      </w:r>
      <w:r>
        <w:rPr>
          <w:rFonts w:ascii="Times New Roman" w:hAnsi="Times New Roman"/>
          <w:color w:val="auto"/>
          <w:sz w:val="24"/>
          <w:highlight w:val="none"/>
        </w:rPr>
        <w:t>名</w:t>
      </w:r>
      <w:r>
        <w:rPr>
          <w:rFonts w:hint="eastAsia" w:ascii="Times New Roman" w:hAnsi="Times New Roman"/>
          <w:color w:val="auto"/>
          <w:sz w:val="24"/>
          <w:highlight w:val="none"/>
        </w:rPr>
        <w:t>专业</w:t>
      </w:r>
      <w:r>
        <w:rPr>
          <w:rFonts w:ascii="Times New Roman" w:hAnsi="Times New Roman"/>
          <w:color w:val="auto"/>
          <w:sz w:val="24"/>
          <w:highlight w:val="none"/>
        </w:rPr>
        <w:t>骨干教师、</w:t>
      </w:r>
      <w:r>
        <w:rPr>
          <w:rFonts w:hint="eastAsia" w:ascii="Times New Roman" w:hAnsi="Times New Roman"/>
          <w:color w:val="auto"/>
          <w:sz w:val="24"/>
          <w:highlight w:val="none"/>
        </w:rPr>
        <w:t>11</w:t>
      </w:r>
      <w:r>
        <w:rPr>
          <w:rFonts w:ascii="Times New Roman" w:hAnsi="Times New Roman"/>
          <w:color w:val="auto"/>
          <w:sz w:val="24"/>
          <w:highlight w:val="none"/>
        </w:rPr>
        <w:t>名“双师”素质教师</w:t>
      </w:r>
      <w:r>
        <w:rPr>
          <w:rFonts w:hint="eastAsia" w:ascii="Times New Roman" w:hAnsi="Times New Roman"/>
          <w:color w:val="auto"/>
          <w:sz w:val="24"/>
          <w:highlight w:val="none"/>
        </w:rPr>
        <w:t>，在</w:t>
      </w:r>
      <w:r>
        <w:rPr>
          <w:rFonts w:ascii="Times New Roman" w:hAnsi="Times New Roman"/>
          <w:color w:val="auto"/>
          <w:sz w:val="24"/>
          <w:highlight w:val="none"/>
        </w:rPr>
        <w:t>专任核心课程</w:t>
      </w:r>
      <w:r>
        <w:rPr>
          <w:rFonts w:hint="eastAsia" w:ascii="Times New Roman" w:hAnsi="Times New Roman"/>
          <w:color w:val="auto"/>
          <w:sz w:val="24"/>
          <w:highlight w:val="none"/>
        </w:rPr>
        <w:t>中双师型教师比例为100%；青年教师</w:t>
      </w:r>
      <w:r>
        <w:rPr>
          <w:rFonts w:ascii="Times New Roman" w:hAnsi="Times New Roman"/>
          <w:color w:val="auto"/>
          <w:sz w:val="24"/>
          <w:highlight w:val="none"/>
        </w:rPr>
        <w:t>均为研究生学历</w:t>
      </w:r>
      <w:r>
        <w:rPr>
          <w:rFonts w:hint="eastAsia" w:ascii="Times New Roman" w:hAnsi="Times New Roman"/>
          <w:color w:val="auto"/>
          <w:sz w:val="24"/>
          <w:highlight w:val="none"/>
        </w:rPr>
        <w:t>，其中，博士3人，硕士8人；本团队是一支年龄、职称、及学历结构合理，理论与实践水平较高，责任心强的团队。</w:t>
      </w:r>
    </w:p>
    <w:p>
      <w:pPr>
        <w:spacing w:line="360" w:lineRule="auto"/>
        <w:jc w:val="center"/>
        <w:rPr>
          <w:rFonts w:ascii="Times New Roman" w:hAnsi="Times New Roman"/>
          <w:bCs/>
          <w:color w:val="auto"/>
          <w:sz w:val="24"/>
          <w:highlight w:val="none"/>
        </w:rPr>
      </w:pPr>
      <w:r>
        <w:rPr>
          <w:rFonts w:hint="eastAsia" w:ascii="Times New Roman" w:hAnsi="Times New Roman"/>
          <w:bCs/>
          <w:color w:val="auto"/>
          <w:sz w:val="24"/>
          <w:highlight w:val="none"/>
        </w:rPr>
        <w:t>表5.2   校内主要专任教师配置情况</w:t>
      </w:r>
    </w:p>
    <w:tbl>
      <w:tblPr>
        <w:tblStyle w:val="15"/>
        <w:tblW w:w="852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47"/>
        <w:gridCol w:w="1385"/>
        <w:gridCol w:w="745"/>
        <w:gridCol w:w="2355"/>
        <w:gridCol w:w="755"/>
        <w:gridCol w:w="1712"/>
        <w:gridCol w:w="72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0" w:hRule="atLeast"/>
          <w:jc w:val="center"/>
        </w:trPr>
        <w:tc>
          <w:tcPr>
            <w:tcW w:w="847"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姓名</w:t>
            </w:r>
          </w:p>
        </w:tc>
        <w:tc>
          <w:tcPr>
            <w:tcW w:w="138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学历/学位</w:t>
            </w:r>
          </w:p>
        </w:tc>
        <w:tc>
          <w:tcPr>
            <w:tcW w:w="74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职称</w:t>
            </w:r>
          </w:p>
        </w:tc>
        <w:tc>
          <w:tcPr>
            <w:tcW w:w="23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职业资格证书</w:t>
            </w:r>
          </w:p>
        </w:tc>
        <w:tc>
          <w:tcPr>
            <w:tcW w:w="7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专业</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方向</w:t>
            </w:r>
          </w:p>
        </w:tc>
        <w:tc>
          <w:tcPr>
            <w:tcW w:w="1712"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承担教学任务</w:t>
            </w:r>
          </w:p>
        </w:tc>
        <w:tc>
          <w:tcPr>
            <w:tcW w:w="723"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kern w:val="0"/>
                <w:szCs w:val="21"/>
                <w:highlight w:val="none"/>
              </w:rPr>
              <w:t>吉晋兰</w:t>
            </w:r>
          </w:p>
        </w:tc>
        <w:tc>
          <w:tcPr>
            <w:tcW w:w="138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szCs w:val="21"/>
                <w:highlight w:val="none"/>
              </w:rPr>
              <w:t>博士研究生/博士学位</w:t>
            </w:r>
          </w:p>
        </w:tc>
        <w:tc>
          <w:tcPr>
            <w:tcW w:w="74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kern w:val="0"/>
                <w:szCs w:val="21"/>
                <w:highlight w:val="none"/>
              </w:rPr>
              <w:t>教授</w:t>
            </w:r>
          </w:p>
        </w:tc>
        <w:tc>
          <w:tcPr>
            <w:tcW w:w="23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化学检验工一级、</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化妆品配制工三级</w:t>
            </w:r>
          </w:p>
        </w:tc>
        <w:tc>
          <w:tcPr>
            <w:tcW w:w="755" w:type="dxa"/>
            <w:noWrap/>
            <w:vAlign w:val="center"/>
          </w:tcPr>
          <w:p>
            <w:pPr>
              <w:pStyle w:val="22"/>
              <w:spacing w:line="300" w:lineRule="exact"/>
              <w:ind w:firstLine="0" w:firstLineChars="0"/>
              <w:jc w:val="center"/>
              <w:rPr>
                <w:rFonts w:ascii="Times New Roman" w:hAnsi="Times New Roman"/>
                <w:color w:val="auto"/>
                <w:szCs w:val="21"/>
                <w:highlight w:val="none"/>
              </w:rPr>
            </w:pPr>
            <w:r>
              <w:rPr>
                <w:rFonts w:hint="eastAsia" w:ascii="Times New Roman" w:hAnsi="Times New Roman"/>
                <w:color w:val="auto"/>
                <w:szCs w:val="21"/>
                <w:highlight w:val="none"/>
              </w:rPr>
              <w:t>环境</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szCs w:val="21"/>
                <w:highlight w:val="none"/>
              </w:rPr>
              <w:t>化学</w:t>
            </w:r>
          </w:p>
        </w:tc>
        <w:tc>
          <w:tcPr>
            <w:tcW w:w="1712" w:type="dxa"/>
            <w:noWrap/>
            <w:vAlign w:val="center"/>
          </w:tcPr>
          <w:p>
            <w:pPr>
              <w:widowControl/>
              <w:spacing w:line="350" w:lineRule="atLeast"/>
              <w:jc w:val="center"/>
              <w:textAlignment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化工安全与环保</w:t>
            </w:r>
          </w:p>
          <w:p>
            <w:pPr>
              <w:widowControl/>
              <w:spacing w:line="350" w:lineRule="atLeast"/>
              <w:jc w:val="center"/>
              <w:textAlignment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煤化工工艺学</w:t>
            </w:r>
          </w:p>
        </w:tc>
        <w:tc>
          <w:tcPr>
            <w:tcW w:w="723"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2"/>
              <w:spacing w:line="300" w:lineRule="exact"/>
              <w:ind w:firstLine="0" w:firstLineChars="0"/>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牛学丽</w:t>
            </w:r>
          </w:p>
        </w:tc>
        <w:tc>
          <w:tcPr>
            <w:tcW w:w="138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szCs w:val="21"/>
                <w:highlight w:val="none"/>
              </w:rPr>
              <w:t>博士研究生/博士学位</w:t>
            </w:r>
          </w:p>
        </w:tc>
        <w:tc>
          <w:tcPr>
            <w:tcW w:w="74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kern w:val="0"/>
                <w:szCs w:val="21"/>
                <w:highlight w:val="none"/>
              </w:rPr>
              <w:t>副教授</w:t>
            </w:r>
          </w:p>
        </w:tc>
        <w:tc>
          <w:tcPr>
            <w:tcW w:w="23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尿素合成工考评员证、</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化工总控工高级技师证</w:t>
            </w:r>
          </w:p>
        </w:tc>
        <w:tc>
          <w:tcPr>
            <w:tcW w:w="7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有机化学</w:t>
            </w:r>
          </w:p>
        </w:tc>
        <w:tc>
          <w:tcPr>
            <w:tcW w:w="1712" w:type="dxa"/>
            <w:noWrap/>
            <w:vAlign w:val="center"/>
          </w:tcPr>
          <w:p>
            <w:pPr>
              <w:pStyle w:val="22"/>
              <w:spacing w:line="300" w:lineRule="exact"/>
              <w:ind w:firstLine="420"/>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有机化学</w:t>
            </w:r>
          </w:p>
          <w:p>
            <w:pPr>
              <w:pStyle w:val="22"/>
              <w:spacing w:line="300" w:lineRule="exact"/>
              <w:ind w:firstLine="420"/>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仪器分析</w:t>
            </w:r>
          </w:p>
        </w:tc>
        <w:tc>
          <w:tcPr>
            <w:tcW w:w="723"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席琦</w:t>
            </w:r>
          </w:p>
        </w:tc>
        <w:tc>
          <w:tcPr>
            <w:tcW w:w="138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kern w:val="0"/>
                <w:szCs w:val="21"/>
                <w:highlight w:val="none"/>
              </w:rPr>
              <w:t>本科/硕士</w:t>
            </w:r>
          </w:p>
        </w:tc>
        <w:tc>
          <w:tcPr>
            <w:tcW w:w="74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kern w:val="0"/>
                <w:szCs w:val="21"/>
                <w:highlight w:val="none"/>
              </w:rPr>
              <w:t>副教授</w:t>
            </w:r>
          </w:p>
        </w:tc>
        <w:tc>
          <w:tcPr>
            <w:tcW w:w="23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尿素合成工考评员证、</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化工总控工高级技师证</w:t>
            </w:r>
          </w:p>
        </w:tc>
        <w:tc>
          <w:tcPr>
            <w:tcW w:w="7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化学</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教育</w:t>
            </w:r>
          </w:p>
        </w:tc>
        <w:tc>
          <w:tcPr>
            <w:tcW w:w="1712"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无机及分析化学</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化工文献检索</w:t>
            </w:r>
          </w:p>
        </w:tc>
        <w:tc>
          <w:tcPr>
            <w:tcW w:w="723"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kern w:val="0"/>
                <w:szCs w:val="21"/>
                <w:highlight w:val="none"/>
              </w:rPr>
              <w:t>苗海霞</w:t>
            </w:r>
          </w:p>
        </w:tc>
        <w:tc>
          <w:tcPr>
            <w:tcW w:w="138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szCs w:val="21"/>
                <w:highlight w:val="none"/>
              </w:rPr>
              <w:t>博士研究生/博士学位</w:t>
            </w:r>
          </w:p>
        </w:tc>
        <w:tc>
          <w:tcPr>
            <w:tcW w:w="74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副教授</w:t>
            </w:r>
          </w:p>
        </w:tc>
        <w:tc>
          <w:tcPr>
            <w:tcW w:w="23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尿素合成工考评员证、</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化工总控工高级技师证</w:t>
            </w:r>
          </w:p>
        </w:tc>
        <w:tc>
          <w:tcPr>
            <w:tcW w:w="7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kern w:val="0"/>
                <w:szCs w:val="21"/>
                <w:highlight w:val="none"/>
              </w:rPr>
              <w:t>化学工程</w:t>
            </w:r>
          </w:p>
        </w:tc>
        <w:tc>
          <w:tcPr>
            <w:tcW w:w="1712" w:type="dxa"/>
            <w:noWrap/>
            <w:vAlign w:val="center"/>
          </w:tcPr>
          <w:p>
            <w:pPr>
              <w:pStyle w:val="22"/>
              <w:spacing w:line="300" w:lineRule="exact"/>
              <w:ind w:firstLine="0" w:firstLineChars="0"/>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化工设备基础</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无机化工</w:t>
            </w:r>
          </w:p>
        </w:tc>
        <w:tc>
          <w:tcPr>
            <w:tcW w:w="723" w:type="dxa"/>
            <w:noWrap/>
            <w:vAlign w:val="center"/>
          </w:tcPr>
          <w:p>
            <w:pPr>
              <w:widowControl/>
              <w:spacing w:line="300" w:lineRule="exact"/>
              <w:jc w:val="center"/>
              <w:rPr>
                <w:rFonts w:ascii="Times New Roman" w:hAnsi="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kern w:val="0"/>
                <w:szCs w:val="21"/>
                <w:highlight w:val="none"/>
              </w:rPr>
              <w:t>李沁军</w:t>
            </w:r>
          </w:p>
        </w:tc>
        <w:tc>
          <w:tcPr>
            <w:tcW w:w="138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kern w:val="0"/>
                <w:szCs w:val="21"/>
                <w:highlight w:val="none"/>
              </w:rPr>
              <w:t>本科/学士</w:t>
            </w:r>
          </w:p>
        </w:tc>
        <w:tc>
          <w:tcPr>
            <w:tcW w:w="74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讲师</w:t>
            </w:r>
          </w:p>
        </w:tc>
        <w:tc>
          <w:tcPr>
            <w:tcW w:w="23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尿素合成工考评员证、</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化工总控工高级技师证</w:t>
            </w:r>
          </w:p>
        </w:tc>
        <w:tc>
          <w:tcPr>
            <w:tcW w:w="7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kern w:val="0"/>
                <w:szCs w:val="21"/>
                <w:highlight w:val="none"/>
              </w:rPr>
              <w:t>化学工程</w:t>
            </w:r>
          </w:p>
        </w:tc>
        <w:tc>
          <w:tcPr>
            <w:tcW w:w="1712"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化工仪表</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化工设备基础</w:t>
            </w:r>
          </w:p>
        </w:tc>
        <w:tc>
          <w:tcPr>
            <w:tcW w:w="723"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耿长青</w:t>
            </w:r>
          </w:p>
        </w:tc>
        <w:tc>
          <w:tcPr>
            <w:tcW w:w="138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szCs w:val="21"/>
                <w:highlight w:val="none"/>
              </w:rPr>
              <w:t>硕士研究生/硕士学位</w:t>
            </w:r>
          </w:p>
        </w:tc>
        <w:tc>
          <w:tcPr>
            <w:tcW w:w="74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讲师</w:t>
            </w:r>
          </w:p>
        </w:tc>
        <w:tc>
          <w:tcPr>
            <w:tcW w:w="23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尿素合成工考评员证、</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化工总控工高级技师证</w:t>
            </w:r>
          </w:p>
        </w:tc>
        <w:tc>
          <w:tcPr>
            <w:tcW w:w="7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应用化工</w:t>
            </w:r>
          </w:p>
        </w:tc>
        <w:tc>
          <w:tcPr>
            <w:tcW w:w="1712"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工业分析</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化工制图</w:t>
            </w:r>
          </w:p>
        </w:tc>
        <w:tc>
          <w:tcPr>
            <w:tcW w:w="723"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szCs w:val="21"/>
                <w:highlight w:val="none"/>
              </w:rPr>
              <w:t>王艳芬</w:t>
            </w:r>
          </w:p>
        </w:tc>
        <w:tc>
          <w:tcPr>
            <w:tcW w:w="138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szCs w:val="21"/>
                <w:highlight w:val="none"/>
              </w:rPr>
              <w:t>硕士研究生/硕士学位</w:t>
            </w:r>
          </w:p>
        </w:tc>
        <w:tc>
          <w:tcPr>
            <w:tcW w:w="74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讲师</w:t>
            </w:r>
          </w:p>
        </w:tc>
        <w:tc>
          <w:tcPr>
            <w:tcW w:w="23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尿素合成工考评员证、</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化工总控工高级技师证</w:t>
            </w:r>
          </w:p>
        </w:tc>
        <w:tc>
          <w:tcPr>
            <w:tcW w:w="7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物理</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化学</w:t>
            </w:r>
          </w:p>
        </w:tc>
        <w:tc>
          <w:tcPr>
            <w:tcW w:w="1712" w:type="dxa"/>
            <w:noWrap/>
            <w:vAlign w:val="center"/>
          </w:tcPr>
          <w:p>
            <w:pPr>
              <w:pStyle w:val="22"/>
              <w:spacing w:line="300" w:lineRule="exact"/>
              <w:ind w:firstLine="0" w:firstLineChars="0"/>
              <w:jc w:val="center"/>
              <w:rPr>
                <w:rFonts w:ascii="Times New Roman" w:hAnsi="Times New Roman"/>
                <w:color w:val="auto"/>
                <w:szCs w:val="21"/>
                <w:highlight w:val="none"/>
              </w:rPr>
            </w:pPr>
            <w:r>
              <w:rPr>
                <w:rFonts w:hint="eastAsia" w:ascii="Times New Roman" w:hAnsi="Times New Roman"/>
                <w:color w:val="auto"/>
                <w:szCs w:val="21"/>
                <w:highlight w:val="none"/>
              </w:rPr>
              <w:t>分析化学实验</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szCs w:val="21"/>
                <w:highlight w:val="none"/>
              </w:rPr>
              <w:t>化工产品检验</w:t>
            </w:r>
          </w:p>
        </w:tc>
        <w:tc>
          <w:tcPr>
            <w:tcW w:w="723"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szCs w:val="21"/>
                <w:highlight w:val="none"/>
              </w:rPr>
              <w:t>李晋国</w:t>
            </w:r>
          </w:p>
        </w:tc>
        <w:tc>
          <w:tcPr>
            <w:tcW w:w="138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kern w:val="0"/>
                <w:szCs w:val="21"/>
                <w:highlight w:val="none"/>
              </w:rPr>
              <w:t>本科/硕士</w:t>
            </w:r>
          </w:p>
        </w:tc>
        <w:tc>
          <w:tcPr>
            <w:tcW w:w="74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讲师</w:t>
            </w:r>
          </w:p>
        </w:tc>
        <w:tc>
          <w:tcPr>
            <w:tcW w:w="23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尿素合成工考评员证、</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化工总控工高级技师证</w:t>
            </w:r>
          </w:p>
        </w:tc>
        <w:tc>
          <w:tcPr>
            <w:tcW w:w="7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化学教育</w:t>
            </w:r>
          </w:p>
        </w:tc>
        <w:tc>
          <w:tcPr>
            <w:tcW w:w="1712"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有机化学</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基础化学</w:t>
            </w:r>
          </w:p>
        </w:tc>
        <w:tc>
          <w:tcPr>
            <w:tcW w:w="723"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szCs w:val="21"/>
                <w:highlight w:val="none"/>
              </w:rPr>
              <w:t>张丽娜</w:t>
            </w:r>
          </w:p>
        </w:tc>
        <w:tc>
          <w:tcPr>
            <w:tcW w:w="138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szCs w:val="21"/>
                <w:highlight w:val="none"/>
              </w:rPr>
              <w:t>硕士研究生/硕士学位</w:t>
            </w:r>
          </w:p>
        </w:tc>
        <w:tc>
          <w:tcPr>
            <w:tcW w:w="74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讲师</w:t>
            </w:r>
          </w:p>
        </w:tc>
        <w:tc>
          <w:tcPr>
            <w:tcW w:w="23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尿素合成工考评员证、</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化工总控工高级技师证</w:t>
            </w:r>
          </w:p>
        </w:tc>
        <w:tc>
          <w:tcPr>
            <w:tcW w:w="7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无机化工</w:t>
            </w:r>
          </w:p>
        </w:tc>
        <w:tc>
          <w:tcPr>
            <w:tcW w:w="1712"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煤化工工艺学</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化工制图</w:t>
            </w:r>
          </w:p>
        </w:tc>
        <w:tc>
          <w:tcPr>
            <w:tcW w:w="723"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47"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杨艳梅</w:t>
            </w:r>
          </w:p>
        </w:tc>
        <w:tc>
          <w:tcPr>
            <w:tcW w:w="138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olor w:val="auto"/>
                <w:szCs w:val="21"/>
                <w:highlight w:val="none"/>
              </w:rPr>
              <w:t>硕士研究生/硕士学位</w:t>
            </w:r>
          </w:p>
        </w:tc>
        <w:tc>
          <w:tcPr>
            <w:tcW w:w="74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助教</w:t>
            </w:r>
          </w:p>
        </w:tc>
        <w:tc>
          <w:tcPr>
            <w:tcW w:w="23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化工检验工三级</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化妆品配制工三级</w:t>
            </w:r>
          </w:p>
        </w:tc>
        <w:tc>
          <w:tcPr>
            <w:tcW w:w="755"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化学工程</w:t>
            </w:r>
          </w:p>
        </w:tc>
        <w:tc>
          <w:tcPr>
            <w:tcW w:w="1712"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化工单元操作</w:t>
            </w:r>
          </w:p>
        </w:tc>
        <w:tc>
          <w:tcPr>
            <w:tcW w:w="723" w:type="dxa"/>
            <w:noWrap/>
            <w:vAlign w:val="center"/>
          </w:tcPr>
          <w:p>
            <w:pPr>
              <w:pStyle w:val="22"/>
              <w:spacing w:line="300" w:lineRule="exact"/>
              <w:ind w:firstLine="0" w:firstLineChars="0"/>
              <w:jc w:val="center"/>
              <w:rPr>
                <w:rFonts w:ascii="Times New Roman" w:hAnsi="Times New Roman" w:cs="Times New Roman"/>
                <w:color w:val="auto"/>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6" w:hRule="atLeast"/>
          <w:jc w:val="center"/>
        </w:trPr>
        <w:tc>
          <w:tcPr>
            <w:tcW w:w="847" w:type="dxa"/>
            <w:tcBorders>
              <w:bottom w:val="single" w:color="auto" w:sz="4" w:space="0"/>
            </w:tcBorders>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毛倩</w:t>
            </w:r>
          </w:p>
        </w:tc>
        <w:tc>
          <w:tcPr>
            <w:tcW w:w="1385" w:type="dxa"/>
            <w:tcBorders>
              <w:bottom w:val="single" w:color="auto" w:sz="4" w:space="0"/>
            </w:tcBorders>
            <w:noWrap/>
            <w:vAlign w:val="center"/>
          </w:tcPr>
          <w:p>
            <w:pPr>
              <w:pStyle w:val="22"/>
              <w:spacing w:line="300" w:lineRule="exact"/>
              <w:ind w:firstLine="0" w:firstLineChars="0"/>
              <w:jc w:val="center"/>
              <w:rPr>
                <w:rFonts w:ascii="Times New Roman" w:hAnsi="Times New Roman"/>
                <w:color w:val="auto"/>
                <w:szCs w:val="21"/>
                <w:highlight w:val="none"/>
              </w:rPr>
            </w:pPr>
            <w:r>
              <w:rPr>
                <w:rFonts w:hint="eastAsia" w:ascii="Times New Roman" w:hAnsi="Times New Roman"/>
                <w:color w:val="auto"/>
                <w:szCs w:val="21"/>
                <w:highlight w:val="none"/>
              </w:rPr>
              <w:t>硕士研究生/硕士学位</w:t>
            </w:r>
          </w:p>
        </w:tc>
        <w:tc>
          <w:tcPr>
            <w:tcW w:w="745" w:type="dxa"/>
            <w:tcBorders>
              <w:bottom w:val="single" w:color="auto" w:sz="4" w:space="0"/>
            </w:tcBorders>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助教</w:t>
            </w:r>
          </w:p>
        </w:tc>
        <w:tc>
          <w:tcPr>
            <w:tcW w:w="2355" w:type="dxa"/>
            <w:tcBorders>
              <w:bottom w:val="single" w:color="auto" w:sz="4" w:space="0"/>
            </w:tcBorders>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化工检验工三级</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化妆品配制工三级</w:t>
            </w:r>
          </w:p>
        </w:tc>
        <w:tc>
          <w:tcPr>
            <w:tcW w:w="755" w:type="dxa"/>
            <w:tcBorders>
              <w:bottom w:val="single" w:color="auto" w:sz="4" w:space="0"/>
            </w:tcBorders>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物理化学</w:t>
            </w:r>
          </w:p>
        </w:tc>
        <w:tc>
          <w:tcPr>
            <w:tcW w:w="1712" w:type="dxa"/>
            <w:tcBorders>
              <w:bottom w:val="single" w:color="auto" w:sz="4" w:space="0"/>
            </w:tcBorders>
            <w:noWrap/>
            <w:vAlign w:val="center"/>
          </w:tcPr>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化工安全与环保</w:t>
            </w:r>
          </w:p>
          <w:p>
            <w:pPr>
              <w:pStyle w:val="22"/>
              <w:spacing w:line="30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化工产品检验</w:t>
            </w:r>
          </w:p>
        </w:tc>
        <w:tc>
          <w:tcPr>
            <w:tcW w:w="723" w:type="dxa"/>
            <w:tcBorders>
              <w:bottom w:val="single" w:color="auto" w:sz="4" w:space="0"/>
            </w:tcBorders>
            <w:noWrap/>
            <w:vAlign w:val="center"/>
          </w:tcPr>
          <w:p>
            <w:pPr>
              <w:pStyle w:val="22"/>
              <w:spacing w:line="300" w:lineRule="exact"/>
              <w:ind w:firstLine="0" w:firstLineChars="0"/>
              <w:jc w:val="center"/>
              <w:rPr>
                <w:rFonts w:ascii="Times New Roman" w:hAnsi="Times New Roman" w:cs="Times New Roman"/>
                <w:color w:val="auto"/>
                <w:szCs w:val="21"/>
                <w:highlight w:val="none"/>
              </w:rPr>
            </w:pPr>
          </w:p>
          <w:p>
            <w:pPr>
              <w:pStyle w:val="22"/>
              <w:spacing w:line="300" w:lineRule="exact"/>
              <w:ind w:firstLine="0" w:firstLineChars="0"/>
              <w:rPr>
                <w:rFonts w:ascii="Times New Roman" w:hAnsi="Times New Roman" w:cs="Times New Roman"/>
                <w:color w:val="auto"/>
                <w:szCs w:val="21"/>
                <w:highlight w:val="none"/>
              </w:rPr>
            </w:pPr>
          </w:p>
        </w:tc>
      </w:tr>
    </w:tbl>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（2）兼职教师</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本专业</w:t>
      </w:r>
      <w:r>
        <w:rPr>
          <w:rFonts w:ascii="Times New Roman" w:hAnsi="Times New Roman"/>
          <w:color w:val="auto"/>
          <w:sz w:val="24"/>
          <w:highlight w:val="none"/>
        </w:rPr>
        <w:t>从行业企业聘请有</w:t>
      </w:r>
      <w:r>
        <w:rPr>
          <w:rFonts w:hint="eastAsia" w:ascii="Times New Roman" w:hAnsi="Times New Roman"/>
          <w:color w:val="auto"/>
          <w:sz w:val="24"/>
          <w:highlight w:val="none"/>
        </w:rPr>
        <w:t>6</w:t>
      </w:r>
      <w:r>
        <w:rPr>
          <w:rFonts w:ascii="Times New Roman" w:hAnsi="Times New Roman"/>
          <w:color w:val="auto"/>
          <w:sz w:val="24"/>
          <w:highlight w:val="none"/>
        </w:rPr>
        <w:t>名既有一定理论水平又有丰富实践经验的技术人员兼职教师，</w:t>
      </w:r>
      <w:r>
        <w:rPr>
          <w:rFonts w:hint="eastAsia" w:ascii="Times New Roman" w:hAnsi="Times New Roman"/>
          <w:color w:val="auto"/>
          <w:sz w:val="24"/>
          <w:highlight w:val="none"/>
        </w:rPr>
        <w:t>这些兼职教师不仅要</w:t>
      </w:r>
      <w:r>
        <w:rPr>
          <w:rFonts w:ascii="Times New Roman" w:hAnsi="Times New Roman"/>
          <w:color w:val="auto"/>
          <w:sz w:val="24"/>
          <w:highlight w:val="none"/>
        </w:rPr>
        <w:t>参与</w:t>
      </w:r>
      <w:r>
        <w:rPr>
          <w:rFonts w:hint="eastAsia" w:ascii="Times New Roman" w:hAnsi="Times New Roman"/>
          <w:color w:val="auto"/>
          <w:sz w:val="24"/>
          <w:highlight w:val="none"/>
        </w:rPr>
        <w:t>人才</w:t>
      </w:r>
      <w:r>
        <w:rPr>
          <w:rFonts w:ascii="Times New Roman" w:hAnsi="Times New Roman"/>
          <w:color w:val="auto"/>
          <w:sz w:val="24"/>
          <w:highlight w:val="none"/>
        </w:rPr>
        <w:t>培养方案</w:t>
      </w:r>
      <w:r>
        <w:rPr>
          <w:rFonts w:hint="eastAsia" w:ascii="Times New Roman" w:hAnsi="Times New Roman"/>
          <w:color w:val="auto"/>
          <w:sz w:val="24"/>
          <w:highlight w:val="none"/>
        </w:rPr>
        <w:t>的制定与修订</w:t>
      </w:r>
      <w:r>
        <w:rPr>
          <w:rFonts w:ascii="Times New Roman" w:hAnsi="Times New Roman"/>
          <w:color w:val="auto"/>
          <w:sz w:val="24"/>
          <w:highlight w:val="none"/>
        </w:rPr>
        <w:t>、课程体系</w:t>
      </w:r>
      <w:r>
        <w:rPr>
          <w:rFonts w:hint="eastAsia" w:ascii="Times New Roman" w:hAnsi="Times New Roman"/>
          <w:color w:val="auto"/>
          <w:sz w:val="24"/>
          <w:highlight w:val="none"/>
        </w:rPr>
        <w:t>的开发</w:t>
      </w:r>
      <w:r>
        <w:rPr>
          <w:rFonts w:ascii="Times New Roman" w:hAnsi="Times New Roman"/>
          <w:color w:val="auto"/>
          <w:sz w:val="24"/>
          <w:highlight w:val="none"/>
        </w:rPr>
        <w:t>、课程标准</w:t>
      </w:r>
      <w:r>
        <w:rPr>
          <w:rFonts w:hint="eastAsia" w:ascii="Times New Roman" w:hAnsi="Times New Roman"/>
          <w:color w:val="auto"/>
          <w:sz w:val="24"/>
          <w:highlight w:val="none"/>
        </w:rPr>
        <w:t>的制定</w:t>
      </w:r>
      <w:r>
        <w:rPr>
          <w:rFonts w:ascii="Times New Roman" w:hAnsi="Times New Roman"/>
          <w:color w:val="auto"/>
          <w:sz w:val="24"/>
          <w:highlight w:val="none"/>
        </w:rPr>
        <w:t>及教学项目的开发</w:t>
      </w:r>
      <w:r>
        <w:rPr>
          <w:rFonts w:hint="eastAsia" w:ascii="Times New Roman" w:hAnsi="Times New Roman"/>
          <w:color w:val="auto"/>
          <w:sz w:val="24"/>
          <w:highlight w:val="none"/>
        </w:rPr>
        <w:t>，而且要担任大量的</w:t>
      </w:r>
      <w:r>
        <w:rPr>
          <w:rFonts w:ascii="Times New Roman" w:hAnsi="Times New Roman"/>
          <w:color w:val="auto"/>
          <w:sz w:val="24"/>
          <w:highlight w:val="none"/>
        </w:rPr>
        <w:t>实践教学</w:t>
      </w:r>
      <w:r>
        <w:rPr>
          <w:rFonts w:hint="eastAsia" w:ascii="Times New Roman" w:hAnsi="Times New Roman"/>
          <w:color w:val="auto"/>
          <w:sz w:val="24"/>
          <w:highlight w:val="none"/>
        </w:rPr>
        <w:t>工作</w:t>
      </w:r>
      <w:r>
        <w:rPr>
          <w:rFonts w:ascii="Times New Roman" w:hAnsi="Times New Roman"/>
          <w:color w:val="auto"/>
          <w:sz w:val="24"/>
          <w:highlight w:val="none"/>
        </w:rPr>
        <w:t>。</w:t>
      </w:r>
    </w:p>
    <w:p>
      <w:pPr>
        <w:spacing w:line="360" w:lineRule="auto"/>
        <w:jc w:val="center"/>
        <w:rPr>
          <w:rFonts w:ascii="Times New Roman" w:hAnsi="Times New Roman"/>
          <w:bCs/>
          <w:color w:val="auto"/>
          <w:sz w:val="24"/>
          <w:highlight w:val="none"/>
        </w:rPr>
      </w:pPr>
    </w:p>
    <w:p>
      <w:pPr>
        <w:spacing w:line="360" w:lineRule="auto"/>
        <w:jc w:val="center"/>
        <w:rPr>
          <w:rFonts w:ascii="Times New Roman" w:hAnsi="Times New Roman"/>
          <w:bCs/>
          <w:color w:val="auto"/>
          <w:sz w:val="24"/>
          <w:highlight w:val="none"/>
        </w:rPr>
      </w:pPr>
    </w:p>
    <w:p>
      <w:pPr>
        <w:spacing w:line="360" w:lineRule="auto"/>
        <w:jc w:val="center"/>
        <w:rPr>
          <w:rFonts w:ascii="Times New Roman" w:hAnsi="Times New Roman"/>
          <w:bCs/>
          <w:color w:val="auto"/>
          <w:sz w:val="24"/>
          <w:highlight w:val="none"/>
        </w:rPr>
      </w:pPr>
      <w:r>
        <w:rPr>
          <w:rFonts w:hint="eastAsia" w:ascii="Times New Roman" w:hAnsi="Times New Roman"/>
          <w:bCs/>
          <w:color w:val="auto"/>
          <w:sz w:val="24"/>
          <w:highlight w:val="none"/>
        </w:rPr>
        <w:t>表5.3  校外兼职教师配置情况</w:t>
      </w:r>
    </w:p>
    <w:tbl>
      <w:tblPr>
        <w:tblStyle w:val="15"/>
        <w:tblW w:w="85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51"/>
        <w:gridCol w:w="895"/>
        <w:gridCol w:w="2811"/>
        <w:gridCol w:w="1702"/>
        <w:gridCol w:w="246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651" w:type="dxa"/>
            <w:noWrap/>
            <w:vAlign w:val="center"/>
          </w:tcPr>
          <w:p>
            <w:pPr>
              <w:pStyle w:val="22"/>
              <w:spacing w:line="38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序号</w:t>
            </w:r>
          </w:p>
        </w:tc>
        <w:tc>
          <w:tcPr>
            <w:tcW w:w="895" w:type="dxa"/>
            <w:noWrap/>
            <w:vAlign w:val="center"/>
          </w:tcPr>
          <w:p>
            <w:pPr>
              <w:pStyle w:val="22"/>
              <w:spacing w:line="38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姓名</w:t>
            </w:r>
          </w:p>
        </w:tc>
        <w:tc>
          <w:tcPr>
            <w:tcW w:w="2811" w:type="dxa"/>
            <w:noWrap/>
            <w:vAlign w:val="center"/>
          </w:tcPr>
          <w:p>
            <w:pPr>
              <w:pStyle w:val="22"/>
              <w:spacing w:line="38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所在企业</w:t>
            </w:r>
          </w:p>
        </w:tc>
        <w:tc>
          <w:tcPr>
            <w:tcW w:w="1702" w:type="dxa"/>
            <w:noWrap/>
            <w:vAlign w:val="center"/>
          </w:tcPr>
          <w:p>
            <w:pPr>
              <w:pStyle w:val="22"/>
              <w:spacing w:line="38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职务</w:t>
            </w:r>
          </w:p>
        </w:tc>
        <w:tc>
          <w:tcPr>
            <w:tcW w:w="2463" w:type="dxa"/>
            <w:noWrap/>
            <w:vAlign w:val="center"/>
          </w:tcPr>
          <w:p>
            <w:pPr>
              <w:pStyle w:val="22"/>
              <w:spacing w:line="380" w:lineRule="exact"/>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承担教学任务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noWrap/>
            <w:vAlign w:val="center"/>
          </w:tcPr>
          <w:p>
            <w:pPr>
              <w:widowControl/>
              <w:spacing w:line="3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1</w:t>
            </w:r>
          </w:p>
        </w:tc>
        <w:tc>
          <w:tcPr>
            <w:tcW w:w="895"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杨国华</w:t>
            </w:r>
          </w:p>
        </w:tc>
        <w:tc>
          <w:tcPr>
            <w:tcW w:w="2811"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兰花集团</w:t>
            </w:r>
          </w:p>
        </w:tc>
        <w:tc>
          <w:tcPr>
            <w:tcW w:w="1702"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人事处副处长</w:t>
            </w:r>
          </w:p>
        </w:tc>
        <w:tc>
          <w:tcPr>
            <w:tcW w:w="2463" w:type="dxa"/>
            <w:noWrap/>
            <w:vAlign w:val="center"/>
          </w:tcPr>
          <w:p>
            <w:pPr>
              <w:widowControl/>
              <w:spacing w:line="3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学生职业素养培训</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noWrap/>
            <w:vAlign w:val="center"/>
          </w:tcPr>
          <w:p>
            <w:pPr>
              <w:widowControl/>
              <w:spacing w:line="3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2</w:t>
            </w:r>
          </w:p>
        </w:tc>
        <w:tc>
          <w:tcPr>
            <w:tcW w:w="895"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崔进军</w:t>
            </w:r>
          </w:p>
        </w:tc>
        <w:tc>
          <w:tcPr>
            <w:tcW w:w="2811"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山西兰花科创阳化分公司</w:t>
            </w:r>
          </w:p>
        </w:tc>
        <w:tc>
          <w:tcPr>
            <w:tcW w:w="1702"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技术科科长</w:t>
            </w:r>
          </w:p>
        </w:tc>
        <w:tc>
          <w:tcPr>
            <w:tcW w:w="2463" w:type="dxa"/>
            <w:noWrap/>
            <w:vAlign w:val="center"/>
          </w:tcPr>
          <w:p>
            <w:pPr>
              <w:widowControl/>
              <w:spacing w:line="3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典型工艺与设备维护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noWrap/>
            <w:vAlign w:val="center"/>
          </w:tcPr>
          <w:p>
            <w:pPr>
              <w:widowControl/>
              <w:spacing w:line="3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3</w:t>
            </w:r>
          </w:p>
        </w:tc>
        <w:tc>
          <w:tcPr>
            <w:tcW w:w="895"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王维兵</w:t>
            </w:r>
          </w:p>
        </w:tc>
        <w:tc>
          <w:tcPr>
            <w:tcW w:w="2811"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山西兰花科创化肥公司</w:t>
            </w:r>
          </w:p>
        </w:tc>
        <w:tc>
          <w:tcPr>
            <w:tcW w:w="1702"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生产科科长</w:t>
            </w:r>
          </w:p>
        </w:tc>
        <w:tc>
          <w:tcPr>
            <w:tcW w:w="2463" w:type="dxa"/>
            <w:noWrap/>
            <w:vAlign w:val="center"/>
          </w:tcPr>
          <w:p>
            <w:pPr>
              <w:widowControl/>
              <w:spacing w:line="3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尿素合成工艺与设备维护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noWrap/>
            <w:vAlign w:val="center"/>
          </w:tcPr>
          <w:p>
            <w:pPr>
              <w:widowControl/>
              <w:spacing w:line="3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4</w:t>
            </w:r>
          </w:p>
        </w:tc>
        <w:tc>
          <w:tcPr>
            <w:tcW w:w="895"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王波</w:t>
            </w:r>
          </w:p>
        </w:tc>
        <w:tc>
          <w:tcPr>
            <w:tcW w:w="2811"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晋城化肥股份有限公司</w:t>
            </w:r>
          </w:p>
        </w:tc>
        <w:tc>
          <w:tcPr>
            <w:tcW w:w="1702"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人力资源处处长</w:t>
            </w:r>
          </w:p>
        </w:tc>
        <w:tc>
          <w:tcPr>
            <w:tcW w:w="2463" w:type="dxa"/>
            <w:noWrap/>
            <w:vAlign w:val="center"/>
          </w:tcPr>
          <w:p>
            <w:pPr>
              <w:widowControl/>
              <w:spacing w:line="3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企业文化与学生成才途径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noWrap/>
            <w:vAlign w:val="center"/>
          </w:tcPr>
          <w:p>
            <w:pPr>
              <w:widowControl/>
              <w:spacing w:line="3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5</w:t>
            </w:r>
          </w:p>
        </w:tc>
        <w:tc>
          <w:tcPr>
            <w:tcW w:w="895"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刘卫军</w:t>
            </w:r>
          </w:p>
        </w:tc>
        <w:tc>
          <w:tcPr>
            <w:tcW w:w="2811"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兰花科创阳化分公司</w:t>
            </w:r>
          </w:p>
        </w:tc>
        <w:tc>
          <w:tcPr>
            <w:tcW w:w="1702"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工会主席</w:t>
            </w:r>
          </w:p>
        </w:tc>
        <w:tc>
          <w:tcPr>
            <w:tcW w:w="2463" w:type="dxa"/>
            <w:noWrap/>
            <w:vAlign w:val="center"/>
          </w:tcPr>
          <w:p>
            <w:pPr>
              <w:widowControl/>
              <w:spacing w:line="3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企业团队与个人价值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noWrap/>
            <w:vAlign w:val="center"/>
          </w:tcPr>
          <w:p>
            <w:pPr>
              <w:widowControl/>
              <w:spacing w:line="3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6</w:t>
            </w:r>
          </w:p>
        </w:tc>
        <w:tc>
          <w:tcPr>
            <w:tcW w:w="895"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王西栋</w:t>
            </w:r>
          </w:p>
        </w:tc>
        <w:tc>
          <w:tcPr>
            <w:tcW w:w="2811" w:type="dxa"/>
            <w:noWrap/>
            <w:vAlign w:val="center"/>
          </w:tcPr>
          <w:p>
            <w:pPr>
              <w:pStyle w:val="22"/>
              <w:ind w:firstLine="0" w:firstLineChars="0"/>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兰花科创阳化分公司</w:t>
            </w:r>
          </w:p>
        </w:tc>
        <w:tc>
          <w:tcPr>
            <w:tcW w:w="1702" w:type="dxa"/>
            <w:noWrap/>
            <w:vAlign w:val="center"/>
          </w:tcPr>
          <w:p>
            <w:pPr>
              <w:pStyle w:val="22"/>
              <w:ind w:firstLine="0" w:firstLineChars="0"/>
              <w:jc w:val="center"/>
              <w:rPr>
                <w:rFonts w:ascii="Times New Roman" w:hAnsi="Times New Roman"/>
                <w:color w:val="auto"/>
                <w:kern w:val="0"/>
                <w:szCs w:val="21"/>
                <w:highlight w:val="none"/>
              </w:rPr>
            </w:pPr>
            <w:r>
              <w:rPr>
                <w:rFonts w:hint="eastAsia" w:ascii="Times New Roman" w:hAnsi="Times New Roman" w:cs="Times New Roman"/>
                <w:color w:val="auto"/>
                <w:szCs w:val="21"/>
                <w:highlight w:val="none"/>
              </w:rPr>
              <w:t>厂长</w:t>
            </w:r>
          </w:p>
        </w:tc>
        <w:tc>
          <w:tcPr>
            <w:tcW w:w="2463" w:type="dxa"/>
            <w:noWrap/>
            <w:vAlign w:val="center"/>
          </w:tcPr>
          <w:p>
            <w:pPr>
              <w:widowControl/>
              <w:spacing w:line="3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合成氨工艺流程与设备</w:t>
            </w:r>
          </w:p>
        </w:tc>
      </w:tr>
    </w:tbl>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2</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协同教学的组织形式</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（1）教师间的协同</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校内项目教学，校内专任教学主要承担专业知识、基本理论、方法步骤、教学组织等任务，校外兼职教师主要承担实验实训、技能训练、案例分析、工程设计等方面的教学任务，双方共同配合，共同对学生进行教学和评价。</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企业实训实习教学，由校外兼职教师为主，校内专任教师为辅，兼职教师主要承担专项技能训练、项目任务实施、技术服务指导等教学任务，专任教师主要承担实习的组织并配合兼职教师完成实习实训的考核评价。</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（2）学生间的协同</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学生根据项目教学的需要，自愿组成学习小组，分工合作，</w:t>
      </w:r>
      <w:r>
        <w:rPr>
          <w:rFonts w:ascii="Times New Roman" w:hAnsi="Times New Roman"/>
          <w:color w:val="auto"/>
          <w:sz w:val="24"/>
          <w:highlight w:val="none"/>
        </w:rPr>
        <w:t>完成信息收集、制定工作计划、做出决策、任务实施、检查及工作成果评价</w:t>
      </w:r>
      <w:r>
        <w:rPr>
          <w:rFonts w:hint="eastAsia" w:ascii="Times New Roman" w:hAnsi="Times New Roman"/>
          <w:color w:val="auto"/>
          <w:sz w:val="24"/>
          <w:highlight w:val="none"/>
        </w:rPr>
        <w:t>等环节。</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（3）课程间的协同</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 xml:space="preserve">打破课程之间的壁垒，按照项目或任务，将各课程内容重新组织，各教师进行跨课程间的协作，共同完成一门课程的教学。跨课程进行协同教学，有利于激发学生学习的积极性和主动性，有利于学生知识的融合，提高分析问题、解决问题的能力。 </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bookmarkStart w:id="96" w:name="_Toc6427"/>
      <w:r>
        <w:rPr>
          <w:rFonts w:hint="eastAsia" w:ascii="Times New Roman" w:hAnsi="Times New Roman" w:eastAsia="黑体" w:cs="黑体"/>
          <w:bCs/>
          <w:color w:val="auto"/>
          <w:sz w:val="30"/>
          <w:szCs w:val="30"/>
          <w:highlight w:val="none"/>
          <w:lang w:val="en-US" w:eastAsia="zh-CN"/>
        </w:rPr>
        <w:t>（二）教学团队水平</w:t>
      </w:r>
      <w:bookmarkEnd w:id="96"/>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近5年本专业教师主持并完成多项科研及应用技术开发课题，该专业教师有多人在行业、社会学术团体中兼任要职。</w:t>
      </w:r>
    </w:p>
    <w:p>
      <w:pPr>
        <w:spacing w:line="440" w:lineRule="exact"/>
        <w:ind w:firstLine="480" w:firstLineChars="200"/>
        <w:jc w:val="center"/>
        <w:rPr>
          <w:rFonts w:ascii="Times New Roman" w:hAnsi="Times New Roman"/>
          <w:bCs/>
          <w:color w:val="auto"/>
          <w:sz w:val="24"/>
          <w:highlight w:val="none"/>
        </w:rPr>
      </w:pPr>
      <w:r>
        <w:rPr>
          <w:rFonts w:hint="eastAsia" w:ascii="Times New Roman" w:hAnsi="Times New Roman"/>
          <w:bCs/>
          <w:color w:val="auto"/>
          <w:sz w:val="24"/>
          <w:highlight w:val="none"/>
        </w:rPr>
        <w:t xml:space="preserve">表 5.4 </w:t>
      </w:r>
      <w:r>
        <w:rPr>
          <w:rFonts w:hint="eastAsia" w:ascii="Times New Roman" w:hAnsi="Times New Roman"/>
          <w:bCs/>
          <w:color w:val="auto"/>
          <w:sz w:val="24"/>
          <w:highlight w:val="none"/>
          <w:lang w:val="en-US" w:eastAsia="zh-CN"/>
        </w:rPr>
        <w:t>煤炭深加工与利用专业</w:t>
      </w:r>
      <w:r>
        <w:rPr>
          <w:rFonts w:hint="eastAsia" w:ascii="Times New Roman" w:hAnsi="Times New Roman"/>
          <w:bCs/>
          <w:color w:val="auto"/>
          <w:sz w:val="24"/>
          <w:highlight w:val="none"/>
        </w:rPr>
        <w:t>教师完成的教学改革与科研情况</w:t>
      </w: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5129"/>
        <w:gridCol w:w="807"/>
        <w:gridCol w:w="914"/>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bCs/>
                <w:color w:val="auto"/>
                <w:szCs w:val="21"/>
                <w:highlight w:val="none"/>
              </w:rPr>
            </w:pPr>
            <w:r>
              <w:rPr>
                <w:rFonts w:hint="eastAsia" w:ascii="Times New Roman" w:hAnsi="Times New Roman"/>
                <w:bCs/>
                <w:color w:val="auto"/>
                <w:szCs w:val="21"/>
                <w:highlight w:val="none"/>
              </w:rPr>
              <w:t>序号</w:t>
            </w:r>
          </w:p>
        </w:tc>
        <w:tc>
          <w:tcPr>
            <w:tcW w:w="512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bCs/>
                <w:color w:val="auto"/>
                <w:szCs w:val="21"/>
                <w:highlight w:val="none"/>
              </w:rPr>
            </w:pPr>
            <w:r>
              <w:rPr>
                <w:rFonts w:hint="eastAsia" w:ascii="Times New Roman" w:hAnsi="Times New Roman"/>
                <w:bCs/>
                <w:color w:val="auto"/>
                <w:szCs w:val="21"/>
                <w:highlight w:val="none"/>
              </w:rPr>
              <w:t>课题名称</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bCs/>
                <w:color w:val="auto"/>
                <w:szCs w:val="21"/>
                <w:highlight w:val="none"/>
              </w:rPr>
            </w:pPr>
            <w:r>
              <w:rPr>
                <w:rFonts w:hint="eastAsia" w:ascii="Times New Roman" w:hAnsi="Times New Roman"/>
                <w:bCs/>
                <w:color w:val="auto"/>
                <w:szCs w:val="21"/>
                <w:highlight w:val="none"/>
              </w:rPr>
              <w:t>时间</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bCs/>
                <w:color w:val="auto"/>
                <w:szCs w:val="21"/>
                <w:highlight w:val="none"/>
              </w:rPr>
            </w:pPr>
            <w:r>
              <w:rPr>
                <w:rFonts w:hint="eastAsia" w:ascii="Times New Roman" w:hAnsi="Times New Roman"/>
                <w:bCs/>
                <w:color w:val="auto"/>
                <w:szCs w:val="21"/>
                <w:highlight w:val="none"/>
              </w:rPr>
              <w:t>来源</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bCs/>
                <w:color w:val="auto"/>
                <w:szCs w:val="21"/>
                <w:highlight w:val="none"/>
              </w:rPr>
            </w:pPr>
            <w:r>
              <w:rPr>
                <w:rFonts w:hint="eastAsia" w:ascii="Times New Roman" w:hAnsi="Times New Roman"/>
                <w:bCs/>
                <w:color w:val="auto"/>
                <w:szCs w:val="21"/>
                <w:highlight w:val="none"/>
              </w:rPr>
              <w:t>主持人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5129"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改善铸管力学性能的工艺研究</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2018</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横向</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w:t>
            </w:r>
          </w:p>
        </w:tc>
        <w:tc>
          <w:tcPr>
            <w:tcW w:w="5129" w:type="dxa"/>
            <w:tcBorders>
              <w:top w:val="single" w:color="auto" w:sz="4" w:space="0"/>
              <w:left w:val="single" w:color="auto" w:sz="4" w:space="0"/>
              <w:bottom w:val="single" w:color="auto" w:sz="4" w:space="0"/>
              <w:right w:val="single" w:color="auto" w:sz="4" w:space="0"/>
            </w:tcBorders>
            <w:noWrap/>
            <w:vAlign w:val="center"/>
          </w:tcPr>
          <w:p>
            <w:pPr>
              <w:tabs>
                <w:tab w:val="left" w:pos="3040"/>
              </w:tabs>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酮肟与过渡金属构筑氮杂金属冠醚的合成、晶体结构及性质研究</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2018</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院级</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3</w:t>
            </w:r>
          </w:p>
        </w:tc>
        <w:tc>
          <w:tcPr>
            <w:tcW w:w="5129" w:type="dxa"/>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color w:val="auto"/>
                <w:szCs w:val="21"/>
                <w:highlight w:val="none"/>
              </w:rPr>
            </w:pPr>
            <w:r>
              <w:rPr>
                <w:rFonts w:hint="eastAsia" w:ascii="Times New Roman" w:hAnsi="Times New Roman"/>
                <w:color w:val="auto"/>
                <w:szCs w:val="21"/>
                <w:highlight w:val="none"/>
              </w:rPr>
              <w:t>VOCs催化燃烧技术中介孔ZSM-5负载型催化剂的结构设计、合成及性能研究</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2016</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院级</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苗海霞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4</w:t>
            </w:r>
          </w:p>
        </w:tc>
        <w:tc>
          <w:tcPr>
            <w:tcW w:w="5129"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highlight w:val="none"/>
              </w:rPr>
              <w:t>高比表面积ZSM-5吸附废水中苯胺的研究</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2016</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院级</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苗海霞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5</w:t>
            </w:r>
          </w:p>
        </w:tc>
        <w:tc>
          <w:tcPr>
            <w:tcW w:w="5129" w:type="dxa"/>
            <w:tcBorders>
              <w:top w:val="single" w:color="auto" w:sz="4" w:space="0"/>
              <w:left w:val="single" w:color="auto" w:sz="4" w:space="0"/>
              <w:bottom w:val="single" w:color="auto" w:sz="4" w:space="0"/>
              <w:right w:val="single" w:color="auto" w:sz="4" w:space="0"/>
            </w:tcBorders>
            <w:noWrap/>
            <w:vAlign w:val="center"/>
          </w:tcPr>
          <w:p>
            <w:pPr>
              <w:jc w:val="left"/>
              <w:rPr>
                <w:rFonts w:ascii="Times New Roman" w:hAnsi="Times New Roman"/>
                <w:color w:val="auto"/>
                <w:szCs w:val="21"/>
                <w:highlight w:val="none"/>
              </w:rPr>
            </w:pPr>
            <w:r>
              <w:rPr>
                <w:rFonts w:hint="eastAsia" w:ascii="Times New Roman" w:hAnsi="Times New Roman"/>
                <w:color w:val="auto"/>
                <w:szCs w:val="21"/>
                <w:highlight w:val="none"/>
              </w:rPr>
              <w:t>垃圾临时堆放点非均质土壤中重金属的迁移及防治技术研究</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2015</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省级</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6</w:t>
            </w:r>
          </w:p>
        </w:tc>
        <w:tc>
          <w:tcPr>
            <w:tcW w:w="512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项目化教学法在工业分析检验专业基础课程中的应用</w:t>
            </w:r>
          </w:p>
        </w:tc>
        <w:tc>
          <w:tcPr>
            <w:tcW w:w="8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2015</w:t>
            </w:r>
          </w:p>
        </w:tc>
        <w:tc>
          <w:tcPr>
            <w:tcW w:w="91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院级</w:t>
            </w:r>
          </w:p>
        </w:tc>
        <w:tc>
          <w:tcPr>
            <w:tcW w:w="1184"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ascii="Times New Roman" w:hAnsi="Times New Roman"/>
                <w:color w:val="auto"/>
                <w:szCs w:val="21"/>
                <w:highlight w:val="none"/>
              </w:rPr>
              <w:t>张丽娜</w:t>
            </w:r>
          </w:p>
        </w:tc>
      </w:tr>
    </w:tbl>
    <w:p>
      <w:pPr>
        <w:spacing w:line="440" w:lineRule="exact"/>
        <w:rPr>
          <w:rFonts w:ascii="Times New Roman" w:hAnsi="Times New Roman"/>
          <w:bCs/>
          <w:color w:val="auto"/>
          <w:sz w:val="24"/>
          <w:highlight w:val="none"/>
        </w:rPr>
      </w:pPr>
    </w:p>
    <w:p>
      <w:pPr>
        <w:spacing w:line="440" w:lineRule="exact"/>
        <w:ind w:firstLine="1800" w:firstLineChars="750"/>
        <w:rPr>
          <w:rFonts w:ascii="Times New Roman" w:hAnsi="Times New Roman"/>
          <w:bCs/>
          <w:color w:val="auto"/>
          <w:sz w:val="24"/>
          <w:highlight w:val="none"/>
        </w:rPr>
      </w:pPr>
      <w:r>
        <w:rPr>
          <w:rFonts w:hint="eastAsia" w:ascii="Times New Roman" w:hAnsi="Times New Roman"/>
          <w:bCs/>
          <w:color w:val="auto"/>
          <w:sz w:val="24"/>
          <w:highlight w:val="none"/>
        </w:rPr>
        <w:t xml:space="preserve">表5.5 </w:t>
      </w:r>
      <w:r>
        <w:rPr>
          <w:rFonts w:hint="eastAsia" w:ascii="Times New Roman" w:hAnsi="Times New Roman"/>
          <w:bCs/>
          <w:color w:val="auto"/>
          <w:sz w:val="24"/>
          <w:highlight w:val="none"/>
          <w:lang w:val="en-US" w:eastAsia="zh-CN"/>
        </w:rPr>
        <w:t>煤炭深加工与利用专业</w:t>
      </w:r>
      <w:r>
        <w:rPr>
          <w:rFonts w:hint="eastAsia" w:ascii="Times New Roman" w:hAnsi="Times New Roman"/>
          <w:bCs/>
          <w:color w:val="auto"/>
          <w:sz w:val="24"/>
          <w:highlight w:val="none"/>
        </w:rPr>
        <w:t>教师发表论文情况一览表</w:t>
      </w: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4720"/>
        <w:gridCol w:w="822"/>
        <w:gridCol w:w="1487"/>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bCs/>
                <w:color w:val="auto"/>
                <w:szCs w:val="21"/>
                <w:highlight w:val="none"/>
              </w:rPr>
            </w:pPr>
            <w:r>
              <w:rPr>
                <w:rFonts w:hint="eastAsia" w:ascii="Times New Roman" w:hAnsi="Times New Roman" w:eastAsiaTheme="majorEastAsia" w:cstheme="majorEastAsia"/>
                <w:bCs/>
                <w:color w:val="auto"/>
                <w:szCs w:val="21"/>
                <w:highlight w:val="none"/>
              </w:rPr>
              <w:t>序号</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bCs/>
                <w:color w:val="auto"/>
                <w:szCs w:val="21"/>
                <w:highlight w:val="none"/>
              </w:rPr>
            </w:pPr>
            <w:r>
              <w:rPr>
                <w:rFonts w:hint="eastAsia" w:ascii="Times New Roman" w:hAnsi="Times New Roman" w:eastAsiaTheme="majorEastAsia" w:cstheme="majorEastAsia"/>
                <w:bCs/>
                <w:color w:val="auto"/>
                <w:szCs w:val="21"/>
                <w:highlight w:val="none"/>
              </w:rPr>
              <w:t>论文题目</w:t>
            </w:r>
          </w:p>
        </w:tc>
        <w:tc>
          <w:tcPr>
            <w:tcW w:w="822"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bCs/>
                <w:color w:val="auto"/>
                <w:szCs w:val="21"/>
                <w:highlight w:val="none"/>
              </w:rPr>
            </w:pPr>
            <w:r>
              <w:rPr>
                <w:rFonts w:hint="eastAsia" w:ascii="Times New Roman" w:hAnsi="Times New Roman" w:eastAsiaTheme="majorEastAsia" w:cstheme="majorEastAsia"/>
                <w:bCs/>
                <w:color w:val="auto"/>
                <w:szCs w:val="21"/>
                <w:highlight w:val="none"/>
              </w:rPr>
              <w:t>发表</w:t>
            </w:r>
          </w:p>
          <w:p>
            <w:pPr>
              <w:jc w:val="center"/>
              <w:rPr>
                <w:rFonts w:ascii="Times New Roman" w:hAnsi="Times New Roman" w:eastAsiaTheme="majorEastAsia" w:cstheme="majorEastAsia"/>
                <w:bCs/>
                <w:color w:val="auto"/>
                <w:szCs w:val="21"/>
                <w:highlight w:val="none"/>
              </w:rPr>
            </w:pPr>
            <w:r>
              <w:rPr>
                <w:rFonts w:hint="eastAsia" w:ascii="Times New Roman" w:hAnsi="Times New Roman" w:eastAsiaTheme="majorEastAsia" w:cstheme="majorEastAsia"/>
                <w:bCs/>
                <w:color w:val="auto"/>
                <w:szCs w:val="21"/>
                <w:highlight w:val="none"/>
              </w:rPr>
              <w:t>时间</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bCs/>
                <w:color w:val="auto"/>
                <w:szCs w:val="21"/>
                <w:highlight w:val="none"/>
              </w:rPr>
            </w:pPr>
            <w:r>
              <w:rPr>
                <w:rFonts w:hint="eastAsia" w:ascii="Times New Roman" w:hAnsi="Times New Roman" w:eastAsiaTheme="majorEastAsia" w:cstheme="majorEastAsia"/>
                <w:bCs/>
                <w:color w:val="auto"/>
                <w:szCs w:val="21"/>
                <w:highlight w:val="none"/>
              </w:rPr>
              <w:t>刊物名称</w:t>
            </w:r>
          </w:p>
        </w:tc>
        <w:tc>
          <w:tcPr>
            <w:tcW w:w="875"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bCs/>
                <w:color w:val="auto"/>
                <w:szCs w:val="21"/>
                <w:highlight w:val="none"/>
              </w:rPr>
            </w:pPr>
            <w:r>
              <w:rPr>
                <w:rFonts w:hint="eastAsia" w:ascii="Times New Roman" w:hAnsi="Times New Roman" w:eastAsiaTheme="majorEastAsia" w:cstheme="majorEastAsia"/>
                <w:bCs/>
                <w:color w:val="auto"/>
                <w:szCs w:val="21"/>
                <w:highlight w:val="none"/>
              </w:rPr>
              <w:t>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1</w:t>
            </w:r>
          </w:p>
        </w:tc>
        <w:tc>
          <w:tcPr>
            <w:tcW w:w="4720"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护肤品的部分质量指标检测及选用建议</w:t>
            </w:r>
          </w:p>
        </w:tc>
        <w:tc>
          <w:tcPr>
            <w:tcW w:w="822"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2018</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晋城职业技术学院学报</w:t>
            </w:r>
          </w:p>
        </w:tc>
        <w:tc>
          <w:tcPr>
            <w:tcW w:w="875"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 xml:space="preserve">陈香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left"/>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Crystal structure of bis(μ2-3-formyl-5-methoxy-2-oxidobenzoato-k3O,O’:O’)-hexapyridine-dicadmium(II) – pyridine (1/1), C53H47Cd2N7O10.</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2018</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 xml:space="preserve"> Z. Kristallogr. NCS</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3</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Crystal structure of tetramethylammonium bis(acetate-k1O)-terakis(μ3-3-((hydroxyimino)methyl)-5-methoxy-2- oxidobenzoate-k5O,O’:O’,N:O”) tetrazinc(II) ¬¬- water(1/2/2), C62H96Zn4N10O28.</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2018</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 xml:space="preserve"> Z. Kristallogr. NCS</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4</w:t>
            </w:r>
          </w:p>
        </w:tc>
        <w:tc>
          <w:tcPr>
            <w:tcW w:w="4720"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化合物{[C6H3(CH3)2]2BOH}2 的晶体合成及结构分析</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2018</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泰山学院学报</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5</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茚三酮-1,2-二肟合成方法优化</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2018</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太原师范学院学报（自然科学版）</w:t>
            </w:r>
          </w:p>
        </w:tc>
        <w:tc>
          <w:tcPr>
            <w:tcW w:w="875"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6</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Prediction of the Permeability-reducing Effect of Cement Infiltration into Sandy Soils</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highlight w:val="none"/>
              </w:rPr>
              <w:t>2017</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highlight w:val="none"/>
              </w:rPr>
              <w:t>Water Science and Technology:Water Supply</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7</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Analysis of the Main Factors Influencing the Permeability-Reducing Effect of Cement Infiltration in a River Sediment Matrix</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2017</w:t>
            </w:r>
          </w:p>
        </w:tc>
        <w:tc>
          <w:tcPr>
            <w:tcW w:w="1487"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KSCE Journal of Civil Engineering</w:t>
            </w:r>
          </w:p>
        </w:tc>
        <w:tc>
          <w:tcPr>
            <w:tcW w:w="875"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8</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入渗水质对水泥潜入沙性土壤的阻渗效果影响分析</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2016</w:t>
            </w:r>
          </w:p>
        </w:tc>
        <w:tc>
          <w:tcPr>
            <w:tcW w:w="1487"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灌溉排水学报</w:t>
            </w:r>
            <w:r>
              <w:rPr>
                <w:rFonts w:hint="eastAsia" w:ascii="Times New Roman" w:hAnsi="Times New Roman" w:eastAsiaTheme="majorEastAsia" w:cstheme="majorEastAsia"/>
                <w:color w:val="auto"/>
                <w:szCs w:val="21"/>
                <w:highlight w:val="none"/>
              </w:rPr>
              <w:tab/>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9</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ascii="Times New Roman" w:hAnsi="Times New Roman"/>
                <w:color w:val="auto"/>
                <w:highlight w:val="none"/>
              </w:rPr>
              <w:t xml:space="preserve">Impact of Postponed Water Feeding Time on </w:t>
            </w:r>
            <w:r>
              <w:rPr>
                <w:rFonts w:hint="eastAsia" w:ascii="Times New Roman" w:hAnsi="Times New Roman"/>
                <w:color w:val="auto"/>
                <w:highlight w:val="none"/>
              </w:rPr>
              <w:t>t</w:t>
            </w:r>
            <w:r>
              <w:rPr>
                <w:rFonts w:ascii="Times New Roman" w:hAnsi="Times New Roman"/>
                <w:color w:val="auto"/>
                <w:highlight w:val="none"/>
              </w:rPr>
              <w:t>he Infiltration-Reducing Effect of Cement into Alluvial Soils</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ascii="Times New Roman" w:hAnsi="Times New Roman"/>
                <w:color w:val="auto"/>
                <w:szCs w:val="21"/>
                <w:highlight w:val="none"/>
              </w:rPr>
              <w:t>20</w:t>
            </w:r>
            <w:r>
              <w:rPr>
                <w:rFonts w:hint="eastAsia" w:ascii="Times New Roman" w:hAnsi="Times New Roman"/>
                <w:color w:val="auto"/>
                <w:szCs w:val="21"/>
                <w:highlight w:val="none"/>
              </w:rPr>
              <w:t>15</w:t>
            </w:r>
          </w:p>
        </w:tc>
        <w:tc>
          <w:tcPr>
            <w:tcW w:w="1487"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ascii="Times New Roman" w:hAnsi="Times New Roman"/>
                <w:color w:val="auto"/>
                <w:highlight w:val="none"/>
              </w:rPr>
              <w:t>Fresenius Environmental Bulletin</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10</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color w:val="auto"/>
                <w:highlight w:val="none"/>
              </w:rPr>
              <w:t>水泥潜入方式对底泥基质的减渗效果影响</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2015</w:t>
            </w:r>
          </w:p>
        </w:tc>
        <w:tc>
          <w:tcPr>
            <w:tcW w:w="1487"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color w:val="auto"/>
                <w:highlight w:val="none"/>
              </w:rPr>
              <w:t>太原理工大学学报</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11</w:t>
            </w:r>
          </w:p>
        </w:tc>
        <w:tc>
          <w:tcPr>
            <w:tcW w:w="472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color w:val="auto"/>
                <w:highlight w:val="none"/>
              </w:rPr>
            </w:pPr>
            <w:r>
              <w:rPr>
                <w:rFonts w:ascii="Times New Roman" w:hAnsi="Times New Roman"/>
                <w:color w:val="auto"/>
                <w:highlight w:val="none"/>
              </w:rPr>
              <w:t>高职院校学生环境素养与提升对策研究</w:t>
            </w:r>
          </w:p>
        </w:tc>
        <w:tc>
          <w:tcPr>
            <w:tcW w:w="822"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eastAsiaTheme="majorEastAsia" w:cstheme="majorEastAsia"/>
                <w:color w:val="auto"/>
                <w:szCs w:val="21"/>
                <w:highlight w:val="none"/>
              </w:rPr>
              <w:t>2015</w:t>
            </w:r>
          </w:p>
        </w:tc>
        <w:tc>
          <w:tcPr>
            <w:tcW w:w="1487"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color w:val="auto"/>
                <w:highlight w:val="none"/>
              </w:rPr>
            </w:pPr>
            <w:r>
              <w:rPr>
                <w:rFonts w:hint="eastAsia" w:ascii="Times New Roman" w:hAnsi="Times New Roman"/>
                <w:color w:val="auto"/>
                <w:highlight w:val="none"/>
              </w:rPr>
              <w:t>晋城职业技术学院学报</w:t>
            </w:r>
          </w:p>
        </w:tc>
        <w:tc>
          <w:tcPr>
            <w:tcW w:w="875" w:type="dxa"/>
            <w:tcBorders>
              <w:top w:val="single" w:color="auto" w:sz="4" w:space="0"/>
              <w:left w:val="single" w:color="auto" w:sz="4" w:space="0"/>
              <w:bottom w:val="single" w:color="auto" w:sz="4" w:space="0"/>
              <w:right w:val="single" w:color="auto" w:sz="4" w:space="0"/>
            </w:tcBorders>
            <w:noWrap/>
            <w:vAlign w:val="center"/>
          </w:tcPr>
          <w:p>
            <w:pPr>
              <w:rPr>
                <w:rFonts w:ascii="Times New Roman" w:hAnsi="Times New Roman" w:eastAsiaTheme="majorEastAsia" w:cstheme="majorEastAsia"/>
                <w:color w:val="auto"/>
                <w:szCs w:val="21"/>
                <w:highlight w:val="none"/>
              </w:rPr>
            </w:pPr>
            <w:r>
              <w:rPr>
                <w:rFonts w:hint="eastAsia" w:ascii="Times New Roman" w:hAnsi="Times New Roman" w:cs="宋体"/>
                <w:color w:val="auto"/>
                <w:kern w:val="0"/>
                <w:szCs w:val="21"/>
                <w:highlight w:val="none"/>
              </w:rPr>
              <w:t>吉晋兰</w:t>
            </w:r>
          </w:p>
        </w:tc>
      </w:tr>
    </w:tbl>
    <w:p>
      <w:pPr>
        <w:spacing w:line="440" w:lineRule="exact"/>
        <w:rPr>
          <w:rFonts w:ascii="Times New Roman" w:hAnsi="Times New Roman"/>
          <w:bCs/>
          <w:color w:val="auto"/>
          <w:sz w:val="24"/>
          <w:highlight w:val="none"/>
        </w:rPr>
      </w:pPr>
    </w:p>
    <w:p>
      <w:pPr>
        <w:spacing w:line="440" w:lineRule="exact"/>
        <w:ind w:firstLine="480" w:firstLineChars="200"/>
        <w:jc w:val="center"/>
        <w:rPr>
          <w:rFonts w:ascii="Times New Roman" w:hAnsi="Times New Roman"/>
          <w:bCs/>
          <w:color w:val="auto"/>
          <w:sz w:val="24"/>
          <w:highlight w:val="none"/>
        </w:rPr>
      </w:pPr>
      <w:r>
        <w:rPr>
          <w:rFonts w:hint="eastAsia" w:ascii="Times New Roman" w:hAnsi="Times New Roman"/>
          <w:bCs/>
          <w:color w:val="auto"/>
          <w:sz w:val="24"/>
          <w:highlight w:val="none"/>
        </w:rPr>
        <w:t xml:space="preserve">表5.6 </w:t>
      </w:r>
      <w:r>
        <w:rPr>
          <w:rFonts w:hint="eastAsia" w:ascii="Times New Roman" w:hAnsi="Times New Roman"/>
          <w:bCs/>
          <w:color w:val="auto"/>
          <w:sz w:val="24"/>
          <w:highlight w:val="none"/>
          <w:lang w:val="en-US" w:eastAsia="zh-CN"/>
        </w:rPr>
        <w:t>煤炭深加工与利用专业</w:t>
      </w:r>
      <w:r>
        <w:rPr>
          <w:rFonts w:hint="eastAsia" w:ascii="Times New Roman" w:hAnsi="Times New Roman"/>
          <w:bCs/>
          <w:color w:val="auto"/>
          <w:sz w:val="24"/>
          <w:highlight w:val="none"/>
        </w:rPr>
        <w:t>教师在行业、社会学术团体中</w:t>
      </w:r>
    </w:p>
    <w:p>
      <w:pPr>
        <w:spacing w:line="440" w:lineRule="exact"/>
        <w:ind w:firstLine="480" w:firstLineChars="200"/>
        <w:jc w:val="center"/>
        <w:rPr>
          <w:rFonts w:ascii="Times New Roman" w:hAnsi="Times New Roman"/>
          <w:bCs/>
          <w:color w:val="auto"/>
          <w:sz w:val="24"/>
          <w:highlight w:val="none"/>
        </w:rPr>
      </w:pPr>
      <w:r>
        <w:rPr>
          <w:rFonts w:hint="eastAsia" w:ascii="Times New Roman" w:hAnsi="Times New Roman"/>
          <w:bCs/>
          <w:color w:val="auto"/>
          <w:sz w:val="24"/>
          <w:highlight w:val="none"/>
        </w:rPr>
        <w:t>兼职情况一览表</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107"/>
        <w:gridCol w:w="3080"/>
        <w:gridCol w:w="2641"/>
        <w:gridCol w:w="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序号</w:t>
            </w:r>
          </w:p>
        </w:tc>
        <w:tc>
          <w:tcPr>
            <w:tcW w:w="11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姓名</w:t>
            </w:r>
          </w:p>
        </w:tc>
        <w:tc>
          <w:tcPr>
            <w:tcW w:w="308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服务企业</w:t>
            </w:r>
          </w:p>
        </w:tc>
        <w:tc>
          <w:tcPr>
            <w:tcW w:w="2641"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任务</w:t>
            </w:r>
          </w:p>
        </w:tc>
        <w:tc>
          <w:tcPr>
            <w:tcW w:w="84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tcBorders>
              <w:top w:val="single" w:color="auto" w:sz="4" w:space="0"/>
              <w:left w:val="single" w:color="auto" w:sz="4" w:space="0"/>
              <w:bottom w:val="single" w:color="auto" w:sz="4" w:space="0"/>
              <w:right w:val="single" w:color="auto" w:sz="4" w:space="0"/>
            </w:tcBorders>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107" w:type="dxa"/>
            <w:tcBorders>
              <w:top w:val="single" w:color="auto" w:sz="4" w:space="0"/>
              <w:left w:val="single" w:color="auto" w:sz="4" w:space="0"/>
              <w:bottom w:val="single" w:color="auto" w:sz="4" w:space="0"/>
              <w:right w:val="single" w:color="auto" w:sz="4" w:space="0"/>
            </w:tcBorders>
            <w:noWrap/>
            <w:vAlign w:val="center"/>
          </w:tcPr>
          <w:p>
            <w:pPr>
              <w:pStyle w:val="22"/>
              <w:spacing w:line="300" w:lineRule="exact"/>
              <w:ind w:firstLine="0" w:firstLineChars="0"/>
              <w:jc w:val="center"/>
              <w:rPr>
                <w:rFonts w:ascii="Times New Roman" w:hAnsi="Times New Roman"/>
                <w:color w:val="auto"/>
                <w:szCs w:val="21"/>
                <w:highlight w:val="none"/>
              </w:rPr>
            </w:pPr>
            <w:r>
              <w:rPr>
                <w:rFonts w:hint="eastAsia" w:ascii="Times New Roman" w:hAnsi="Times New Roman"/>
                <w:color w:val="auto"/>
                <w:szCs w:val="21"/>
                <w:highlight w:val="none"/>
              </w:rPr>
              <w:t>吉晋兰</w:t>
            </w:r>
          </w:p>
        </w:tc>
        <w:tc>
          <w:tcPr>
            <w:tcW w:w="308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晋城天泽集团</w:t>
            </w:r>
          </w:p>
        </w:tc>
        <w:tc>
          <w:tcPr>
            <w:tcW w:w="2641"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化工环保</w:t>
            </w:r>
          </w:p>
        </w:tc>
        <w:tc>
          <w:tcPr>
            <w:tcW w:w="84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w:t>
            </w:r>
          </w:p>
        </w:tc>
        <w:tc>
          <w:tcPr>
            <w:tcW w:w="1107" w:type="dxa"/>
            <w:tcBorders>
              <w:top w:val="single" w:color="auto" w:sz="4" w:space="0"/>
              <w:left w:val="single" w:color="auto" w:sz="4" w:space="0"/>
              <w:bottom w:val="single" w:color="auto" w:sz="4" w:space="0"/>
              <w:right w:val="single" w:color="auto" w:sz="4" w:space="0"/>
            </w:tcBorders>
            <w:noWrap/>
            <w:vAlign w:val="center"/>
          </w:tcPr>
          <w:p>
            <w:pPr>
              <w:pStyle w:val="22"/>
              <w:spacing w:line="300" w:lineRule="exact"/>
              <w:ind w:firstLine="0" w:firstLineChars="0"/>
              <w:jc w:val="center"/>
              <w:rPr>
                <w:rFonts w:ascii="Times New Roman" w:hAnsi="Times New Roman"/>
                <w:color w:val="auto"/>
                <w:szCs w:val="21"/>
                <w:highlight w:val="none"/>
              </w:rPr>
            </w:pPr>
            <w:r>
              <w:rPr>
                <w:rFonts w:hint="eastAsia" w:ascii="Times New Roman" w:hAnsi="Times New Roman"/>
                <w:color w:val="auto"/>
                <w:szCs w:val="21"/>
                <w:highlight w:val="none"/>
              </w:rPr>
              <w:t>姬爱国</w:t>
            </w:r>
          </w:p>
        </w:tc>
        <w:tc>
          <w:tcPr>
            <w:tcW w:w="308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晋城市泽锦生物科技有限公司</w:t>
            </w:r>
          </w:p>
        </w:tc>
        <w:tc>
          <w:tcPr>
            <w:tcW w:w="2641"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微生物肥料配方</w:t>
            </w:r>
          </w:p>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及养分分析</w:t>
            </w:r>
          </w:p>
        </w:tc>
        <w:tc>
          <w:tcPr>
            <w:tcW w:w="84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3</w:t>
            </w:r>
          </w:p>
        </w:tc>
        <w:tc>
          <w:tcPr>
            <w:tcW w:w="1107" w:type="dxa"/>
            <w:tcBorders>
              <w:top w:val="single" w:color="auto" w:sz="4" w:space="0"/>
              <w:left w:val="single" w:color="auto" w:sz="4" w:space="0"/>
              <w:bottom w:val="single" w:color="auto" w:sz="4" w:space="0"/>
              <w:right w:val="single" w:color="auto" w:sz="4" w:space="0"/>
            </w:tcBorders>
            <w:noWrap/>
            <w:vAlign w:val="center"/>
          </w:tcPr>
          <w:p>
            <w:pPr>
              <w:pStyle w:val="22"/>
              <w:spacing w:line="300" w:lineRule="exact"/>
              <w:ind w:firstLine="0" w:firstLineChars="0"/>
              <w:jc w:val="center"/>
              <w:rPr>
                <w:rFonts w:ascii="Times New Roman" w:hAnsi="Times New Roman"/>
                <w:color w:val="auto"/>
                <w:szCs w:val="21"/>
                <w:highlight w:val="none"/>
              </w:rPr>
            </w:pPr>
            <w:r>
              <w:rPr>
                <w:rFonts w:hint="eastAsia" w:ascii="Times New Roman" w:hAnsi="Times New Roman"/>
                <w:color w:val="auto"/>
                <w:kern w:val="0"/>
                <w:szCs w:val="21"/>
                <w:highlight w:val="none"/>
              </w:rPr>
              <w:t>牛学丽</w:t>
            </w:r>
          </w:p>
        </w:tc>
        <w:tc>
          <w:tcPr>
            <w:tcW w:w="308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晋城兰花阳化分公司</w:t>
            </w:r>
          </w:p>
        </w:tc>
        <w:tc>
          <w:tcPr>
            <w:tcW w:w="2641"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无机及有机化工</w:t>
            </w:r>
          </w:p>
        </w:tc>
        <w:tc>
          <w:tcPr>
            <w:tcW w:w="84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5</w:t>
            </w:r>
          </w:p>
        </w:tc>
        <w:tc>
          <w:tcPr>
            <w:tcW w:w="1107" w:type="dxa"/>
            <w:tcBorders>
              <w:top w:val="single" w:color="auto" w:sz="4" w:space="0"/>
              <w:left w:val="single" w:color="auto" w:sz="4" w:space="0"/>
              <w:bottom w:val="single" w:color="auto" w:sz="4" w:space="0"/>
              <w:right w:val="single" w:color="auto" w:sz="4" w:space="0"/>
            </w:tcBorders>
            <w:noWrap/>
            <w:vAlign w:val="center"/>
          </w:tcPr>
          <w:p>
            <w:pPr>
              <w:pStyle w:val="22"/>
              <w:spacing w:line="300" w:lineRule="exact"/>
              <w:ind w:firstLine="0" w:firstLineChars="0"/>
              <w:jc w:val="center"/>
              <w:rPr>
                <w:rFonts w:ascii="Times New Roman" w:hAnsi="Times New Roman"/>
                <w:color w:val="auto"/>
                <w:szCs w:val="21"/>
                <w:highlight w:val="none"/>
              </w:rPr>
            </w:pPr>
            <w:r>
              <w:rPr>
                <w:rFonts w:hint="eastAsia" w:ascii="Times New Roman" w:hAnsi="Times New Roman"/>
                <w:color w:val="auto"/>
                <w:kern w:val="0"/>
                <w:szCs w:val="21"/>
                <w:highlight w:val="none"/>
              </w:rPr>
              <w:t>苗海霞</w:t>
            </w:r>
          </w:p>
        </w:tc>
        <w:tc>
          <w:tcPr>
            <w:tcW w:w="308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晋城兰花集团</w:t>
            </w:r>
          </w:p>
        </w:tc>
        <w:tc>
          <w:tcPr>
            <w:tcW w:w="2641"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化工单元操作</w:t>
            </w:r>
          </w:p>
        </w:tc>
        <w:tc>
          <w:tcPr>
            <w:tcW w:w="84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9"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6</w:t>
            </w:r>
          </w:p>
        </w:tc>
        <w:tc>
          <w:tcPr>
            <w:tcW w:w="1107" w:type="dxa"/>
            <w:tcBorders>
              <w:top w:val="single" w:color="auto" w:sz="4" w:space="0"/>
              <w:left w:val="single" w:color="auto" w:sz="4" w:space="0"/>
              <w:bottom w:val="single" w:color="auto" w:sz="4" w:space="0"/>
              <w:right w:val="single" w:color="auto" w:sz="4" w:space="0"/>
            </w:tcBorders>
            <w:noWrap/>
            <w:vAlign w:val="center"/>
          </w:tcPr>
          <w:p>
            <w:pPr>
              <w:pStyle w:val="22"/>
              <w:spacing w:line="300" w:lineRule="exact"/>
              <w:ind w:firstLine="0" w:firstLineChars="0"/>
              <w:jc w:val="center"/>
              <w:rPr>
                <w:rFonts w:ascii="Times New Roman" w:hAnsi="Times New Roman"/>
                <w:color w:val="auto"/>
                <w:szCs w:val="21"/>
                <w:highlight w:val="none"/>
              </w:rPr>
            </w:pPr>
            <w:r>
              <w:rPr>
                <w:rFonts w:hint="eastAsia" w:ascii="Times New Roman" w:hAnsi="Times New Roman"/>
                <w:color w:val="auto"/>
                <w:kern w:val="0"/>
                <w:szCs w:val="21"/>
                <w:highlight w:val="none"/>
              </w:rPr>
              <w:t>李沁军</w:t>
            </w:r>
          </w:p>
        </w:tc>
        <w:tc>
          <w:tcPr>
            <w:tcW w:w="308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晋城化肥股份有限公司</w:t>
            </w:r>
          </w:p>
        </w:tc>
        <w:tc>
          <w:tcPr>
            <w:tcW w:w="2641"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化工仪器仪表使用</w:t>
            </w:r>
          </w:p>
        </w:tc>
        <w:tc>
          <w:tcPr>
            <w:tcW w:w="84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p>
        </w:tc>
      </w:tr>
    </w:tbl>
    <w:p>
      <w:pPr>
        <w:spacing w:line="440" w:lineRule="exact"/>
        <w:rPr>
          <w:rFonts w:ascii="Times New Roman" w:hAnsi="Times New Roman" w:eastAsia="仿宋_GB2312"/>
          <w:b/>
          <w:bCs/>
          <w:color w:val="auto"/>
          <w:szCs w:val="21"/>
          <w:highlight w:val="none"/>
        </w:rPr>
      </w:pP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bookmarkStart w:id="97" w:name="_Toc9203"/>
      <w:bookmarkStart w:id="98" w:name="_Toc7670"/>
      <w:r>
        <w:rPr>
          <w:rFonts w:hint="eastAsia" w:ascii="Times New Roman" w:hAnsi="Times New Roman" w:eastAsia="黑体" w:cs="黑体"/>
          <w:bCs/>
          <w:color w:val="auto"/>
          <w:sz w:val="30"/>
          <w:szCs w:val="30"/>
          <w:highlight w:val="none"/>
          <w:lang w:val="en-US" w:eastAsia="zh-CN"/>
        </w:rPr>
        <w:t>（三）培养培训</w:t>
      </w:r>
      <w:bookmarkEnd w:id="97"/>
      <w:bookmarkEnd w:id="98"/>
    </w:p>
    <w:p>
      <w:pPr>
        <w:spacing w:line="440" w:lineRule="exact"/>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本系目前已经制定了完善的专业教师到对口企事业单位定期实践、校企研讨和实践经验交流制度；建立了相对完善教师继续教育考核制度和政策。</w:t>
      </w:r>
    </w:p>
    <w:p>
      <w:pPr>
        <w:spacing w:line="440" w:lineRule="exact"/>
        <w:ind w:firstLine="480" w:firstLineChars="200"/>
        <w:jc w:val="center"/>
        <w:rPr>
          <w:rFonts w:ascii="Times New Roman" w:hAnsi="Times New Roman"/>
          <w:bCs/>
          <w:color w:val="auto"/>
          <w:sz w:val="24"/>
          <w:highlight w:val="none"/>
        </w:rPr>
      </w:pPr>
      <w:r>
        <w:rPr>
          <w:rFonts w:hint="eastAsia" w:ascii="Times New Roman" w:hAnsi="Times New Roman"/>
          <w:bCs/>
          <w:color w:val="auto"/>
          <w:sz w:val="24"/>
          <w:highlight w:val="none"/>
        </w:rPr>
        <w:t xml:space="preserve">表5.7 </w:t>
      </w:r>
      <w:r>
        <w:rPr>
          <w:rFonts w:hint="eastAsia" w:ascii="Times New Roman" w:hAnsi="Times New Roman"/>
          <w:bCs/>
          <w:color w:val="auto"/>
          <w:sz w:val="24"/>
          <w:highlight w:val="none"/>
          <w:lang w:val="en-US" w:eastAsia="zh-CN"/>
        </w:rPr>
        <w:t>煤炭深加工与利用专业</w:t>
      </w:r>
      <w:r>
        <w:rPr>
          <w:rFonts w:hint="eastAsia" w:ascii="Times New Roman" w:hAnsi="Times New Roman"/>
          <w:bCs/>
          <w:color w:val="auto"/>
          <w:sz w:val="24"/>
          <w:highlight w:val="none"/>
        </w:rPr>
        <w:t>教师培训情况一览表</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772"/>
        <w:gridCol w:w="1047"/>
        <w:gridCol w:w="3007"/>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姓名</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培训类别</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培训</w:t>
            </w:r>
          </w:p>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时间</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培训单位</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苗海霞</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 xml:space="preserve">   进企业实训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Times New Roman" w:hAnsi="Times New Roman"/>
                <w:color w:val="auto"/>
                <w:szCs w:val="21"/>
                <w:highlight w:val="none"/>
              </w:rPr>
            </w:pPr>
            <w:r>
              <w:rPr>
                <w:rFonts w:hint="eastAsia" w:ascii="Times New Roman" w:hAnsi="Times New Roman"/>
                <w:color w:val="auto"/>
                <w:szCs w:val="21"/>
                <w:highlight w:val="none"/>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ind w:firstLine="840" w:firstLineChars="400"/>
              <w:rPr>
                <w:rFonts w:ascii="Times New Roman" w:hAnsi="Times New Roman"/>
                <w:color w:val="auto"/>
                <w:szCs w:val="21"/>
                <w:highlight w:val="none"/>
              </w:rPr>
            </w:pPr>
            <w:r>
              <w:rPr>
                <w:rFonts w:hint="eastAsia" w:ascii="Times New Roman" w:hAnsi="Times New Roman"/>
                <w:color w:val="auto"/>
                <w:szCs w:val="21"/>
                <w:highlight w:val="none"/>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ind w:firstLine="210" w:firstLineChars="100"/>
              <w:rPr>
                <w:rFonts w:ascii="Times New Roman" w:hAnsi="Times New Roman"/>
                <w:color w:val="auto"/>
                <w:szCs w:val="21"/>
                <w:highlight w:val="none"/>
              </w:rPr>
            </w:pPr>
            <w:r>
              <w:rPr>
                <w:rFonts w:hint="eastAsia" w:ascii="Times New Roman" w:hAnsi="Times New Roman"/>
                <w:color w:val="auto"/>
                <w:szCs w:val="21"/>
                <w:highlight w:val="none"/>
              </w:rPr>
              <w:t>实践培训证书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吉晋兰</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进企业实训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shd w:val="clear" w:color="auto" w:fill="FFFFFF"/>
              </w:rPr>
            </w:pPr>
            <w:r>
              <w:rPr>
                <w:rFonts w:hint="eastAsia" w:ascii="Times New Roman" w:hAnsi="Times New Roman"/>
                <w:color w:val="auto"/>
                <w:szCs w:val="21"/>
                <w:highlight w:val="none"/>
              </w:rPr>
              <w:t>中国化工协会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实践培训证书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杨艳梅</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进企业实训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shd w:val="clear" w:color="auto" w:fill="FFFFFF"/>
              </w:rPr>
            </w:pPr>
            <w:r>
              <w:rPr>
                <w:rFonts w:hint="eastAsia" w:ascii="Times New Roman" w:hAnsi="Times New Roman"/>
                <w:color w:val="auto"/>
                <w:szCs w:val="21"/>
                <w:highlight w:val="none"/>
              </w:rPr>
              <w:t>中国化工协会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实践培训证书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毛倩</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进企业实训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shd w:val="clear" w:color="auto" w:fill="FFFFFF"/>
              </w:rPr>
            </w:pPr>
            <w:r>
              <w:rPr>
                <w:rFonts w:hint="eastAsia" w:ascii="Times New Roman" w:hAnsi="Times New Roman"/>
                <w:color w:val="auto"/>
                <w:szCs w:val="21"/>
                <w:highlight w:val="none"/>
              </w:rPr>
              <w:t>中国化工协会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实践培训证书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席琦</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教学能力培训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2019.7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shd w:val="clear" w:color="auto" w:fill="FFFFFF"/>
              </w:rPr>
            </w:pPr>
            <w:r>
              <w:rPr>
                <w:rFonts w:hint="eastAsia" w:ascii="Times New Roman" w:hAnsi="Times New Roman"/>
                <w:color w:val="auto"/>
                <w:szCs w:val="21"/>
                <w:highlight w:val="none"/>
                <w:shd w:val="clear" w:color="auto" w:fill="FFFFFF"/>
              </w:rPr>
              <w:t>全国高职高专教育现代教育技术培训基地</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陈香</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教学能力培训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2019.7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shd w:val="clear" w:color="auto" w:fill="FFFFFF"/>
              </w:rPr>
            </w:pPr>
            <w:r>
              <w:rPr>
                <w:rFonts w:hint="eastAsia" w:ascii="Times New Roman" w:hAnsi="Times New Roman"/>
                <w:color w:val="auto"/>
                <w:szCs w:val="21"/>
                <w:highlight w:val="none"/>
                <w:shd w:val="clear" w:color="auto" w:fill="FFFFFF"/>
              </w:rPr>
              <w:t>全国高职高专教育现代教育技术培训基地</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张丽娜</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教学能力培训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shd w:val="clear" w:color="auto" w:fill="FFFFFF"/>
              </w:rPr>
            </w:pPr>
            <w:r>
              <w:rPr>
                <w:rFonts w:hint="eastAsia" w:ascii="Times New Roman" w:hAnsi="Times New Roman"/>
                <w:color w:val="auto"/>
                <w:szCs w:val="21"/>
                <w:highlight w:val="none"/>
                <w:shd w:val="clear" w:color="auto" w:fill="FFFFFF"/>
              </w:rPr>
              <w:t>全国高职高专教育现代教育技术培训基地</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张丽娜</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化工总控工技能</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2012.7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shd w:val="clear" w:color="auto" w:fill="FFFFFF"/>
              </w:rPr>
            </w:pPr>
            <w:r>
              <w:rPr>
                <w:rFonts w:hint="eastAsia" w:ascii="Times New Roman" w:hAnsi="Times New Roman"/>
                <w:color w:val="auto"/>
                <w:szCs w:val="21"/>
                <w:highlight w:val="none"/>
                <w:shd w:val="clear" w:color="auto" w:fill="FFFFFF"/>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化工总控工二级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耿长青</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化工总控工技能</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2012.7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shd w:val="clear" w:color="auto" w:fill="FFFFFF"/>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化工总控工二级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杜爱国</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化工总控工技能</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2012.7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shd w:val="clear" w:color="auto" w:fill="FFFFFF"/>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化工总控工二级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李晋国</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化工总控工技能</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2012.7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shd w:val="clear" w:color="auto" w:fill="FFFFFF"/>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化工总控工二级</w:t>
            </w:r>
          </w:p>
        </w:tc>
      </w:tr>
    </w:tbl>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bookmarkStart w:id="99" w:name="_Toc25813"/>
      <w:bookmarkStart w:id="100" w:name="_Toc17496"/>
      <w:r>
        <w:rPr>
          <w:rFonts w:hint="eastAsia" w:ascii="Times New Roman" w:hAnsi="Times New Roman" w:eastAsia="黑体" w:cs="黑体"/>
          <w:bCs/>
          <w:color w:val="auto"/>
          <w:sz w:val="30"/>
          <w:szCs w:val="30"/>
          <w:highlight w:val="none"/>
          <w:lang w:val="en-US" w:eastAsia="zh-CN"/>
        </w:rPr>
        <w:t>（四）社会服务</w:t>
      </w:r>
      <w:bookmarkEnd w:id="99"/>
      <w:bookmarkEnd w:id="100"/>
    </w:p>
    <w:p>
      <w:pPr>
        <w:spacing w:line="440" w:lineRule="exact"/>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本系已建立专业教师密切联系行业、企业的制度，引导和激励教师主动为行业、企业和社会服务；近3年教师开展社会培训工作456人次；技术咨询、技术服务效果好。</w:t>
      </w:r>
    </w:p>
    <w:p>
      <w:pPr>
        <w:spacing w:line="440" w:lineRule="exact"/>
        <w:ind w:firstLine="480" w:firstLineChars="200"/>
        <w:jc w:val="center"/>
        <w:rPr>
          <w:rFonts w:ascii="Times New Roman" w:hAnsi="Times New Roman"/>
          <w:bCs/>
          <w:color w:val="auto"/>
          <w:sz w:val="24"/>
          <w:highlight w:val="none"/>
        </w:rPr>
      </w:pPr>
      <w:r>
        <w:rPr>
          <w:rFonts w:hint="eastAsia" w:ascii="Times New Roman" w:hAnsi="Times New Roman"/>
          <w:bCs/>
          <w:color w:val="auto"/>
          <w:sz w:val="24"/>
          <w:highlight w:val="none"/>
        </w:rPr>
        <w:t>表5.8  专业教师开展社会培训情况一览表</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8"/>
        <w:gridCol w:w="2557"/>
        <w:gridCol w:w="1788"/>
        <w:gridCol w:w="1672"/>
        <w:gridCol w:w="1105"/>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序号</w:t>
            </w:r>
          </w:p>
        </w:tc>
        <w:tc>
          <w:tcPr>
            <w:tcW w:w="255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培训企业</w:t>
            </w:r>
          </w:p>
        </w:tc>
        <w:tc>
          <w:tcPr>
            <w:tcW w:w="17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培训内容</w:t>
            </w:r>
          </w:p>
        </w:tc>
        <w:tc>
          <w:tcPr>
            <w:tcW w:w="16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培训时间</w:t>
            </w:r>
          </w:p>
        </w:tc>
        <w:tc>
          <w:tcPr>
            <w:tcW w:w="110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被培养</w:t>
            </w:r>
          </w:p>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人次</w:t>
            </w:r>
          </w:p>
        </w:tc>
        <w:tc>
          <w:tcPr>
            <w:tcW w:w="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2557" w:type="dxa"/>
            <w:tcBorders>
              <w:top w:val="single" w:color="auto" w:sz="4" w:space="0"/>
              <w:left w:val="single" w:color="auto" w:sz="4" w:space="0"/>
              <w:bottom w:val="single" w:color="auto" w:sz="4" w:space="0"/>
              <w:right w:val="single" w:color="auto" w:sz="4" w:space="0"/>
            </w:tcBorders>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晋城市生态环境局泽州分局</w:t>
            </w:r>
          </w:p>
        </w:tc>
        <w:tc>
          <w:tcPr>
            <w:tcW w:w="17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生态环境应急</w:t>
            </w:r>
          </w:p>
        </w:tc>
        <w:tc>
          <w:tcPr>
            <w:tcW w:w="16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2019.7</w:t>
            </w:r>
          </w:p>
        </w:tc>
        <w:tc>
          <w:tcPr>
            <w:tcW w:w="110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76</w:t>
            </w:r>
          </w:p>
        </w:tc>
        <w:tc>
          <w:tcPr>
            <w:tcW w:w="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w:t>
            </w:r>
          </w:p>
        </w:tc>
        <w:tc>
          <w:tcPr>
            <w:tcW w:w="255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晋城市生态环境局开发区分局</w:t>
            </w:r>
          </w:p>
        </w:tc>
        <w:tc>
          <w:tcPr>
            <w:tcW w:w="17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生态环境应急</w:t>
            </w:r>
          </w:p>
        </w:tc>
        <w:tc>
          <w:tcPr>
            <w:tcW w:w="16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2019.7</w:t>
            </w:r>
          </w:p>
        </w:tc>
        <w:tc>
          <w:tcPr>
            <w:tcW w:w="110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43</w:t>
            </w:r>
          </w:p>
        </w:tc>
        <w:tc>
          <w:tcPr>
            <w:tcW w:w="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3</w:t>
            </w:r>
          </w:p>
        </w:tc>
        <w:tc>
          <w:tcPr>
            <w:tcW w:w="2557" w:type="dxa"/>
            <w:tcBorders>
              <w:top w:val="single" w:color="auto" w:sz="4" w:space="0"/>
              <w:left w:val="single" w:color="auto" w:sz="4" w:space="0"/>
              <w:bottom w:val="single" w:color="auto" w:sz="4" w:space="0"/>
              <w:right w:val="single" w:color="auto" w:sz="4" w:space="0"/>
            </w:tcBorders>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山东威高集团</w:t>
            </w:r>
          </w:p>
        </w:tc>
        <w:tc>
          <w:tcPr>
            <w:tcW w:w="17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化工安全</w:t>
            </w:r>
          </w:p>
        </w:tc>
        <w:tc>
          <w:tcPr>
            <w:tcW w:w="16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2017.8</w:t>
            </w:r>
          </w:p>
        </w:tc>
        <w:tc>
          <w:tcPr>
            <w:tcW w:w="110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103</w:t>
            </w:r>
          </w:p>
        </w:tc>
        <w:tc>
          <w:tcPr>
            <w:tcW w:w="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4</w:t>
            </w:r>
          </w:p>
        </w:tc>
        <w:tc>
          <w:tcPr>
            <w:tcW w:w="255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江苏恒盛化工有限公司</w:t>
            </w:r>
          </w:p>
        </w:tc>
        <w:tc>
          <w:tcPr>
            <w:tcW w:w="178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化工安全</w:t>
            </w:r>
          </w:p>
        </w:tc>
        <w:tc>
          <w:tcPr>
            <w:tcW w:w="16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2016.7</w:t>
            </w:r>
          </w:p>
        </w:tc>
        <w:tc>
          <w:tcPr>
            <w:tcW w:w="1105"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r>
              <w:rPr>
                <w:rFonts w:hint="eastAsia" w:ascii="Times New Roman" w:hAnsi="Times New Roman"/>
                <w:color w:val="auto"/>
                <w:szCs w:val="21"/>
                <w:highlight w:val="none"/>
              </w:rPr>
              <w:t>234</w:t>
            </w:r>
          </w:p>
        </w:tc>
        <w:tc>
          <w:tcPr>
            <w:tcW w:w="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Times New Roman" w:hAnsi="Times New Roman"/>
                <w:color w:val="auto"/>
                <w:szCs w:val="21"/>
                <w:highlight w:val="none"/>
              </w:rPr>
            </w:pPr>
          </w:p>
        </w:tc>
      </w:tr>
    </w:tbl>
    <w:p>
      <w:pPr>
        <w:spacing w:line="440" w:lineRule="exact"/>
        <w:rPr>
          <w:rFonts w:ascii="Times New Roman" w:hAnsi="Times New Roman"/>
          <w:color w:val="auto"/>
          <w:sz w:val="24"/>
          <w:highlight w:val="none"/>
        </w:rPr>
      </w:pPr>
    </w:p>
    <w:p>
      <w:pPr>
        <w:pStyle w:val="3"/>
        <w:snapToGrid w:val="0"/>
        <w:spacing w:before="0" w:after="0" w:line="360" w:lineRule="auto"/>
        <w:ind w:firstLine="640" w:firstLineChars="200"/>
        <w:rPr>
          <w:rFonts w:ascii="Times New Roman" w:hAnsi="Times New Roman"/>
          <w:b w:val="0"/>
          <w:bCs/>
          <w:color w:val="auto"/>
          <w:highlight w:val="none"/>
        </w:rPr>
      </w:pPr>
      <w:bookmarkStart w:id="101" w:name="_Toc458089353"/>
      <w:bookmarkStart w:id="102" w:name="_Toc458088740"/>
      <w:bookmarkStart w:id="103" w:name="_Toc15660"/>
      <w:bookmarkStart w:id="104" w:name="_Toc361942967"/>
      <w:bookmarkStart w:id="105" w:name="_Toc3091"/>
      <w:bookmarkStart w:id="106" w:name="_Toc458088974"/>
      <w:bookmarkStart w:id="107" w:name="_Toc458095098"/>
      <w:r>
        <w:rPr>
          <w:rFonts w:hint="eastAsia" w:ascii="Times New Roman" w:hAnsi="Times New Roman"/>
          <w:b w:val="0"/>
          <w:bCs/>
          <w:color w:val="auto"/>
          <w:highlight w:val="none"/>
        </w:rPr>
        <w:t>三、校企合作，共建校内外实习实训基地措施</w:t>
      </w:r>
      <w:bookmarkEnd w:id="101"/>
      <w:bookmarkEnd w:id="102"/>
      <w:bookmarkEnd w:id="103"/>
      <w:bookmarkEnd w:id="104"/>
      <w:bookmarkEnd w:id="105"/>
      <w:bookmarkEnd w:id="106"/>
      <w:bookmarkEnd w:id="107"/>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bookmarkStart w:id="108" w:name="_Toc28215"/>
      <w:r>
        <w:rPr>
          <w:rFonts w:hint="eastAsia" w:ascii="Times New Roman" w:hAnsi="Times New Roman" w:eastAsia="黑体" w:cs="黑体"/>
          <w:bCs/>
          <w:color w:val="auto"/>
          <w:sz w:val="30"/>
          <w:szCs w:val="30"/>
          <w:highlight w:val="none"/>
          <w:lang w:val="en-US" w:eastAsia="zh-CN"/>
        </w:rPr>
        <w:t>（一）校内实践教学条件</w:t>
      </w:r>
      <w:bookmarkEnd w:id="108"/>
    </w:p>
    <w:p>
      <w:pPr>
        <w:spacing w:line="440" w:lineRule="exact"/>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煤化工生产技术专业通过校企联合方式共同创建具有真实的岗位训练、具有职场氛围、具有企业文化，以及设备先进、软硬件配套的校内实训基地，现有化工单元实训室、煤化工生产综合实训室、煤质分析室、理化一体实训室等实训室八个，设备仪器总价值500余万元，远远高于理工农医类生均教学科研仪器设备值≥5000元的标准要求。</w:t>
      </w:r>
      <w:r>
        <w:rPr>
          <w:rFonts w:ascii="Times New Roman" w:hAnsi="Times New Roman"/>
          <w:color w:val="auto"/>
          <w:sz w:val="24"/>
          <w:highlight w:val="none"/>
        </w:rPr>
        <w:t>校内实验实训条件为本专业所开设的理实一体化教学、岗位专项技能实训、工种考核等教学提供了保证。</w:t>
      </w:r>
      <w:r>
        <w:rPr>
          <w:rFonts w:hint="eastAsia" w:ascii="Times New Roman" w:hAnsi="Times New Roman"/>
          <w:color w:val="auto"/>
          <w:sz w:val="24"/>
          <w:highlight w:val="none"/>
        </w:rPr>
        <w:t xml:space="preserve">同时与行业、企业密切合作开发实验实训项目，这些实训项目的开设与企业实际、行业发展相适应，完全能满足高端技能型人才培养的工作。 </w:t>
      </w:r>
    </w:p>
    <w:p>
      <w:pPr>
        <w:spacing w:line="360" w:lineRule="auto"/>
        <w:jc w:val="center"/>
        <w:rPr>
          <w:rFonts w:ascii="Times New Roman" w:hAnsi="Times New Roman"/>
          <w:bCs/>
          <w:color w:val="auto"/>
          <w:sz w:val="24"/>
          <w:highlight w:val="none"/>
        </w:rPr>
      </w:pPr>
      <w:r>
        <w:rPr>
          <w:rFonts w:hint="eastAsia" w:ascii="Times New Roman" w:hAnsi="Times New Roman"/>
          <w:bCs/>
          <w:color w:val="auto"/>
          <w:sz w:val="24"/>
          <w:highlight w:val="none"/>
        </w:rPr>
        <w:t>表5.9 校内实习基地情况</w:t>
      </w:r>
    </w:p>
    <w:tbl>
      <w:tblPr>
        <w:tblStyle w:val="15"/>
        <w:tblpPr w:leftFromText="180" w:rightFromText="180" w:vertAnchor="text" w:horzAnchor="page" w:tblpX="1807" w:tblpY="312"/>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2654"/>
        <w:gridCol w:w="5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23" w:type="dxa"/>
            <w:noWrap/>
            <w:vAlign w:val="center"/>
          </w:tcPr>
          <w:p>
            <w:pPr>
              <w:jc w:val="center"/>
              <w:rPr>
                <w:rFonts w:ascii="Times New Roman" w:hAnsi="Times New Roman"/>
                <w:bCs/>
                <w:color w:val="auto"/>
                <w:szCs w:val="21"/>
                <w:highlight w:val="none"/>
              </w:rPr>
            </w:pPr>
            <w:r>
              <w:rPr>
                <w:rFonts w:hint="eastAsia" w:ascii="Times New Roman" w:hAnsi="Times New Roman"/>
                <w:bCs/>
                <w:color w:val="auto"/>
                <w:szCs w:val="21"/>
                <w:highlight w:val="none"/>
              </w:rPr>
              <w:t>序号</w:t>
            </w:r>
          </w:p>
        </w:tc>
        <w:tc>
          <w:tcPr>
            <w:tcW w:w="2654" w:type="dxa"/>
            <w:noWrap/>
            <w:vAlign w:val="center"/>
          </w:tcPr>
          <w:p>
            <w:pPr>
              <w:jc w:val="center"/>
              <w:rPr>
                <w:rFonts w:ascii="Times New Roman" w:hAnsi="Times New Roman"/>
                <w:bCs/>
                <w:color w:val="auto"/>
                <w:szCs w:val="21"/>
                <w:highlight w:val="none"/>
              </w:rPr>
            </w:pPr>
            <w:r>
              <w:rPr>
                <w:rFonts w:hint="eastAsia" w:ascii="Times New Roman" w:hAnsi="Times New Roman"/>
                <w:bCs/>
                <w:color w:val="auto"/>
                <w:szCs w:val="21"/>
                <w:highlight w:val="none"/>
              </w:rPr>
              <w:t>实验实训室名称</w:t>
            </w:r>
          </w:p>
        </w:tc>
        <w:tc>
          <w:tcPr>
            <w:tcW w:w="5145" w:type="dxa"/>
            <w:noWrap/>
            <w:vAlign w:val="center"/>
          </w:tcPr>
          <w:p>
            <w:pPr>
              <w:jc w:val="center"/>
              <w:rPr>
                <w:rFonts w:ascii="Times New Roman" w:hAnsi="Times New Roman"/>
                <w:bCs/>
                <w:color w:val="auto"/>
                <w:szCs w:val="21"/>
                <w:highlight w:val="none"/>
              </w:rPr>
            </w:pPr>
            <w:r>
              <w:rPr>
                <w:rFonts w:hint="eastAsia" w:ascii="Times New Roman" w:hAnsi="Times New Roman"/>
                <w:bCs/>
                <w:color w:val="auto"/>
                <w:szCs w:val="21"/>
                <w:highlight w:val="none"/>
              </w:rPr>
              <w:t>主要实训项目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23"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2654"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化工单元实训室</w:t>
            </w:r>
          </w:p>
        </w:tc>
        <w:tc>
          <w:tcPr>
            <w:tcW w:w="5145" w:type="dxa"/>
            <w:noWrap/>
            <w:vAlign w:val="center"/>
          </w:tcPr>
          <w:p>
            <w:pPr>
              <w:jc w:val="left"/>
              <w:rPr>
                <w:rFonts w:ascii="Times New Roman" w:hAnsi="Times New Roman"/>
                <w:color w:val="auto"/>
                <w:szCs w:val="21"/>
                <w:highlight w:val="none"/>
              </w:rPr>
            </w:pPr>
            <w:r>
              <w:rPr>
                <w:rFonts w:hint="eastAsia" w:ascii="Times New Roman" w:hAnsi="Times New Roman"/>
                <w:color w:val="auto"/>
                <w:szCs w:val="21"/>
                <w:highlight w:val="none"/>
              </w:rPr>
              <w:t>伯努力实训、板式精馏实训，传热实训、填料吸收塔、圆筒式加热炉实训、离心泵实训、固定床反应器实训、釜式反应器实训等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2</w:t>
            </w:r>
          </w:p>
        </w:tc>
        <w:tc>
          <w:tcPr>
            <w:tcW w:w="2654"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煤化工生产综合实训室</w:t>
            </w:r>
          </w:p>
        </w:tc>
        <w:tc>
          <w:tcPr>
            <w:tcW w:w="5145" w:type="dxa"/>
            <w:noWrap/>
            <w:vAlign w:val="center"/>
          </w:tcPr>
          <w:p>
            <w:pPr>
              <w:jc w:val="left"/>
              <w:rPr>
                <w:rFonts w:ascii="Times New Roman" w:hAnsi="Times New Roman"/>
                <w:color w:val="auto"/>
                <w:szCs w:val="21"/>
                <w:highlight w:val="none"/>
              </w:rPr>
            </w:pPr>
            <w:r>
              <w:rPr>
                <w:rFonts w:hint="eastAsia" w:ascii="Times New Roman" w:hAnsi="Times New Roman"/>
                <w:color w:val="auto"/>
                <w:szCs w:val="21"/>
                <w:highlight w:val="none"/>
              </w:rPr>
              <w:t>用于原料、中间体、产品的分析检测及质量监控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3</w:t>
            </w:r>
          </w:p>
        </w:tc>
        <w:tc>
          <w:tcPr>
            <w:tcW w:w="2654"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食品分析实训室</w:t>
            </w:r>
          </w:p>
        </w:tc>
        <w:tc>
          <w:tcPr>
            <w:tcW w:w="5145" w:type="dxa"/>
            <w:noWrap/>
            <w:vAlign w:val="center"/>
          </w:tcPr>
          <w:p>
            <w:pPr>
              <w:jc w:val="left"/>
              <w:rPr>
                <w:rFonts w:ascii="Times New Roman" w:hAnsi="Times New Roman"/>
                <w:color w:val="auto"/>
                <w:szCs w:val="21"/>
                <w:highlight w:val="none"/>
              </w:rPr>
            </w:pPr>
            <w:r>
              <w:rPr>
                <w:rFonts w:hint="eastAsia" w:ascii="Times New Roman" w:hAnsi="Times New Roman"/>
                <w:color w:val="auto"/>
                <w:szCs w:val="21"/>
                <w:highlight w:val="none"/>
              </w:rPr>
              <w:t>食品中营养成分的测定、食品添加剂的测定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4</w:t>
            </w:r>
          </w:p>
        </w:tc>
        <w:tc>
          <w:tcPr>
            <w:tcW w:w="2654"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药物分析实训室</w:t>
            </w:r>
          </w:p>
        </w:tc>
        <w:tc>
          <w:tcPr>
            <w:tcW w:w="5145" w:type="dxa"/>
            <w:noWrap/>
            <w:vAlign w:val="center"/>
          </w:tcPr>
          <w:p>
            <w:pPr>
              <w:jc w:val="left"/>
              <w:rPr>
                <w:rFonts w:ascii="Times New Roman" w:hAnsi="Times New Roman"/>
                <w:color w:val="auto"/>
                <w:szCs w:val="21"/>
                <w:highlight w:val="none"/>
              </w:rPr>
            </w:pPr>
            <w:r>
              <w:rPr>
                <w:rFonts w:hint="eastAsia" w:ascii="Times New Roman" w:hAnsi="Times New Roman"/>
                <w:color w:val="auto"/>
                <w:szCs w:val="21"/>
                <w:highlight w:val="none"/>
              </w:rPr>
              <w:t>药物主要有效成分的分析与检测、有毒成分的检测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5</w:t>
            </w:r>
          </w:p>
        </w:tc>
        <w:tc>
          <w:tcPr>
            <w:tcW w:w="2654"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样品处理实训室</w:t>
            </w:r>
          </w:p>
        </w:tc>
        <w:tc>
          <w:tcPr>
            <w:tcW w:w="5145" w:type="dxa"/>
            <w:noWrap/>
            <w:vAlign w:val="center"/>
          </w:tcPr>
          <w:p>
            <w:pPr>
              <w:jc w:val="left"/>
              <w:rPr>
                <w:rFonts w:ascii="Times New Roman" w:hAnsi="Times New Roman"/>
                <w:color w:val="auto"/>
                <w:szCs w:val="21"/>
                <w:highlight w:val="none"/>
              </w:rPr>
            </w:pPr>
            <w:r>
              <w:rPr>
                <w:rFonts w:hint="eastAsia" w:ascii="Times New Roman" w:hAnsi="Times New Roman"/>
                <w:color w:val="auto"/>
                <w:szCs w:val="21"/>
                <w:highlight w:val="none"/>
              </w:rPr>
              <w:t>实训采样及样品处理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6</w:t>
            </w:r>
          </w:p>
        </w:tc>
        <w:tc>
          <w:tcPr>
            <w:tcW w:w="2654"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煤质分析实训室</w:t>
            </w:r>
          </w:p>
        </w:tc>
        <w:tc>
          <w:tcPr>
            <w:tcW w:w="5145" w:type="dxa"/>
            <w:noWrap/>
            <w:vAlign w:val="center"/>
          </w:tcPr>
          <w:p>
            <w:pPr>
              <w:jc w:val="left"/>
              <w:rPr>
                <w:rFonts w:ascii="Times New Roman" w:hAnsi="Times New Roman"/>
                <w:color w:val="auto"/>
                <w:szCs w:val="21"/>
                <w:highlight w:val="none"/>
              </w:rPr>
            </w:pPr>
            <w:r>
              <w:rPr>
                <w:rFonts w:hint="eastAsia" w:ascii="Times New Roman" w:hAnsi="Times New Roman"/>
                <w:color w:val="auto"/>
                <w:szCs w:val="21"/>
                <w:highlight w:val="none"/>
              </w:rPr>
              <w:t>煤的元素分析和工业分析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7</w:t>
            </w:r>
          </w:p>
        </w:tc>
        <w:tc>
          <w:tcPr>
            <w:tcW w:w="2654"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化工单元操作仿真实训室</w:t>
            </w:r>
          </w:p>
        </w:tc>
        <w:tc>
          <w:tcPr>
            <w:tcW w:w="5145" w:type="dxa"/>
            <w:noWrap/>
            <w:vAlign w:val="center"/>
          </w:tcPr>
          <w:p>
            <w:pPr>
              <w:jc w:val="left"/>
              <w:rPr>
                <w:rFonts w:ascii="Times New Roman" w:hAnsi="Times New Roman"/>
                <w:color w:val="auto"/>
                <w:szCs w:val="21"/>
                <w:highlight w:val="none"/>
              </w:rPr>
            </w:pPr>
            <w:r>
              <w:rPr>
                <w:rFonts w:hint="eastAsia" w:ascii="Times New Roman" w:hAnsi="Times New Roman"/>
                <w:color w:val="auto"/>
                <w:szCs w:val="21"/>
                <w:highlight w:val="none"/>
              </w:rPr>
              <w:t>合成氨工艺流程及工艺问题处理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Times New Roman" w:hAnsi="Times New Roman"/>
                <w:color w:val="auto"/>
                <w:szCs w:val="21"/>
                <w:highlight w:val="none"/>
              </w:rPr>
            </w:pPr>
            <w:r>
              <w:rPr>
                <w:rFonts w:hint="eastAsia" w:ascii="Times New Roman" w:hAnsi="Times New Roman"/>
                <w:color w:val="auto"/>
                <w:szCs w:val="21"/>
                <w:highlight w:val="none"/>
              </w:rPr>
              <w:t>8</w:t>
            </w:r>
          </w:p>
        </w:tc>
        <w:tc>
          <w:tcPr>
            <w:tcW w:w="2654" w:type="dxa"/>
            <w:noWrap/>
            <w:vAlign w:val="center"/>
          </w:tcPr>
          <w:p>
            <w:pPr>
              <w:jc w:val="center"/>
              <w:rPr>
                <w:rFonts w:ascii="Times New Roman" w:hAnsi="Times New Roman"/>
                <w:color w:val="auto"/>
                <w:szCs w:val="21"/>
                <w:highlight w:val="none"/>
              </w:rPr>
            </w:pPr>
            <w:r>
              <w:rPr>
                <w:rFonts w:ascii="Times New Roman" w:hAnsi="Times New Roman"/>
                <w:color w:val="auto"/>
                <w:highlight w:val="none"/>
              </w:rPr>
              <w:t>化工理实一体实训室</w:t>
            </w:r>
          </w:p>
        </w:tc>
        <w:tc>
          <w:tcPr>
            <w:tcW w:w="5145" w:type="dxa"/>
            <w:noWrap/>
            <w:vAlign w:val="center"/>
          </w:tcPr>
          <w:p>
            <w:pPr>
              <w:snapToGrid w:val="0"/>
              <w:jc w:val="left"/>
              <w:rPr>
                <w:rFonts w:ascii="Times New Roman" w:hAnsi="Times New Roman"/>
                <w:color w:val="auto"/>
                <w:szCs w:val="21"/>
                <w:highlight w:val="none"/>
              </w:rPr>
            </w:pPr>
            <w:r>
              <w:rPr>
                <w:rFonts w:hint="eastAsia" w:ascii="Times New Roman" w:hAnsi="Times New Roman"/>
                <w:color w:val="auto"/>
                <w:szCs w:val="21"/>
                <w:highlight w:val="none"/>
              </w:rPr>
              <w:t xml:space="preserve">认识实习、工艺绘图实训、生产操作安全实习、单体设备认知、生产岗位操作记录实训、安全事故应急预案演练等功能。 </w:t>
            </w:r>
          </w:p>
        </w:tc>
      </w:tr>
    </w:tbl>
    <w:p>
      <w:pPr>
        <w:spacing w:line="360" w:lineRule="auto"/>
        <w:jc w:val="center"/>
        <w:rPr>
          <w:rFonts w:ascii="Times New Roman" w:hAnsi="Times New Roman" w:eastAsia="黑体"/>
          <w:color w:val="auto"/>
          <w:sz w:val="18"/>
          <w:szCs w:val="18"/>
          <w:highlight w:val="none"/>
        </w:rPr>
      </w:pPr>
    </w:p>
    <w:p>
      <w:pPr>
        <w:spacing w:line="360" w:lineRule="auto"/>
        <w:jc w:val="center"/>
        <w:rPr>
          <w:rFonts w:ascii="Times New Roman" w:hAnsi="Times New Roman"/>
          <w:bCs/>
          <w:color w:val="auto"/>
          <w:sz w:val="24"/>
          <w:highlight w:val="none"/>
        </w:rPr>
      </w:pPr>
      <w:r>
        <w:rPr>
          <w:rFonts w:hint="eastAsia" w:ascii="Times New Roman" w:hAnsi="Times New Roman"/>
          <w:bCs/>
          <w:color w:val="auto"/>
          <w:sz w:val="24"/>
          <w:highlight w:val="none"/>
        </w:rPr>
        <w:t>表5.10 校内实习基地主要设备一览表</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3435"/>
        <w:gridCol w:w="1031"/>
        <w:gridCol w:w="859"/>
        <w:gridCol w:w="1375"/>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619" w:type="dxa"/>
            <w:noWrap/>
            <w:vAlign w:val="center"/>
          </w:tcPr>
          <w:p>
            <w:pPr>
              <w:spacing w:line="380" w:lineRule="exact"/>
              <w:jc w:val="center"/>
              <w:rPr>
                <w:rFonts w:ascii="Times New Roman" w:hAnsi="Times New Roman"/>
                <w:color w:val="auto"/>
                <w:szCs w:val="21"/>
                <w:highlight w:val="none"/>
              </w:rPr>
            </w:pPr>
            <w:r>
              <w:rPr>
                <w:rFonts w:hint="eastAsia" w:ascii="Times New Roman" w:hAnsi="Times New Roman"/>
                <w:color w:val="auto"/>
                <w:szCs w:val="21"/>
                <w:highlight w:val="none"/>
              </w:rPr>
              <w:t>序号</w:t>
            </w:r>
          </w:p>
        </w:tc>
        <w:tc>
          <w:tcPr>
            <w:tcW w:w="3435" w:type="dxa"/>
            <w:noWrap/>
            <w:vAlign w:val="center"/>
          </w:tcPr>
          <w:p>
            <w:pPr>
              <w:spacing w:line="380" w:lineRule="exact"/>
              <w:jc w:val="center"/>
              <w:rPr>
                <w:rFonts w:ascii="Times New Roman" w:hAnsi="Times New Roman"/>
                <w:color w:val="auto"/>
                <w:szCs w:val="21"/>
                <w:highlight w:val="none"/>
              </w:rPr>
            </w:pPr>
            <w:r>
              <w:rPr>
                <w:rFonts w:hint="eastAsia" w:ascii="Times New Roman" w:hAnsi="Times New Roman"/>
                <w:color w:val="auto"/>
                <w:szCs w:val="21"/>
                <w:highlight w:val="none"/>
              </w:rPr>
              <w:t>设备名称</w:t>
            </w:r>
          </w:p>
        </w:tc>
        <w:tc>
          <w:tcPr>
            <w:tcW w:w="1031" w:type="dxa"/>
            <w:noWrap/>
            <w:vAlign w:val="center"/>
          </w:tcPr>
          <w:p>
            <w:pPr>
              <w:spacing w:line="380" w:lineRule="exact"/>
              <w:jc w:val="center"/>
              <w:rPr>
                <w:rFonts w:ascii="Times New Roman" w:hAnsi="Times New Roman"/>
                <w:color w:val="auto"/>
                <w:szCs w:val="21"/>
                <w:highlight w:val="none"/>
              </w:rPr>
            </w:pPr>
            <w:r>
              <w:rPr>
                <w:rFonts w:hint="eastAsia" w:ascii="Times New Roman" w:hAnsi="Times New Roman"/>
                <w:color w:val="auto"/>
                <w:szCs w:val="21"/>
                <w:highlight w:val="none"/>
              </w:rPr>
              <w:t>单价</w:t>
            </w:r>
          </w:p>
        </w:tc>
        <w:tc>
          <w:tcPr>
            <w:tcW w:w="859" w:type="dxa"/>
            <w:noWrap/>
            <w:vAlign w:val="center"/>
          </w:tcPr>
          <w:p>
            <w:pPr>
              <w:spacing w:line="380" w:lineRule="exact"/>
              <w:jc w:val="center"/>
              <w:rPr>
                <w:rFonts w:ascii="Times New Roman" w:hAnsi="Times New Roman"/>
                <w:color w:val="auto"/>
                <w:szCs w:val="21"/>
                <w:highlight w:val="none"/>
              </w:rPr>
            </w:pPr>
            <w:r>
              <w:rPr>
                <w:rFonts w:hint="eastAsia" w:ascii="Times New Roman" w:hAnsi="Times New Roman"/>
                <w:color w:val="auto"/>
                <w:szCs w:val="21"/>
                <w:highlight w:val="none"/>
              </w:rPr>
              <w:t>台数</w:t>
            </w:r>
          </w:p>
        </w:tc>
        <w:tc>
          <w:tcPr>
            <w:tcW w:w="1375" w:type="dxa"/>
            <w:noWrap/>
            <w:vAlign w:val="center"/>
          </w:tcPr>
          <w:p>
            <w:pPr>
              <w:spacing w:line="380" w:lineRule="exact"/>
              <w:jc w:val="center"/>
              <w:rPr>
                <w:rFonts w:ascii="Times New Roman" w:hAnsi="Times New Roman"/>
                <w:color w:val="auto"/>
                <w:szCs w:val="21"/>
                <w:highlight w:val="none"/>
              </w:rPr>
            </w:pPr>
            <w:r>
              <w:rPr>
                <w:rFonts w:hint="eastAsia" w:ascii="Times New Roman" w:hAnsi="Times New Roman"/>
                <w:color w:val="auto"/>
                <w:szCs w:val="21"/>
                <w:highlight w:val="none"/>
              </w:rPr>
              <w:t>金额（万元）</w:t>
            </w:r>
          </w:p>
        </w:tc>
        <w:tc>
          <w:tcPr>
            <w:tcW w:w="1203" w:type="dxa"/>
            <w:noWrap/>
            <w:vAlign w:val="center"/>
          </w:tcPr>
          <w:p>
            <w:pPr>
              <w:spacing w:line="380" w:lineRule="exact"/>
              <w:jc w:val="center"/>
              <w:rPr>
                <w:rFonts w:ascii="Times New Roman" w:hAnsi="Times New Roman"/>
                <w:color w:val="auto"/>
                <w:szCs w:val="21"/>
                <w:highlight w:val="none"/>
              </w:rPr>
            </w:pPr>
            <w:r>
              <w:rPr>
                <w:rFonts w:hint="eastAsia" w:ascii="Times New Roman" w:hAnsi="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雷诺实验装置</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0.556</w:t>
            </w:r>
          </w:p>
        </w:tc>
        <w:tc>
          <w:tcPr>
            <w:tcW w:w="859"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1套</w:t>
            </w:r>
          </w:p>
        </w:tc>
        <w:tc>
          <w:tcPr>
            <w:tcW w:w="137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0.556</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2</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伯努利方程式</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0.555</w:t>
            </w:r>
          </w:p>
        </w:tc>
        <w:tc>
          <w:tcPr>
            <w:tcW w:w="859"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1套</w:t>
            </w:r>
          </w:p>
        </w:tc>
        <w:tc>
          <w:tcPr>
            <w:tcW w:w="137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0.555</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3</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单相流动阻力实验装置</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1.3</w:t>
            </w:r>
          </w:p>
        </w:tc>
        <w:tc>
          <w:tcPr>
            <w:tcW w:w="859"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1套</w:t>
            </w:r>
          </w:p>
        </w:tc>
        <w:tc>
          <w:tcPr>
            <w:tcW w:w="137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1.3</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4</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传热实验装置</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2.27</w:t>
            </w:r>
          </w:p>
        </w:tc>
        <w:tc>
          <w:tcPr>
            <w:tcW w:w="859"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1套</w:t>
            </w:r>
          </w:p>
        </w:tc>
        <w:tc>
          <w:tcPr>
            <w:tcW w:w="137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2.27</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5</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吸收实验装置</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2.5</w:t>
            </w:r>
          </w:p>
        </w:tc>
        <w:tc>
          <w:tcPr>
            <w:tcW w:w="859"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1套</w:t>
            </w:r>
          </w:p>
        </w:tc>
        <w:tc>
          <w:tcPr>
            <w:tcW w:w="137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2.5</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6</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精馏塔数采及控制装置</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2.27</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1套</w:t>
            </w:r>
          </w:p>
        </w:tc>
        <w:tc>
          <w:tcPr>
            <w:tcW w:w="137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2.27</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7</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数子电导率仪</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0.1576</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5台</w:t>
            </w:r>
          </w:p>
        </w:tc>
        <w:tc>
          <w:tcPr>
            <w:tcW w:w="1375"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color w:val="auto"/>
                <w:szCs w:val="21"/>
                <w:highlight w:val="none"/>
              </w:rPr>
              <w:t>0.788</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8</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电位滴定装置</w:t>
            </w:r>
          </w:p>
        </w:tc>
        <w:tc>
          <w:tcPr>
            <w:tcW w:w="1031"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color w:val="auto"/>
                <w:szCs w:val="21"/>
                <w:highlight w:val="none"/>
              </w:rPr>
              <w:t>0.4494</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10</w:t>
            </w:r>
          </w:p>
        </w:tc>
        <w:tc>
          <w:tcPr>
            <w:tcW w:w="137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4.494</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9</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可见分光光度计</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0.266</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30</w:t>
            </w:r>
          </w:p>
        </w:tc>
        <w:tc>
          <w:tcPr>
            <w:tcW w:w="1375"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color w:val="auto"/>
                <w:szCs w:val="21"/>
                <w:highlight w:val="none"/>
              </w:rPr>
              <w:t>7.98</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10</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超声波清洗器</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0.57</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3台</w:t>
            </w:r>
          </w:p>
        </w:tc>
        <w:tc>
          <w:tcPr>
            <w:tcW w:w="137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1.71</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11</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恒温水浴锅</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0.0822</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7台</w:t>
            </w:r>
          </w:p>
        </w:tc>
        <w:tc>
          <w:tcPr>
            <w:tcW w:w="137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0.5754</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12</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精馏操作实训装置</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20</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color w:val="auto"/>
                <w:szCs w:val="21"/>
                <w:highlight w:val="none"/>
              </w:rPr>
              <w:t>20</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13</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高效液相色谱仪</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22.2</w:t>
            </w:r>
          </w:p>
        </w:tc>
        <w:tc>
          <w:tcPr>
            <w:tcW w:w="859" w:type="dxa"/>
            <w:noWrap/>
            <w:vAlign w:val="center"/>
          </w:tcPr>
          <w:p>
            <w:pPr>
              <w:spacing w:line="360" w:lineRule="auto"/>
              <w:jc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22.2</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14</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紫外可见光分光光度计</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6</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color w:val="auto"/>
                <w:szCs w:val="21"/>
                <w:highlight w:val="none"/>
              </w:rPr>
              <w:t>6</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15</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旋转蒸发器(蒸发锅)</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0.485</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11</w:t>
            </w:r>
          </w:p>
        </w:tc>
        <w:tc>
          <w:tcPr>
            <w:tcW w:w="137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5.335</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16</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萃取操作实训单元装置</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15</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15</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17</w:t>
            </w:r>
          </w:p>
        </w:tc>
        <w:tc>
          <w:tcPr>
            <w:tcW w:w="343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过滤操作实训单元装置</w:t>
            </w:r>
          </w:p>
        </w:tc>
        <w:tc>
          <w:tcPr>
            <w:tcW w:w="1031"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15</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bCs/>
                <w:color w:val="auto"/>
                <w:szCs w:val="21"/>
                <w:highlight w:val="none"/>
              </w:rPr>
            </w:pPr>
            <w:r>
              <w:rPr>
                <w:rFonts w:hint="eastAsia" w:ascii="Times New Roman" w:hAnsi="Times New Roman"/>
                <w:color w:val="auto"/>
                <w:szCs w:val="21"/>
                <w:highlight w:val="none"/>
              </w:rPr>
              <w:t>15</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18</w:t>
            </w:r>
          </w:p>
        </w:tc>
        <w:tc>
          <w:tcPr>
            <w:tcW w:w="3435" w:type="dxa"/>
            <w:noWrap/>
            <w:vAlign w:val="center"/>
          </w:tcPr>
          <w:p>
            <w:pPr>
              <w:autoSpaceDN w:val="0"/>
              <w:jc w:val="center"/>
              <w:textAlignment w:val="center"/>
              <w:rPr>
                <w:rFonts w:ascii="Times New Roman" w:hAnsi="Times New Roman"/>
                <w:color w:val="auto"/>
                <w:szCs w:val="21"/>
                <w:highlight w:val="none"/>
              </w:rPr>
            </w:pPr>
            <w:r>
              <w:rPr>
                <w:rFonts w:ascii="Times New Roman" w:hAnsi="Times New Roman"/>
                <w:color w:val="auto"/>
                <w:highlight w:val="none"/>
              </w:rPr>
              <w:t>碳氢元素分析仪</w:t>
            </w:r>
          </w:p>
        </w:tc>
        <w:tc>
          <w:tcPr>
            <w:tcW w:w="1031"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1.4</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5</w:t>
            </w:r>
          </w:p>
        </w:tc>
        <w:tc>
          <w:tcPr>
            <w:tcW w:w="137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7</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19</w:t>
            </w:r>
          </w:p>
        </w:tc>
        <w:tc>
          <w:tcPr>
            <w:tcW w:w="3435" w:type="dxa"/>
            <w:noWrap/>
            <w:vAlign w:val="center"/>
          </w:tcPr>
          <w:p>
            <w:pPr>
              <w:autoSpaceDN w:val="0"/>
              <w:jc w:val="center"/>
              <w:textAlignment w:val="center"/>
              <w:rPr>
                <w:rFonts w:ascii="Times New Roman" w:hAnsi="Times New Roman"/>
                <w:color w:val="auto"/>
                <w:szCs w:val="21"/>
                <w:highlight w:val="none"/>
              </w:rPr>
            </w:pPr>
            <w:r>
              <w:rPr>
                <w:rFonts w:ascii="Times New Roman" w:hAnsi="Times New Roman"/>
                <w:color w:val="auto"/>
                <w:highlight w:val="none"/>
              </w:rPr>
              <w:t>微机全自动测硫仪</w:t>
            </w:r>
          </w:p>
        </w:tc>
        <w:tc>
          <w:tcPr>
            <w:tcW w:w="1031"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4</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4</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20</w:t>
            </w:r>
          </w:p>
        </w:tc>
        <w:tc>
          <w:tcPr>
            <w:tcW w:w="3435" w:type="dxa"/>
            <w:noWrap/>
            <w:vAlign w:val="center"/>
          </w:tcPr>
          <w:p>
            <w:pPr>
              <w:autoSpaceDN w:val="0"/>
              <w:jc w:val="center"/>
              <w:textAlignment w:val="center"/>
              <w:rPr>
                <w:rFonts w:ascii="Times New Roman" w:hAnsi="Times New Roman"/>
                <w:color w:val="auto"/>
                <w:szCs w:val="21"/>
                <w:highlight w:val="none"/>
              </w:rPr>
            </w:pPr>
            <w:r>
              <w:rPr>
                <w:rFonts w:ascii="Times New Roman" w:hAnsi="Times New Roman"/>
                <w:color w:val="auto"/>
                <w:highlight w:val="none"/>
              </w:rPr>
              <w:t>荧光分光光度计</w:t>
            </w:r>
          </w:p>
        </w:tc>
        <w:tc>
          <w:tcPr>
            <w:tcW w:w="1031"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2</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2</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21</w:t>
            </w:r>
          </w:p>
        </w:tc>
        <w:tc>
          <w:tcPr>
            <w:tcW w:w="3435" w:type="dxa"/>
            <w:noWrap/>
            <w:vAlign w:val="center"/>
          </w:tcPr>
          <w:p>
            <w:pPr>
              <w:autoSpaceDN w:val="0"/>
              <w:jc w:val="center"/>
              <w:textAlignment w:val="center"/>
              <w:rPr>
                <w:rFonts w:ascii="Times New Roman" w:hAnsi="Times New Roman"/>
                <w:color w:val="auto"/>
                <w:szCs w:val="21"/>
                <w:highlight w:val="none"/>
              </w:rPr>
            </w:pPr>
            <w:r>
              <w:rPr>
                <w:rFonts w:ascii="Times New Roman" w:hAnsi="Times New Roman"/>
                <w:color w:val="auto"/>
                <w:highlight w:val="none"/>
              </w:rPr>
              <w:t>薄层色谱系统</w:t>
            </w:r>
          </w:p>
        </w:tc>
        <w:tc>
          <w:tcPr>
            <w:tcW w:w="1031"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3</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3</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22</w:t>
            </w:r>
          </w:p>
        </w:tc>
        <w:tc>
          <w:tcPr>
            <w:tcW w:w="3435" w:type="dxa"/>
            <w:noWrap/>
            <w:vAlign w:val="center"/>
          </w:tcPr>
          <w:p>
            <w:pPr>
              <w:autoSpaceDN w:val="0"/>
              <w:jc w:val="center"/>
              <w:textAlignment w:val="center"/>
              <w:rPr>
                <w:rFonts w:ascii="Times New Roman" w:hAnsi="Times New Roman"/>
                <w:color w:val="auto"/>
                <w:szCs w:val="21"/>
                <w:highlight w:val="none"/>
              </w:rPr>
            </w:pPr>
            <w:r>
              <w:rPr>
                <w:rFonts w:ascii="Times New Roman" w:hAnsi="Times New Roman"/>
                <w:color w:val="auto"/>
                <w:highlight w:val="none"/>
              </w:rPr>
              <w:t>自动工业分析仪</w:t>
            </w:r>
          </w:p>
        </w:tc>
        <w:tc>
          <w:tcPr>
            <w:tcW w:w="1031"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12.5</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12.5</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23</w:t>
            </w:r>
          </w:p>
        </w:tc>
        <w:tc>
          <w:tcPr>
            <w:tcW w:w="3435" w:type="dxa"/>
            <w:noWrap/>
            <w:vAlign w:val="center"/>
          </w:tcPr>
          <w:p>
            <w:pPr>
              <w:autoSpaceDN w:val="0"/>
              <w:jc w:val="center"/>
              <w:textAlignment w:val="center"/>
              <w:rPr>
                <w:rFonts w:ascii="Times New Roman" w:hAnsi="Times New Roman"/>
                <w:color w:val="auto"/>
                <w:szCs w:val="21"/>
                <w:highlight w:val="none"/>
              </w:rPr>
            </w:pPr>
            <w:r>
              <w:rPr>
                <w:rFonts w:ascii="Times New Roman" w:hAnsi="Times New Roman"/>
                <w:color w:val="auto"/>
                <w:highlight w:val="none"/>
              </w:rPr>
              <w:t>显微镜</w:t>
            </w:r>
          </w:p>
        </w:tc>
        <w:tc>
          <w:tcPr>
            <w:tcW w:w="1031"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1.5</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4</w:t>
            </w:r>
          </w:p>
        </w:tc>
        <w:tc>
          <w:tcPr>
            <w:tcW w:w="137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6</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24</w:t>
            </w:r>
          </w:p>
        </w:tc>
        <w:tc>
          <w:tcPr>
            <w:tcW w:w="3435" w:type="dxa"/>
            <w:noWrap/>
            <w:vAlign w:val="center"/>
          </w:tcPr>
          <w:p>
            <w:pPr>
              <w:autoSpaceDN w:val="0"/>
              <w:jc w:val="center"/>
              <w:textAlignment w:val="center"/>
              <w:rPr>
                <w:rFonts w:ascii="Times New Roman" w:hAnsi="Times New Roman"/>
                <w:color w:val="auto"/>
                <w:szCs w:val="21"/>
                <w:highlight w:val="none"/>
              </w:rPr>
            </w:pPr>
            <w:r>
              <w:rPr>
                <w:rFonts w:ascii="Times New Roman" w:hAnsi="Times New Roman"/>
                <w:color w:val="auto"/>
                <w:highlight w:val="none"/>
              </w:rPr>
              <w:t>COD测定仪</w:t>
            </w:r>
          </w:p>
        </w:tc>
        <w:tc>
          <w:tcPr>
            <w:tcW w:w="1031"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1.1</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1.1</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25</w:t>
            </w:r>
          </w:p>
        </w:tc>
        <w:tc>
          <w:tcPr>
            <w:tcW w:w="343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highlight w:val="none"/>
              </w:rPr>
              <w:t>B</w:t>
            </w:r>
            <w:r>
              <w:rPr>
                <w:rFonts w:ascii="Times New Roman" w:hAnsi="Times New Roman"/>
                <w:color w:val="auto"/>
                <w:highlight w:val="none"/>
              </w:rPr>
              <w:t>OD测定仪</w:t>
            </w:r>
          </w:p>
        </w:tc>
        <w:tc>
          <w:tcPr>
            <w:tcW w:w="1031"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2.1</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2.1</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26</w:t>
            </w:r>
          </w:p>
        </w:tc>
        <w:tc>
          <w:tcPr>
            <w:tcW w:w="3435" w:type="dxa"/>
            <w:noWrap/>
            <w:vAlign w:val="center"/>
          </w:tcPr>
          <w:p>
            <w:pPr>
              <w:autoSpaceDN w:val="0"/>
              <w:jc w:val="center"/>
              <w:textAlignment w:val="center"/>
              <w:rPr>
                <w:rFonts w:ascii="Times New Roman" w:hAnsi="Times New Roman"/>
                <w:color w:val="auto"/>
                <w:highlight w:val="none"/>
              </w:rPr>
            </w:pPr>
            <w:r>
              <w:rPr>
                <w:rFonts w:ascii="Times New Roman" w:hAnsi="Times New Roman"/>
                <w:color w:val="auto"/>
                <w:highlight w:val="none"/>
              </w:rPr>
              <w:t>便携式水质重金属测定仪</w:t>
            </w:r>
          </w:p>
        </w:tc>
        <w:tc>
          <w:tcPr>
            <w:tcW w:w="1031"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7.8</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7.8</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27</w:t>
            </w:r>
          </w:p>
        </w:tc>
        <w:tc>
          <w:tcPr>
            <w:tcW w:w="3435" w:type="dxa"/>
            <w:noWrap/>
            <w:vAlign w:val="center"/>
          </w:tcPr>
          <w:p>
            <w:pPr>
              <w:autoSpaceDN w:val="0"/>
              <w:jc w:val="center"/>
              <w:textAlignment w:val="center"/>
              <w:rPr>
                <w:rFonts w:ascii="Times New Roman" w:hAnsi="Times New Roman"/>
                <w:color w:val="auto"/>
                <w:highlight w:val="none"/>
              </w:rPr>
            </w:pPr>
            <w:r>
              <w:rPr>
                <w:rFonts w:ascii="Times New Roman" w:hAnsi="Times New Roman"/>
                <w:color w:val="auto"/>
                <w:highlight w:val="none"/>
              </w:rPr>
              <w:t>便携式水质分析系统</w:t>
            </w:r>
          </w:p>
        </w:tc>
        <w:tc>
          <w:tcPr>
            <w:tcW w:w="1031"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4.4</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4.4</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28</w:t>
            </w:r>
          </w:p>
        </w:tc>
        <w:tc>
          <w:tcPr>
            <w:tcW w:w="3435" w:type="dxa"/>
            <w:noWrap/>
            <w:vAlign w:val="center"/>
          </w:tcPr>
          <w:p>
            <w:pPr>
              <w:autoSpaceDN w:val="0"/>
              <w:jc w:val="center"/>
              <w:textAlignment w:val="center"/>
              <w:rPr>
                <w:rFonts w:ascii="Times New Roman" w:hAnsi="Times New Roman"/>
                <w:color w:val="auto"/>
                <w:highlight w:val="none"/>
              </w:rPr>
            </w:pPr>
            <w:r>
              <w:rPr>
                <w:rFonts w:ascii="Times New Roman" w:hAnsi="Times New Roman"/>
                <w:color w:val="auto"/>
                <w:highlight w:val="none"/>
              </w:rPr>
              <w:t>化工操作单元仿真实训室——硬件系统</w:t>
            </w:r>
            <w:r>
              <w:rPr>
                <w:rFonts w:hint="eastAsia" w:ascii="Times New Roman" w:hAnsi="Times New Roman"/>
                <w:color w:val="auto"/>
                <w:highlight w:val="none"/>
              </w:rPr>
              <w:t>、软件及配套</w:t>
            </w:r>
          </w:p>
        </w:tc>
        <w:tc>
          <w:tcPr>
            <w:tcW w:w="1031"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24</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24</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29</w:t>
            </w:r>
          </w:p>
        </w:tc>
        <w:tc>
          <w:tcPr>
            <w:tcW w:w="3435" w:type="dxa"/>
            <w:noWrap/>
            <w:vAlign w:val="center"/>
          </w:tcPr>
          <w:p>
            <w:pPr>
              <w:autoSpaceDN w:val="0"/>
              <w:jc w:val="center"/>
              <w:textAlignment w:val="center"/>
              <w:rPr>
                <w:rFonts w:ascii="Times New Roman" w:hAnsi="Times New Roman"/>
                <w:color w:val="auto"/>
                <w:highlight w:val="none"/>
              </w:rPr>
            </w:pPr>
            <w:r>
              <w:rPr>
                <w:rFonts w:ascii="Times New Roman" w:hAnsi="Times New Roman"/>
                <w:color w:val="auto"/>
                <w:sz w:val="18"/>
                <w:szCs w:val="18"/>
                <w:highlight w:val="none"/>
              </w:rPr>
              <w:t>智能沙盘</w:t>
            </w:r>
          </w:p>
        </w:tc>
        <w:tc>
          <w:tcPr>
            <w:tcW w:w="1031"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32.5</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32.5</w:t>
            </w:r>
          </w:p>
        </w:tc>
        <w:tc>
          <w:tcPr>
            <w:tcW w:w="1203" w:type="dxa"/>
            <w:noWrap/>
            <w:vAlign w:val="center"/>
          </w:tcPr>
          <w:p>
            <w:pPr>
              <w:spacing w:line="360" w:lineRule="auto"/>
              <w:jc w:val="center"/>
              <w:rPr>
                <w:rFonts w:ascii="Times New Roman" w:hAnsi="Times New Roman"/>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Times New Roman" w:hAnsi="Times New Roman"/>
                <w:bCs/>
                <w:color w:val="auto"/>
                <w:szCs w:val="21"/>
                <w:highlight w:val="none"/>
              </w:rPr>
            </w:pPr>
            <w:r>
              <w:rPr>
                <w:rFonts w:hint="eastAsia" w:ascii="Times New Roman" w:hAnsi="Times New Roman"/>
                <w:bCs/>
                <w:color w:val="auto"/>
                <w:szCs w:val="21"/>
                <w:highlight w:val="none"/>
              </w:rPr>
              <w:t>30</w:t>
            </w:r>
          </w:p>
        </w:tc>
        <w:tc>
          <w:tcPr>
            <w:tcW w:w="3435" w:type="dxa"/>
            <w:noWrap/>
            <w:vAlign w:val="center"/>
          </w:tcPr>
          <w:p>
            <w:pPr>
              <w:autoSpaceDN w:val="0"/>
              <w:jc w:val="center"/>
              <w:textAlignment w:val="center"/>
              <w:rPr>
                <w:rFonts w:ascii="Times New Roman" w:hAnsi="Times New Roman"/>
                <w:color w:val="auto"/>
                <w:highlight w:val="none"/>
              </w:rPr>
            </w:pPr>
            <w:r>
              <w:rPr>
                <w:rFonts w:ascii="Times New Roman" w:hAnsi="Times New Roman"/>
                <w:color w:val="auto"/>
                <w:highlight w:val="none"/>
              </w:rPr>
              <w:t>微机灰熔点测定仪</w:t>
            </w:r>
          </w:p>
        </w:tc>
        <w:tc>
          <w:tcPr>
            <w:tcW w:w="1031"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3.2</w:t>
            </w:r>
          </w:p>
        </w:tc>
        <w:tc>
          <w:tcPr>
            <w:tcW w:w="859"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1</w:t>
            </w:r>
          </w:p>
        </w:tc>
        <w:tc>
          <w:tcPr>
            <w:tcW w:w="1375"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3.2</w:t>
            </w:r>
          </w:p>
        </w:tc>
        <w:tc>
          <w:tcPr>
            <w:tcW w:w="1203" w:type="dxa"/>
            <w:noWrap/>
            <w:vAlign w:val="center"/>
          </w:tcPr>
          <w:p>
            <w:pPr>
              <w:spacing w:line="360" w:lineRule="auto"/>
              <w:jc w:val="center"/>
              <w:rPr>
                <w:rFonts w:ascii="Times New Roman" w:hAnsi="Times New Roman"/>
                <w:bCs/>
                <w:color w:val="auto"/>
                <w:szCs w:val="21"/>
                <w:highlight w:val="none"/>
              </w:rPr>
            </w:pPr>
          </w:p>
        </w:tc>
      </w:tr>
    </w:tbl>
    <w:p>
      <w:pPr>
        <w:spacing w:line="360" w:lineRule="auto"/>
        <w:rPr>
          <w:rFonts w:hint="eastAsia" w:ascii="Times New Roman" w:hAnsi="Times New Roman" w:eastAsia="黑体" w:cs="黑体"/>
          <w:bCs/>
          <w:color w:val="auto"/>
          <w:sz w:val="30"/>
          <w:szCs w:val="30"/>
          <w:highlight w:val="none"/>
          <w:lang w:val="en-US" w:eastAsia="zh-CN"/>
        </w:rPr>
      </w:pPr>
      <w:bookmarkStart w:id="109" w:name="_Toc16338"/>
      <w:bookmarkStart w:id="110" w:name="_Toc7654"/>
      <w:r>
        <w:rPr>
          <w:rFonts w:hint="eastAsia" w:ascii="Times New Roman" w:hAnsi="Times New Roman" w:eastAsia="黑体" w:cs="黑体"/>
          <w:bCs/>
          <w:color w:val="auto"/>
          <w:sz w:val="30"/>
          <w:szCs w:val="30"/>
          <w:highlight w:val="none"/>
          <w:lang w:val="en-US" w:eastAsia="zh-CN"/>
        </w:rPr>
        <w:t>（二）校外实习基地教学条件</w:t>
      </w:r>
      <w:bookmarkEnd w:id="109"/>
      <w:bookmarkEnd w:id="110"/>
    </w:p>
    <w:p>
      <w:pPr>
        <w:spacing w:line="440" w:lineRule="exact"/>
        <w:ind w:firstLine="480" w:firstLineChars="200"/>
        <w:rPr>
          <w:rFonts w:ascii="Times New Roman" w:hAnsi="Times New Roman"/>
          <w:color w:val="auto"/>
          <w:sz w:val="24"/>
          <w:highlight w:val="none"/>
        </w:rPr>
      </w:pPr>
      <w:r>
        <w:rPr>
          <w:rFonts w:ascii="Times New Roman" w:hAnsi="Times New Roman"/>
          <w:color w:val="auto"/>
          <w:sz w:val="24"/>
          <w:highlight w:val="none"/>
        </w:rPr>
        <w:t>实训和顶岗实习是高职教育不可缺少的一个重要教学环节，也直接关系到人才培养目标能否实现的关键性环节。为了能够培养符合</w:t>
      </w:r>
      <w:r>
        <w:rPr>
          <w:rFonts w:hint="eastAsia" w:ascii="Times New Roman" w:hAnsi="Times New Roman"/>
          <w:color w:val="auto"/>
          <w:sz w:val="24"/>
          <w:highlight w:val="none"/>
        </w:rPr>
        <w:t>煤化工</w:t>
      </w:r>
      <w:r>
        <w:rPr>
          <w:rFonts w:ascii="Times New Roman" w:hAnsi="Times New Roman"/>
          <w:color w:val="auto"/>
          <w:sz w:val="24"/>
          <w:highlight w:val="none"/>
        </w:rPr>
        <w:t>企业要求的</w:t>
      </w:r>
      <w:r>
        <w:rPr>
          <w:rFonts w:hint="eastAsia" w:ascii="Times New Roman" w:hAnsi="Times New Roman"/>
          <w:color w:val="auto"/>
          <w:sz w:val="24"/>
          <w:highlight w:val="none"/>
        </w:rPr>
        <w:t>煤化工生产技术</w:t>
      </w:r>
      <w:r>
        <w:rPr>
          <w:rFonts w:ascii="Times New Roman" w:hAnsi="Times New Roman"/>
          <w:color w:val="auto"/>
          <w:sz w:val="24"/>
          <w:highlight w:val="none"/>
        </w:rPr>
        <w:t>专业</w:t>
      </w:r>
      <w:r>
        <w:rPr>
          <w:rFonts w:hint="eastAsia" w:ascii="Times New Roman" w:hAnsi="Times New Roman"/>
          <w:color w:val="auto"/>
          <w:sz w:val="24"/>
          <w:highlight w:val="none"/>
        </w:rPr>
        <w:t>高端技能型</w:t>
      </w:r>
      <w:r>
        <w:rPr>
          <w:rFonts w:ascii="Times New Roman" w:hAnsi="Times New Roman"/>
          <w:color w:val="auto"/>
          <w:sz w:val="24"/>
          <w:highlight w:val="none"/>
        </w:rPr>
        <w:t>专门人才，</w:t>
      </w:r>
      <w:r>
        <w:rPr>
          <w:rFonts w:hint="eastAsia" w:ascii="Times New Roman" w:hAnsi="Times New Roman"/>
          <w:color w:val="auto"/>
          <w:sz w:val="24"/>
          <w:highlight w:val="none"/>
        </w:rPr>
        <w:t>现</w:t>
      </w:r>
      <w:r>
        <w:rPr>
          <w:rFonts w:ascii="Times New Roman" w:hAnsi="Times New Roman"/>
          <w:color w:val="auto"/>
          <w:sz w:val="24"/>
          <w:highlight w:val="none"/>
        </w:rPr>
        <w:t>建有</w:t>
      </w:r>
      <w:r>
        <w:rPr>
          <w:rFonts w:hint="eastAsia" w:ascii="Times New Roman" w:hAnsi="Times New Roman"/>
          <w:color w:val="auto"/>
          <w:sz w:val="24"/>
          <w:highlight w:val="none"/>
        </w:rPr>
        <w:t>5</w:t>
      </w:r>
      <w:r>
        <w:rPr>
          <w:rFonts w:ascii="Times New Roman" w:hAnsi="Times New Roman"/>
          <w:color w:val="auto"/>
          <w:sz w:val="24"/>
          <w:highlight w:val="none"/>
        </w:rPr>
        <w:t>个校外实</w:t>
      </w:r>
      <w:r>
        <w:rPr>
          <w:rFonts w:hint="eastAsia" w:ascii="Times New Roman" w:hAnsi="Times New Roman"/>
          <w:color w:val="auto"/>
          <w:sz w:val="24"/>
          <w:highlight w:val="none"/>
        </w:rPr>
        <w:t>习</w:t>
      </w:r>
      <w:r>
        <w:rPr>
          <w:rFonts w:ascii="Times New Roman" w:hAnsi="Times New Roman"/>
          <w:color w:val="auto"/>
          <w:sz w:val="24"/>
          <w:highlight w:val="none"/>
        </w:rPr>
        <w:t>基地。</w:t>
      </w:r>
    </w:p>
    <w:p>
      <w:pPr>
        <w:spacing w:line="360" w:lineRule="auto"/>
        <w:jc w:val="center"/>
        <w:rPr>
          <w:rFonts w:ascii="Times New Roman" w:hAnsi="Times New Roman"/>
          <w:bCs/>
          <w:color w:val="auto"/>
          <w:sz w:val="24"/>
          <w:highlight w:val="none"/>
        </w:rPr>
      </w:pPr>
      <w:r>
        <w:rPr>
          <w:rFonts w:hint="eastAsia" w:ascii="Times New Roman" w:hAnsi="Times New Roman"/>
          <w:bCs/>
          <w:color w:val="auto"/>
          <w:sz w:val="24"/>
          <w:highlight w:val="none"/>
        </w:rPr>
        <w:t>表5.11 校外实习基地情况</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3167"/>
        <w:gridCol w:w="4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77" w:type="dxa"/>
            <w:noWrap/>
            <w:vAlign w:val="center"/>
          </w:tcPr>
          <w:p>
            <w:pPr>
              <w:spacing w:line="280" w:lineRule="exact"/>
              <w:jc w:val="center"/>
              <w:rPr>
                <w:rFonts w:ascii="Times New Roman" w:hAnsi="Times New Roman"/>
                <w:color w:val="auto"/>
                <w:szCs w:val="21"/>
                <w:highlight w:val="none"/>
              </w:rPr>
            </w:pPr>
            <w:r>
              <w:rPr>
                <w:rFonts w:hint="eastAsia" w:ascii="Times New Roman" w:hAnsi="Times New Roman"/>
                <w:color w:val="auto"/>
                <w:szCs w:val="21"/>
                <w:highlight w:val="none"/>
              </w:rPr>
              <w:t>序号</w:t>
            </w:r>
          </w:p>
        </w:tc>
        <w:tc>
          <w:tcPr>
            <w:tcW w:w="3167" w:type="dxa"/>
            <w:noWrap/>
            <w:vAlign w:val="center"/>
          </w:tcPr>
          <w:p>
            <w:pPr>
              <w:spacing w:line="280" w:lineRule="exact"/>
              <w:jc w:val="center"/>
              <w:rPr>
                <w:rFonts w:ascii="Times New Roman" w:hAnsi="Times New Roman"/>
                <w:color w:val="auto"/>
                <w:szCs w:val="21"/>
                <w:highlight w:val="none"/>
              </w:rPr>
            </w:pPr>
            <w:r>
              <w:rPr>
                <w:rFonts w:hint="eastAsia" w:ascii="Times New Roman" w:hAnsi="Times New Roman"/>
                <w:color w:val="auto"/>
                <w:szCs w:val="21"/>
                <w:highlight w:val="none"/>
              </w:rPr>
              <w:t>名称</w:t>
            </w:r>
          </w:p>
        </w:tc>
        <w:tc>
          <w:tcPr>
            <w:tcW w:w="4478" w:type="dxa"/>
            <w:noWrap/>
            <w:vAlign w:val="center"/>
          </w:tcPr>
          <w:p>
            <w:pPr>
              <w:spacing w:line="280" w:lineRule="exact"/>
              <w:jc w:val="center"/>
              <w:rPr>
                <w:rFonts w:ascii="Times New Roman" w:hAnsi="Times New Roman"/>
                <w:color w:val="auto"/>
                <w:szCs w:val="21"/>
                <w:highlight w:val="none"/>
              </w:rPr>
            </w:pPr>
            <w:r>
              <w:rPr>
                <w:rFonts w:hint="eastAsia" w:ascii="Times New Roman" w:hAnsi="Times New Roman"/>
                <w:color w:val="auto"/>
                <w:szCs w:val="21"/>
                <w:highlight w:val="none"/>
              </w:rPr>
              <w:t>主要功能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noWrap/>
            <w:vAlign w:val="center"/>
          </w:tcPr>
          <w:p>
            <w:pPr>
              <w:widowControl/>
              <w:spacing w:line="2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1</w:t>
            </w:r>
          </w:p>
        </w:tc>
        <w:tc>
          <w:tcPr>
            <w:tcW w:w="3167" w:type="dxa"/>
            <w:noWrap/>
            <w:vAlign w:val="center"/>
          </w:tcPr>
          <w:p>
            <w:pPr>
              <w:autoSpaceDN w:val="0"/>
              <w:jc w:val="center"/>
              <w:textAlignment w:val="center"/>
              <w:rPr>
                <w:rFonts w:ascii="Times New Roman" w:hAnsi="Times New Roman"/>
                <w:color w:val="auto"/>
                <w:kern w:val="0"/>
                <w:szCs w:val="21"/>
                <w:highlight w:val="none"/>
              </w:rPr>
            </w:pPr>
            <w:r>
              <w:rPr>
                <w:rFonts w:hint="eastAsia" w:ascii="Times New Roman" w:hAnsi="Times New Roman"/>
                <w:color w:val="auto"/>
                <w:szCs w:val="21"/>
                <w:highlight w:val="none"/>
              </w:rPr>
              <w:t>山西兰花科创化肥有限公司</w:t>
            </w:r>
          </w:p>
        </w:tc>
        <w:tc>
          <w:tcPr>
            <w:tcW w:w="4478"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合成氨工艺流程、尿素合成工艺、基本设备操作、化工仪表操作、设备故障检修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noWrap/>
            <w:vAlign w:val="center"/>
          </w:tcPr>
          <w:p>
            <w:pPr>
              <w:widowControl/>
              <w:spacing w:line="2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2</w:t>
            </w:r>
          </w:p>
        </w:tc>
        <w:tc>
          <w:tcPr>
            <w:tcW w:w="3167" w:type="dxa"/>
            <w:noWrap/>
            <w:vAlign w:val="center"/>
          </w:tcPr>
          <w:p>
            <w:pPr>
              <w:autoSpaceDN w:val="0"/>
              <w:jc w:val="center"/>
              <w:textAlignment w:val="center"/>
              <w:rPr>
                <w:rFonts w:ascii="Times New Roman" w:hAnsi="Times New Roman"/>
                <w:color w:val="auto"/>
                <w:kern w:val="0"/>
                <w:szCs w:val="21"/>
                <w:highlight w:val="none"/>
              </w:rPr>
            </w:pPr>
            <w:r>
              <w:rPr>
                <w:rFonts w:hint="eastAsia" w:ascii="Times New Roman" w:hAnsi="Times New Roman"/>
                <w:color w:val="auto"/>
                <w:szCs w:val="21"/>
                <w:highlight w:val="none"/>
              </w:rPr>
              <w:t>山西天泽化工有限公司</w:t>
            </w:r>
          </w:p>
        </w:tc>
        <w:tc>
          <w:tcPr>
            <w:tcW w:w="4478"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合成氨工艺流程、尿素合成工艺、基本设备操作、化工仪表操作、设备故障检修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noWrap/>
            <w:vAlign w:val="center"/>
          </w:tcPr>
          <w:p>
            <w:pPr>
              <w:widowControl/>
              <w:spacing w:line="2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3</w:t>
            </w:r>
          </w:p>
        </w:tc>
        <w:tc>
          <w:tcPr>
            <w:tcW w:w="3167" w:type="dxa"/>
            <w:noWrap/>
            <w:vAlign w:val="center"/>
          </w:tcPr>
          <w:p>
            <w:pPr>
              <w:autoSpaceDN w:val="0"/>
              <w:jc w:val="center"/>
              <w:textAlignment w:val="center"/>
              <w:rPr>
                <w:rFonts w:ascii="Times New Roman" w:hAnsi="Times New Roman"/>
                <w:color w:val="auto"/>
                <w:kern w:val="0"/>
                <w:szCs w:val="21"/>
                <w:highlight w:val="none"/>
              </w:rPr>
            </w:pPr>
            <w:r>
              <w:rPr>
                <w:rFonts w:hint="eastAsia" w:ascii="Times New Roman" w:hAnsi="Times New Roman"/>
                <w:color w:val="auto"/>
                <w:szCs w:val="21"/>
                <w:highlight w:val="none"/>
              </w:rPr>
              <w:t>河南晋开化工有限公司</w:t>
            </w:r>
          </w:p>
        </w:tc>
        <w:tc>
          <w:tcPr>
            <w:tcW w:w="4478" w:type="dxa"/>
            <w:noWrap/>
            <w:vAlign w:val="center"/>
          </w:tcPr>
          <w:p>
            <w:pPr>
              <w:autoSpaceDN w:val="0"/>
              <w:jc w:val="center"/>
              <w:textAlignment w:val="center"/>
              <w:rPr>
                <w:rFonts w:ascii="Times New Roman" w:hAnsi="Times New Roman"/>
                <w:color w:val="auto"/>
                <w:szCs w:val="21"/>
                <w:highlight w:val="none"/>
              </w:rPr>
            </w:pPr>
            <w:r>
              <w:rPr>
                <w:rFonts w:hint="eastAsia" w:ascii="Times New Roman" w:hAnsi="Times New Roman"/>
                <w:color w:val="auto"/>
                <w:szCs w:val="21"/>
                <w:highlight w:val="none"/>
              </w:rPr>
              <w:t>合成氨工艺流程、尿素合成工艺、基本设备操作、设备故障检修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noWrap/>
            <w:vAlign w:val="center"/>
          </w:tcPr>
          <w:p>
            <w:pPr>
              <w:widowControl/>
              <w:spacing w:line="2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4</w:t>
            </w:r>
          </w:p>
        </w:tc>
        <w:tc>
          <w:tcPr>
            <w:tcW w:w="3167" w:type="dxa"/>
            <w:noWrap/>
            <w:vAlign w:val="center"/>
          </w:tcPr>
          <w:p>
            <w:pPr>
              <w:spacing w:line="2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山东威高集团</w:t>
            </w:r>
          </w:p>
        </w:tc>
        <w:tc>
          <w:tcPr>
            <w:tcW w:w="4478" w:type="dxa"/>
            <w:noWrap/>
            <w:vAlign w:val="center"/>
          </w:tcPr>
          <w:p>
            <w:pPr>
              <w:spacing w:line="280" w:lineRule="exact"/>
              <w:jc w:val="center"/>
              <w:rPr>
                <w:rFonts w:ascii="Times New Roman" w:hAnsi="Times New Roman"/>
                <w:color w:val="auto"/>
                <w:szCs w:val="21"/>
                <w:highlight w:val="none"/>
              </w:rPr>
            </w:pPr>
            <w:r>
              <w:rPr>
                <w:rFonts w:hint="eastAsia" w:ascii="Times New Roman" w:hAnsi="Times New Roman"/>
                <w:color w:val="auto"/>
                <w:szCs w:val="21"/>
                <w:highlight w:val="none"/>
              </w:rPr>
              <w:t>化工产品的生产工艺与流程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noWrap/>
            <w:vAlign w:val="center"/>
          </w:tcPr>
          <w:p>
            <w:pPr>
              <w:widowControl/>
              <w:spacing w:line="2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5</w:t>
            </w:r>
          </w:p>
        </w:tc>
        <w:tc>
          <w:tcPr>
            <w:tcW w:w="3167" w:type="dxa"/>
            <w:noWrap/>
            <w:vAlign w:val="center"/>
          </w:tcPr>
          <w:p>
            <w:pPr>
              <w:spacing w:line="280" w:lineRule="exact"/>
              <w:jc w:val="center"/>
              <w:rPr>
                <w:rFonts w:ascii="Times New Roman" w:hAnsi="Times New Roman"/>
                <w:color w:val="auto"/>
                <w:kern w:val="0"/>
                <w:szCs w:val="21"/>
                <w:highlight w:val="none"/>
              </w:rPr>
            </w:pPr>
            <w:r>
              <w:rPr>
                <w:rFonts w:hint="eastAsia" w:ascii="Times New Roman" w:hAnsi="Times New Roman"/>
                <w:color w:val="auto"/>
                <w:kern w:val="0"/>
                <w:szCs w:val="21"/>
                <w:highlight w:val="none"/>
              </w:rPr>
              <w:t>江苏恒盛化工有限公司</w:t>
            </w:r>
          </w:p>
        </w:tc>
        <w:tc>
          <w:tcPr>
            <w:tcW w:w="4478" w:type="dxa"/>
            <w:noWrap/>
            <w:vAlign w:val="center"/>
          </w:tcPr>
          <w:p>
            <w:pPr>
              <w:spacing w:line="280" w:lineRule="exact"/>
              <w:ind w:firstLine="338"/>
              <w:rPr>
                <w:rFonts w:ascii="Times New Roman" w:hAnsi="Times New Roman"/>
                <w:color w:val="auto"/>
                <w:szCs w:val="21"/>
                <w:highlight w:val="none"/>
              </w:rPr>
            </w:pPr>
            <w:r>
              <w:rPr>
                <w:rFonts w:hint="eastAsia" w:ascii="Times New Roman" w:hAnsi="Times New Roman"/>
                <w:color w:val="auto"/>
                <w:szCs w:val="21"/>
                <w:highlight w:val="none"/>
              </w:rPr>
              <w:t xml:space="preserve">      化工产品的生产工艺与流程</w:t>
            </w:r>
          </w:p>
        </w:tc>
      </w:tr>
    </w:tbl>
    <w:p>
      <w:pPr>
        <w:pStyle w:val="3"/>
        <w:snapToGrid w:val="0"/>
        <w:spacing w:before="0" w:after="0" w:line="360" w:lineRule="auto"/>
        <w:ind w:firstLine="640" w:firstLineChars="200"/>
        <w:rPr>
          <w:rFonts w:ascii="Times New Roman" w:hAnsi="Times New Roman"/>
          <w:b w:val="0"/>
          <w:bCs/>
          <w:color w:val="auto"/>
          <w:highlight w:val="none"/>
        </w:rPr>
      </w:pPr>
      <w:bookmarkStart w:id="111" w:name="_Toc13169"/>
      <w:bookmarkStart w:id="112" w:name="_Toc458088741"/>
      <w:bookmarkStart w:id="113" w:name="_Toc458088975"/>
      <w:bookmarkStart w:id="114" w:name="_Toc361942968"/>
      <w:bookmarkStart w:id="115" w:name="_Toc16110"/>
      <w:bookmarkStart w:id="116" w:name="_Toc458089354"/>
      <w:bookmarkStart w:id="117" w:name="_Toc458095099"/>
      <w:r>
        <w:rPr>
          <w:rFonts w:hint="eastAsia" w:ascii="Times New Roman" w:hAnsi="Times New Roman"/>
          <w:b w:val="0"/>
          <w:bCs/>
          <w:color w:val="auto"/>
          <w:highlight w:val="none"/>
        </w:rPr>
        <w:t>四、教学监督与评价机制保障</w:t>
      </w:r>
      <w:bookmarkEnd w:id="111"/>
      <w:bookmarkEnd w:id="112"/>
      <w:bookmarkEnd w:id="113"/>
      <w:bookmarkEnd w:id="114"/>
      <w:bookmarkEnd w:id="115"/>
      <w:bookmarkEnd w:id="116"/>
      <w:bookmarkEnd w:id="117"/>
    </w:p>
    <w:p>
      <w:pPr>
        <w:spacing w:line="440" w:lineRule="exact"/>
        <w:ind w:firstLine="540" w:firstLineChars="225"/>
        <w:rPr>
          <w:rFonts w:ascii="Times New Roman" w:hAnsi="Times New Roman"/>
          <w:color w:val="auto"/>
          <w:sz w:val="24"/>
          <w:highlight w:val="none"/>
        </w:rPr>
      </w:pPr>
      <w:r>
        <w:rPr>
          <w:rFonts w:hint="eastAsia" w:ascii="Times New Roman" w:hAnsi="Times New Roman"/>
          <w:color w:val="auto"/>
          <w:sz w:val="24"/>
          <w:highlight w:val="none"/>
        </w:rPr>
        <w:t>经过多年实践，学院已经形成和建立了行之有效的教学管理制度和教学质量监控体系，对规范正常教学秩序、严格教学管理，保证教学质量起到了积极的保障作用。</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bookmarkStart w:id="118" w:name="_Toc289"/>
      <w:bookmarkStart w:id="119" w:name="_Toc20533"/>
      <w:r>
        <w:rPr>
          <w:rFonts w:hint="eastAsia" w:ascii="Times New Roman" w:hAnsi="Times New Roman" w:eastAsia="黑体" w:cs="黑体"/>
          <w:bCs/>
          <w:color w:val="auto"/>
          <w:sz w:val="30"/>
          <w:szCs w:val="30"/>
          <w:highlight w:val="none"/>
          <w:lang w:val="en-US" w:eastAsia="zh-CN"/>
        </w:rPr>
        <w:t>（一）教学监督管理</w:t>
      </w:r>
      <w:bookmarkEnd w:id="118"/>
      <w:bookmarkEnd w:id="119"/>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1</w:t>
      </w:r>
      <w:r>
        <w:rPr>
          <w:rFonts w:hint="eastAsia" w:ascii="Times New Roman" w:hAnsi="Times New Roman"/>
          <w:color w:val="auto"/>
          <w:sz w:val="24"/>
          <w:highlight w:val="none"/>
          <w:lang w:eastAsia="zh-CN"/>
        </w:rPr>
        <w:t>.</w:t>
      </w:r>
      <w:r>
        <w:rPr>
          <w:rFonts w:ascii="Times New Roman" w:hAnsi="Times New Roman"/>
          <w:color w:val="auto"/>
          <w:sz w:val="24"/>
          <w:highlight w:val="none"/>
        </w:rPr>
        <w:t>日常教学管理</w:t>
      </w:r>
    </w:p>
    <w:p>
      <w:pPr>
        <w:tabs>
          <w:tab w:val="left" w:pos="360"/>
          <w:tab w:val="left" w:pos="540"/>
        </w:tabs>
        <w:spacing w:line="360" w:lineRule="auto"/>
        <w:ind w:firstLine="480" w:firstLineChars="200"/>
        <w:rPr>
          <w:rFonts w:ascii="Times New Roman" w:hAnsi="Times New Roman"/>
          <w:color w:val="auto"/>
          <w:sz w:val="24"/>
          <w:highlight w:val="none"/>
        </w:rPr>
      </w:pPr>
      <w:r>
        <w:rPr>
          <w:rFonts w:ascii="Times New Roman" w:hAnsi="Times New Roman"/>
          <w:color w:val="auto"/>
          <w:sz w:val="24"/>
          <w:highlight w:val="none"/>
        </w:rPr>
        <w:t>在教务处统一安排下，</w:t>
      </w:r>
      <w:r>
        <w:rPr>
          <w:rFonts w:hint="eastAsia" w:ascii="Times New Roman" w:hAnsi="Times New Roman"/>
          <w:color w:val="auto"/>
          <w:sz w:val="24"/>
          <w:highlight w:val="none"/>
        </w:rPr>
        <w:t>该</w:t>
      </w:r>
      <w:r>
        <w:rPr>
          <w:rFonts w:ascii="Times New Roman" w:hAnsi="Times New Roman"/>
          <w:color w:val="auto"/>
          <w:sz w:val="24"/>
          <w:highlight w:val="none"/>
        </w:rPr>
        <w:t>系会同教务处，共同对</w:t>
      </w:r>
      <w:r>
        <w:rPr>
          <w:rFonts w:hint="eastAsia" w:ascii="Times New Roman" w:hAnsi="Times New Roman"/>
          <w:color w:val="auto"/>
          <w:sz w:val="24"/>
          <w:highlight w:val="none"/>
        </w:rPr>
        <w:t>人才培养方案</w:t>
      </w:r>
      <w:r>
        <w:rPr>
          <w:rFonts w:ascii="Times New Roman" w:hAnsi="Times New Roman"/>
          <w:color w:val="auto"/>
          <w:sz w:val="24"/>
          <w:highlight w:val="none"/>
        </w:rPr>
        <w:t>的执行情况（即教学过程）和教师的教学纪律进行定期和不定期的检查和督导，以保证教学秩序的稳定。检查可采取听课、检查任课教师的教学资料、召开学生座谈会、对学生进行问卷调查等形式进行。教务处和</w:t>
      </w:r>
      <w:r>
        <w:rPr>
          <w:rFonts w:hint="eastAsia" w:ascii="Times New Roman" w:hAnsi="Times New Roman"/>
          <w:color w:val="auto"/>
          <w:sz w:val="24"/>
          <w:highlight w:val="none"/>
        </w:rPr>
        <w:t>本</w:t>
      </w:r>
      <w:r>
        <w:rPr>
          <w:rFonts w:ascii="Times New Roman" w:hAnsi="Times New Roman"/>
          <w:color w:val="auto"/>
          <w:sz w:val="24"/>
          <w:highlight w:val="none"/>
        </w:rPr>
        <w:t>系每学期</w:t>
      </w:r>
      <w:r>
        <w:rPr>
          <w:rFonts w:hint="eastAsia" w:ascii="Times New Roman" w:hAnsi="Times New Roman"/>
          <w:color w:val="auto"/>
          <w:sz w:val="24"/>
          <w:highlight w:val="none"/>
        </w:rPr>
        <w:t>安排多次</w:t>
      </w:r>
      <w:r>
        <w:rPr>
          <w:rFonts w:ascii="Times New Roman" w:hAnsi="Times New Roman"/>
          <w:color w:val="auto"/>
          <w:sz w:val="24"/>
          <w:highlight w:val="none"/>
        </w:rPr>
        <w:t>集中</w:t>
      </w:r>
      <w:r>
        <w:rPr>
          <w:rFonts w:hint="eastAsia" w:ascii="Times New Roman" w:hAnsi="Times New Roman"/>
          <w:color w:val="auto"/>
          <w:sz w:val="24"/>
          <w:highlight w:val="none"/>
        </w:rPr>
        <w:t>教学</w:t>
      </w:r>
      <w:r>
        <w:rPr>
          <w:rFonts w:ascii="Times New Roman" w:hAnsi="Times New Roman"/>
          <w:color w:val="auto"/>
          <w:sz w:val="24"/>
          <w:highlight w:val="none"/>
        </w:rPr>
        <w:t>检查</w:t>
      </w:r>
      <w:r>
        <w:rPr>
          <w:rFonts w:hint="eastAsia" w:ascii="Times New Roman" w:hAnsi="Times New Roman"/>
          <w:color w:val="auto"/>
          <w:sz w:val="24"/>
          <w:highlight w:val="none"/>
        </w:rPr>
        <w:t>，规范教学常规</w:t>
      </w:r>
      <w:r>
        <w:rPr>
          <w:rFonts w:ascii="Times New Roman" w:hAnsi="Times New Roman"/>
          <w:color w:val="auto"/>
          <w:sz w:val="24"/>
          <w:highlight w:val="none"/>
        </w:rPr>
        <w:t>。</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2</w:t>
      </w:r>
      <w:r>
        <w:rPr>
          <w:rFonts w:hint="eastAsia" w:ascii="Times New Roman" w:hAnsi="Times New Roman"/>
          <w:color w:val="auto"/>
          <w:sz w:val="24"/>
          <w:highlight w:val="none"/>
          <w:lang w:eastAsia="zh-CN"/>
        </w:rPr>
        <w:t>.</w:t>
      </w:r>
      <w:r>
        <w:rPr>
          <w:rFonts w:ascii="Times New Roman" w:hAnsi="Times New Roman"/>
          <w:color w:val="auto"/>
          <w:sz w:val="24"/>
          <w:highlight w:val="none"/>
        </w:rPr>
        <w:t>建立教务</w:t>
      </w:r>
      <w:r>
        <w:rPr>
          <w:rFonts w:hint="eastAsia" w:ascii="Times New Roman" w:hAnsi="Times New Roman"/>
          <w:color w:val="auto"/>
          <w:sz w:val="24"/>
          <w:highlight w:val="none"/>
        </w:rPr>
        <w:t>例</w:t>
      </w:r>
      <w:r>
        <w:rPr>
          <w:rFonts w:ascii="Times New Roman" w:hAnsi="Times New Roman"/>
          <w:color w:val="auto"/>
          <w:sz w:val="24"/>
          <w:highlight w:val="none"/>
        </w:rPr>
        <w:t>会制度</w:t>
      </w:r>
    </w:p>
    <w:p>
      <w:pPr>
        <w:spacing w:line="360" w:lineRule="auto"/>
        <w:ind w:firstLine="480" w:firstLineChars="200"/>
        <w:rPr>
          <w:rFonts w:ascii="Times New Roman" w:hAnsi="Times New Roman"/>
          <w:color w:val="auto"/>
          <w:sz w:val="24"/>
          <w:highlight w:val="none"/>
        </w:rPr>
      </w:pPr>
      <w:r>
        <w:rPr>
          <w:rFonts w:ascii="Times New Roman" w:hAnsi="Times New Roman"/>
          <w:color w:val="auto"/>
          <w:sz w:val="24"/>
          <w:highlight w:val="none"/>
        </w:rPr>
        <w:t>由教务处协助主管</w:t>
      </w:r>
      <w:r>
        <w:rPr>
          <w:rFonts w:hint="eastAsia" w:ascii="Times New Roman" w:hAnsi="Times New Roman"/>
          <w:color w:val="auto"/>
          <w:sz w:val="24"/>
          <w:highlight w:val="none"/>
        </w:rPr>
        <w:t>院</w:t>
      </w:r>
      <w:r>
        <w:rPr>
          <w:rFonts w:ascii="Times New Roman" w:hAnsi="Times New Roman"/>
          <w:color w:val="auto"/>
          <w:sz w:val="24"/>
          <w:highlight w:val="none"/>
        </w:rPr>
        <w:t>长定期和不定期召开</w:t>
      </w:r>
      <w:r>
        <w:rPr>
          <w:rFonts w:hint="eastAsia" w:ascii="Times New Roman" w:hAnsi="Times New Roman"/>
          <w:color w:val="auto"/>
          <w:sz w:val="24"/>
          <w:highlight w:val="none"/>
        </w:rPr>
        <w:t>教务例会，各</w:t>
      </w:r>
      <w:r>
        <w:rPr>
          <w:rFonts w:ascii="Times New Roman" w:hAnsi="Times New Roman"/>
          <w:color w:val="auto"/>
          <w:sz w:val="24"/>
          <w:highlight w:val="none"/>
        </w:rPr>
        <w:t>系主任参加。通过教务</w:t>
      </w:r>
      <w:r>
        <w:rPr>
          <w:rFonts w:hint="eastAsia" w:ascii="Times New Roman" w:hAnsi="Times New Roman"/>
          <w:color w:val="auto"/>
          <w:sz w:val="24"/>
          <w:highlight w:val="none"/>
        </w:rPr>
        <w:t>例</w:t>
      </w:r>
      <w:r>
        <w:rPr>
          <w:rFonts w:ascii="Times New Roman" w:hAnsi="Times New Roman"/>
          <w:color w:val="auto"/>
          <w:sz w:val="24"/>
          <w:highlight w:val="none"/>
        </w:rPr>
        <w:t>会，了解</w:t>
      </w:r>
      <w:r>
        <w:rPr>
          <w:rFonts w:hint="eastAsia" w:ascii="Times New Roman" w:hAnsi="Times New Roman"/>
          <w:color w:val="auto"/>
          <w:sz w:val="24"/>
          <w:highlight w:val="none"/>
        </w:rPr>
        <w:t>各教学</w:t>
      </w:r>
      <w:r>
        <w:rPr>
          <w:rFonts w:ascii="Times New Roman" w:hAnsi="Times New Roman"/>
          <w:color w:val="auto"/>
          <w:sz w:val="24"/>
          <w:highlight w:val="none"/>
        </w:rPr>
        <w:t>系</w:t>
      </w:r>
      <w:r>
        <w:rPr>
          <w:rFonts w:hint="eastAsia" w:ascii="Times New Roman" w:hAnsi="Times New Roman"/>
          <w:color w:val="auto"/>
          <w:sz w:val="24"/>
          <w:highlight w:val="none"/>
        </w:rPr>
        <w:t>的</w:t>
      </w:r>
      <w:r>
        <w:rPr>
          <w:rFonts w:ascii="Times New Roman" w:hAnsi="Times New Roman"/>
          <w:color w:val="auto"/>
          <w:sz w:val="24"/>
          <w:highlight w:val="none"/>
        </w:rPr>
        <w:t>教学情况，研究和处理教学计划执行中出现的各种问题，布置教学工作任务。</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3</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化工</w:t>
      </w:r>
      <w:r>
        <w:rPr>
          <w:rFonts w:ascii="Times New Roman" w:hAnsi="Times New Roman"/>
          <w:color w:val="auto"/>
          <w:sz w:val="24"/>
          <w:highlight w:val="none"/>
        </w:rPr>
        <w:t>系教学管理</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化工</w:t>
      </w:r>
      <w:r>
        <w:rPr>
          <w:rFonts w:ascii="Times New Roman" w:hAnsi="Times New Roman"/>
          <w:color w:val="auto"/>
          <w:sz w:val="24"/>
          <w:highlight w:val="none"/>
        </w:rPr>
        <w:t>系定期召开</w:t>
      </w:r>
      <w:r>
        <w:rPr>
          <w:rFonts w:hint="eastAsia" w:ascii="Times New Roman" w:hAnsi="Times New Roman"/>
          <w:color w:val="auto"/>
          <w:sz w:val="24"/>
          <w:highlight w:val="none"/>
        </w:rPr>
        <w:t>专业</w:t>
      </w:r>
      <w:r>
        <w:rPr>
          <w:rFonts w:ascii="Times New Roman" w:hAnsi="Times New Roman"/>
          <w:color w:val="auto"/>
          <w:sz w:val="24"/>
          <w:highlight w:val="none"/>
        </w:rPr>
        <w:t>室主任会议和任课教师会议，及时掌握教学过程情况，总结教学工作和教学管理工作经验，及时研究解决教学过程中出现的问题。</w:t>
      </w:r>
      <w:r>
        <w:rPr>
          <w:rFonts w:hint="eastAsia" w:ascii="Times New Roman" w:hAnsi="Times New Roman"/>
          <w:color w:val="auto"/>
          <w:sz w:val="24"/>
          <w:highlight w:val="none"/>
        </w:rPr>
        <w:t>专业</w:t>
      </w:r>
      <w:r>
        <w:rPr>
          <w:rFonts w:ascii="Times New Roman" w:hAnsi="Times New Roman"/>
          <w:color w:val="auto"/>
          <w:sz w:val="24"/>
          <w:highlight w:val="none"/>
        </w:rPr>
        <w:t>室要在每学期初制定出工作计划，组织集体备课、观摩教学、</w:t>
      </w:r>
      <w:r>
        <w:rPr>
          <w:rFonts w:hint="eastAsia" w:ascii="Times New Roman" w:hAnsi="Times New Roman"/>
          <w:color w:val="auto"/>
          <w:sz w:val="24"/>
          <w:highlight w:val="none"/>
        </w:rPr>
        <w:t>开展</w:t>
      </w:r>
      <w:r>
        <w:rPr>
          <w:rFonts w:ascii="Times New Roman" w:hAnsi="Times New Roman"/>
          <w:color w:val="auto"/>
          <w:sz w:val="24"/>
          <w:highlight w:val="none"/>
        </w:rPr>
        <w:t>教学研究，了解教师教学进展情况，按学院布置进行教学检查。</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bookmarkStart w:id="120" w:name="_Toc16427"/>
      <w:r>
        <w:rPr>
          <w:rFonts w:hint="eastAsia" w:ascii="Times New Roman" w:hAnsi="Times New Roman" w:eastAsia="黑体" w:cs="黑体"/>
          <w:bCs/>
          <w:color w:val="auto"/>
          <w:sz w:val="30"/>
          <w:szCs w:val="30"/>
          <w:highlight w:val="none"/>
          <w:lang w:val="en-US" w:eastAsia="zh-CN"/>
        </w:rPr>
        <w:t>（二）教学质量监控体系</w:t>
      </w:r>
      <w:bookmarkEnd w:id="120"/>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由院、系两级教学督导制度、值周干部听课制度、学生评教制度、教学检查与评价制度组成。</w:t>
      </w:r>
    </w:p>
    <w:p>
      <w:pPr>
        <w:spacing w:line="360" w:lineRule="auto"/>
        <w:ind w:firstLine="480" w:firstLineChars="200"/>
        <w:rPr>
          <w:rFonts w:ascii="Times New Roman" w:hAnsi="Times New Roman"/>
          <w:color w:val="auto"/>
          <w:sz w:val="24"/>
          <w:highlight w:val="none"/>
        </w:rPr>
      </w:pPr>
      <w:bookmarkStart w:id="121" w:name="_Toc458088742"/>
      <w:bookmarkStart w:id="122" w:name="_Toc361942969"/>
      <w:bookmarkStart w:id="123" w:name="_Toc458089355"/>
      <w:bookmarkStart w:id="124" w:name="_Toc16950"/>
      <w:bookmarkStart w:id="125" w:name="_Toc361943471"/>
      <w:bookmarkStart w:id="126" w:name="_Toc458088976"/>
      <w:bookmarkStart w:id="127" w:name="_Toc458095100"/>
      <w:bookmarkStart w:id="128" w:name="_Toc361942684"/>
      <w:r>
        <w:rPr>
          <w:rFonts w:hint="eastAsia" w:ascii="Times New Roman" w:hAnsi="Times New Roman"/>
          <w:color w:val="auto"/>
          <w:sz w:val="24"/>
          <w:highlight w:val="none"/>
        </w:rPr>
        <w:t>1</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院、系两级教学督导制度</w:t>
      </w:r>
      <w:bookmarkEnd w:id="121"/>
      <w:bookmarkEnd w:id="122"/>
      <w:bookmarkEnd w:id="123"/>
      <w:bookmarkEnd w:id="124"/>
      <w:bookmarkEnd w:id="125"/>
      <w:bookmarkEnd w:id="126"/>
      <w:bookmarkEnd w:id="127"/>
      <w:bookmarkEnd w:id="128"/>
    </w:p>
    <w:p>
      <w:pPr>
        <w:spacing w:line="360" w:lineRule="auto"/>
        <w:ind w:firstLine="540" w:firstLineChars="225"/>
        <w:rPr>
          <w:rFonts w:ascii="Times New Roman" w:hAnsi="Times New Roman"/>
          <w:color w:val="auto"/>
          <w:sz w:val="24"/>
          <w:highlight w:val="none"/>
        </w:rPr>
      </w:pPr>
      <w:r>
        <w:rPr>
          <w:rFonts w:hint="eastAsia" w:ascii="Times New Roman" w:hAnsi="Times New Roman"/>
          <w:color w:val="auto"/>
          <w:sz w:val="24"/>
          <w:highlight w:val="none"/>
        </w:rPr>
        <w:t xml:space="preserve">建有院系两级教学指导委员会。院级教学指导委员会是学院教学工作方面的咨询机构和智囊团；系（专业）教学指导委员会负责对系教学过程实施中影响教学质量的各个环节进行监督、评价，直接对分管教学院长负责，并接受院级教学指导委员会的业务指导。专业教学指导委员会成员由教学经验丰富、 学术水平高、 责任心强的专任教师和企业兼职教师组成，对教学工作实行监督、检查、评价、审议、指导。 </w:t>
      </w:r>
    </w:p>
    <w:p>
      <w:pPr>
        <w:spacing w:line="360" w:lineRule="auto"/>
        <w:ind w:firstLine="580" w:firstLineChars="242"/>
        <w:outlineLvl w:val="1"/>
        <w:rPr>
          <w:rFonts w:ascii="Times New Roman" w:hAnsi="Times New Roman"/>
          <w:color w:val="auto"/>
          <w:sz w:val="24"/>
          <w:highlight w:val="none"/>
        </w:rPr>
      </w:pPr>
      <w:bookmarkStart w:id="129" w:name="_Toc6210"/>
      <w:bookmarkStart w:id="130" w:name="_Toc458089356"/>
      <w:bookmarkStart w:id="131" w:name="_Toc361942970"/>
      <w:bookmarkStart w:id="132" w:name="_Toc458088977"/>
      <w:bookmarkStart w:id="133" w:name="_Toc458095101"/>
      <w:bookmarkStart w:id="134" w:name="_Toc361942685"/>
      <w:bookmarkStart w:id="135" w:name="_Toc15842"/>
      <w:bookmarkStart w:id="136" w:name="_Toc361943472"/>
      <w:bookmarkStart w:id="137" w:name="_Toc458088743"/>
      <w:r>
        <w:rPr>
          <w:rFonts w:hint="eastAsia" w:ascii="Times New Roman" w:hAnsi="Times New Roman"/>
          <w:color w:val="auto"/>
          <w:sz w:val="24"/>
          <w:highlight w:val="none"/>
        </w:rPr>
        <w:t>2</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值周领导干部听课制度</w:t>
      </w:r>
      <w:bookmarkEnd w:id="129"/>
      <w:bookmarkEnd w:id="130"/>
      <w:bookmarkEnd w:id="131"/>
      <w:bookmarkEnd w:id="132"/>
      <w:bookmarkEnd w:id="133"/>
      <w:bookmarkEnd w:id="134"/>
      <w:bookmarkEnd w:id="135"/>
      <w:bookmarkEnd w:id="136"/>
      <w:bookmarkEnd w:id="137"/>
    </w:p>
    <w:p>
      <w:pPr>
        <w:spacing w:line="360" w:lineRule="auto"/>
        <w:ind w:firstLine="540" w:firstLineChars="225"/>
        <w:rPr>
          <w:rFonts w:ascii="Times New Roman" w:hAnsi="Times New Roman"/>
          <w:color w:val="auto"/>
          <w:sz w:val="24"/>
          <w:highlight w:val="none"/>
        </w:rPr>
      </w:pPr>
      <w:r>
        <w:rPr>
          <w:rFonts w:hint="eastAsia" w:ascii="Times New Roman" w:hAnsi="Times New Roman"/>
          <w:color w:val="auto"/>
          <w:sz w:val="24"/>
          <w:highlight w:val="none"/>
        </w:rPr>
        <w:t>建立值周领导干部听课制度，学院和系部各级党政干部深入教学第一线，及时了解教学情况，倾听师生意见，发现并解决教学中存在的问题，避免教学一线与管理层的脱节，保证教学管理工作的针对性和有效性。</w:t>
      </w:r>
    </w:p>
    <w:p>
      <w:pPr>
        <w:spacing w:line="360" w:lineRule="auto"/>
        <w:ind w:firstLine="580" w:firstLineChars="242"/>
        <w:outlineLvl w:val="1"/>
        <w:rPr>
          <w:rFonts w:ascii="Times New Roman" w:hAnsi="Times New Roman"/>
          <w:color w:val="auto"/>
          <w:sz w:val="24"/>
          <w:highlight w:val="none"/>
        </w:rPr>
      </w:pPr>
      <w:bookmarkStart w:id="138" w:name="_Toc458095102"/>
      <w:bookmarkStart w:id="139" w:name="_Toc361943473"/>
      <w:bookmarkStart w:id="140" w:name="_Toc458088744"/>
      <w:bookmarkStart w:id="141" w:name="_Toc19398"/>
      <w:bookmarkStart w:id="142" w:name="_Toc458089357"/>
      <w:bookmarkStart w:id="143" w:name="_Toc458088978"/>
      <w:bookmarkStart w:id="144" w:name="_Toc361942971"/>
      <w:bookmarkStart w:id="145" w:name="_Toc361942686"/>
      <w:bookmarkStart w:id="146" w:name="_Toc30660"/>
      <w:r>
        <w:rPr>
          <w:rFonts w:hint="eastAsia" w:ascii="Times New Roman" w:hAnsi="Times New Roman"/>
          <w:color w:val="auto"/>
          <w:sz w:val="24"/>
          <w:highlight w:val="none"/>
        </w:rPr>
        <w:t>3</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学生评教制度</w:t>
      </w:r>
      <w:bookmarkEnd w:id="138"/>
      <w:bookmarkEnd w:id="139"/>
      <w:bookmarkEnd w:id="140"/>
      <w:bookmarkEnd w:id="141"/>
      <w:bookmarkEnd w:id="142"/>
      <w:bookmarkEnd w:id="143"/>
      <w:bookmarkEnd w:id="144"/>
      <w:bookmarkEnd w:id="145"/>
      <w:bookmarkEnd w:id="146"/>
    </w:p>
    <w:p>
      <w:pPr>
        <w:spacing w:line="360" w:lineRule="auto"/>
        <w:ind w:firstLine="600" w:firstLineChars="250"/>
        <w:rPr>
          <w:rFonts w:ascii="Times New Roman" w:hAnsi="Times New Roman"/>
          <w:color w:val="auto"/>
          <w:sz w:val="24"/>
          <w:highlight w:val="none"/>
        </w:rPr>
      </w:pPr>
      <w:r>
        <w:rPr>
          <w:rFonts w:hint="eastAsia" w:ascii="Times New Roman" w:hAnsi="Times New Roman"/>
          <w:color w:val="auto"/>
          <w:sz w:val="24"/>
          <w:highlight w:val="none"/>
        </w:rPr>
        <w:t>每学期期中、期末，以专业为单位，选取部分学生、课代表和学生干部，举行学期座谈会，</w:t>
      </w:r>
      <w:r>
        <w:rPr>
          <w:rFonts w:ascii="Times New Roman" w:hAnsi="Times New Roman"/>
          <w:color w:val="auto"/>
          <w:sz w:val="24"/>
          <w:highlight w:val="none"/>
        </w:rPr>
        <w:t>填写任课教师评分表</w:t>
      </w:r>
      <w:r>
        <w:rPr>
          <w:rFonts w:hint="eastAsia" w:ascii="Times New Roman" w:hAnsi="Times New Roman"/>
          <w:color w:val="auto"/>
          <w:sz w:val="24"/>
          <w:highlight w:val="none"/>
        </w:rPr>
        <w:t xml:space="preserve">，给学生以畅通的渠道反映本系、本专业的教学管理、办学条件和教学质量中存在的问题并对教学提出意见和建议，使系部的管理和教学更加贴近学生、贴近实际。 </w:t>
      </w:r>
    </w:p>
    <w:p>
      <w:pPr>
        <w:spacing w:line="360" w:lineRule="auto"/>
        <w:ind w:firstLine="460" w:firstLineChars="192"/>
        <w:outlineLvl w:val="1"/>
        <w:rPr>
          <w:rFonts w:ascii="Times New Roman" w:hAnsi="Times New Roman"/>
          <w:color w:val="auto"/>
          <w:sz w:val="24"/>
          <w:highlight w:val="none"/>
        </w:rPr>
      </w:pPr>
      <w:bookmarkStart w:id="147" w:name="_Toc458089358"/>
      <w:bookmarkStart w:id="148" w:name="_Toc458095103"/>
      <w:bookmarkStart w:id="149" w:name="_Toc361943474"/>
      <w:bookmarkStart w:id="150" w:name="_Toc29103"/>
      <w:bookmarkStart w:id="151" w:name="_Toc458088979"/>
      <w:bookmarkStart w:id="152" w:name="_Toc361942687"/>
      <w:bookmarkStart w:id="153" w:name="_Toc361942972"/>
      <w:bookmarkStart w:id="154" w:name="_Toc19229"/>
      <w:bookmarkStart w:id="155" w:name="_Toc458088745"/>
      <w:r>
        <w:rPr>
          <w:rFonts w:hint="eastAsia" w:ascii="Times New Roman" w:hAnsi="Times New Roman"/>
          <w:color w:val="auto"/>
          <w:sz w:val="24"/>
          <w:highlight w:val="none"/>
        </w:rPr>
        <w:t>4</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教学检查制度</w:t>
      </w:r>
      <w:bookmarkEnd w:id="147"/>
      <w:bookmarkEnd w:id="148"/>
      <w:bookmarkEnd w:id="149"/>
      <w:bookmarkEnd w:id="150"/>
      <w:bookmarkEnd w:id="151"/>
      <w:bookmarkEnd w:id="152"/>
      <w:bookmarkEnd w:id="153"/>
      <w:bookmarkEnd w:id="154"/>
      <w:bookmarkEnd w:id="155"/>
    </w:p>
    <w:p>
      <w:pPr>
        <w:spacing w:line="360" w:lineRule="auto"/>
        <w:ind w:firstLine="540" w:firstLineChars="225"/>
        <w:rPr>
          <w:rFonts w:ascii="Times New Roman" w:hAnsi="Times New Roman"/>
          <w:color w:val="auto"/>
          <w:sz w:val="24"/>
          <w:highlight w:val="none"/>
        </w:rPr>
      </w:pPr>
      <w:r>
        <w:rPr>
          <w:rFonts w:hint="eastAsia" w:ascii="Times New Roman" w:hAnsi="Times New Roman"/>
          <w:color w:val="auto"/>
          <w:sz w:val="24"/>
          <w:highlight w:val="none"/>
        </w:rPr>
        <w:t xml:space="preserve">根据《晋城职业技术学院教学检查与管理办法》，从期初到期末，本系安排不少于3次的集中教学检查，教学情况的检查工作贯穿始终，发现问题并及时解决问题，注意归纳分析和总结经验，以指导工作，不断提高管理者在日常教学检查中的预见问题、解决困难的能力。 </w:t>
      </w:r>
    </w:p>
    <w:p>
      <w:pPr>
        <w:spacing w:line="360" w:lineRule="auto"/>
        <w:ind w:firstLine="460" w:firstLineChars="192"/>
        <w:outlineLvl w:val="1"/>
        <w:rPr>
          <w:rFonts w:ascii="Times New Roman" w:hAnsi="Times New Roman"/>
          <w:color w:val="auto"/>
          <w:sz w:val="24"/>
          <w:highlight w:val="none"/>
        </w:rPr>
      </w:pPr>
      <w:bookmarkStart w:id="156" w:name="_Toc458095104"/>
      <w:bookmarkStart w:id="157" w:name="_Toc6596"/>
      <w:bookmarkStart w:id="158" w:name="_Toc361942973"/>
      <w:bookmarkStart w:id="159" w:name="_Toc458088980"/>
      <w:bookmarkStart w:id="160" w:name="_Toc458089359"/>
      <w:bookmarkStart w:id="161" w:name="_Toc361943475"/>
      <w:bookmarkStart w:id="162" w:name="_Toc458088746"/>
      <w:bookmarkStart w:id="163" w:name="_Toc361942688"/>
      <w:bookmarkStart w:id="164" w:name="_Toc23114"/>
      <w:r>
        <w:rPr>
          <w:rFonts w:hint="eastAsia" w:ascii="Times New Roman" w:hAnsi="Times New Roman"/>
          <w:color w:val="auto"/>
          <w:sz w:val="24"/>
          <w:highlight w:val="none"/>
        </w:rPr>
        <w:t>5</w:t>
      </w:r>
      <w:r>
        <w:rPr>
          <w:rFonts w:hint="eastAsia" w:ascii="Times New Roman" w:hAnsi="Times New Roman"/>
          <w:color w:val="auto"/>
          <w:sz w:val="24"/>
          <w:highlight w:val="none"/>
          <w:lang w:eastAsia="zh-CN"/>
        </w:rPr>
        <w:t>.</w:t>
      </w:r>
      <w:r>
        <w:rPr>
          <w:rFonts w:hint="eastAsia" w:ascii="Times New Roman" w:hAnsi="Times New Roman"/>
          <w:color w:val="auto"/>
          <w:sz w:val="24"/>
          <w:highlight w:val="none"/>
        </w:rPr>
        <w:t>教学评价</w:t>
      </w:r>
      <w:bookmarkEnd w:id="156"/>
      <w:bookmarkEnd w:id="157"/>
      <w:bookmarkEnd w:id="158"/>
      <w:bookmarkEnd w:id="159"/>
      <w:bookmarkEnd w:id="160"/>
      <w:bookmarkEnd w:id="161"/>
      <w:bookmarkEnd w:id="162"/>
      <w:bookmarkEnd w:id="163"/>
      <w:bookmarkEnd w:id="164"/>
    </w:p>
    <w:p>
      <w:pPr>
        <w:spacing w:line="360" w:lineRule="auto"/>
        <w:ind w:firstLine="480" w:firstLineChars="200"/>
        <w:rPr>
          <w:rFonts w:ascii="Times New Roman" w:hAnsi="Times New Roman"/>
          <w:color w:val="auto"/>
          <w:sz w:val="24"/>
          <w:highlight w:val="none"/>
        </w:rPr>
      </w:pPr>
      <w:r>
        <w:rPr>
          <w:rFonts w:ascii="Times New Roman" w:hAnsi="Times New Roman"/>
          <w:color w:val="auto"/>
          <w:sz w:val="24"/>
          <w:highlight w:val="none"/>
        </w:rPr>
        <w:t>科学的教学质量评价体系是检验人才培养方案实施效果和修订人才培养方案的有效途径。本专业采取如下措施以保证教学评价的运行：</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（1）</w:t>
      </w:r>
      <w:r>
        <w:rPr>
          <w:rFonts w:ascii="Times New Roman" w:hAnsi="Times New Roman"/>
          <w:color w:val="auto"/>
          <w:sz w:val="24"/>
          <w:highlight w:val="none"/>
        </w:rPr>
        <w:t>建立由</w:t>
      </w:r>
      <w:r>
        <w:rPr>
          <w:rFonts w:hint="eastAsia" w:ascii="Times New Roman" w:hAnsi="Times New Roman"/>
          <w:color w:val="auto"/>
          <w:sz w:val="24"/>
          <w:highlight w:val="none"/>
        </w:rPr>
        <w:t>化工</w:t>
      </w:r>
      <w:r>
        <w:rPr>
          <w:rFonts w:ascii="Times New Roman" w:hAnsi="Times New Roman"/>
          <w:color w:val="auto"/>
          <w:sz w:val="24"/>
          <w:highlight w:val="none"/>
        </w:rPr>
        <w:t>企业和学院共同参与的教学质量评价运行机制；</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（2）</w:t>
      </w:r>
      <w:r>
        <w:rPr>
          <w:rFonts w:ascii="Times New Roman" w:hAnsi="Times New Roman"/>
          <w:color w:val="auto"/>
          <w:sz w:val="24"/>
          <w:highlight w:val="none"/>
        </w:rPr>
        <w:t>建立学生综合素质的评价制度，并建立学生自评、互评和教师评价、企业评价、社会评价相结合的综合评价体系；</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（3）</w:t>
      </w:r>
      <w:r>
        <w:rPr>
          <w:rFonts w:ascii="Times New Roman" w:hAnsi="Times New Roman"/>
          <w:color w:val="auto"/>
          <w:sz w:val="24"/>
          <w:highlight w:val="none"/>
        </w:rPr>
        <w:t>建立毕业生跟踪调查制度，完善企业对毕业生满意度调查、学生和家长对学</w:t>
      </w:r>
      <w:r>
        <w:rPr>
          <w:rFonts w:hint="eastAsia" w:ascii="Times New Roman" w:hAnsi="Times New Roman"/>
          <w:color w:val="auto"/>
          <w:sz w:val="24"/>
          <w:highlight w:val="none"/>
        </w:rPr>
        <w:t>院</w:t>
      </w:r>
      <w:r>
        <w:rPr>
          <w:rFonts w:ascii="Times New Roman" w:hAnsi="Times New Roman"/>
          <w:color w:val="auto"/>
          <w:sz w:val="24"/>
          <w:highlight w:val="none"/>
        </w:rPr>
        <w:t>的满意度调查运行机制；</w:t>
      </w:r>
    </w:p>
    <w:p>
      <w:pPr>
        <w:spacing w:line="360" w:lineRule="auto"/>
        <w:ind w:firstLine="480" w:firstLineChars="200"/>
        <w:rPr>
          <w:rFonts w:ascii="Times New Roman" w:hAnsi="Times New Roman"/>
          <w:color w:val="auto"/>
          <w:sz w:val="24"/>
          <w:highlight w:val="none"/>
        </w:rPr>
      </w:pPr>
      <w:r>
        <w:rPr>
          <w:rFonts w:hint="eastAsia" w:ascii="Times New Roman" w:hAnsi="Times New Roman"/>
          <w:color w:val="auto"/>
          <w:sz w:val="24"/>
          <w:highlight w:val="none"/>
        </w:rPr>
        <w:t>（4）</w:t>
      </w:r>
      <w:r>
        <w:rPr>
          <w:rFonts w:ascii="Times New Roman" w:hAnsi="Times New Roman"/>
          <w:color w:val="auto"/>
          <w:sz w:val="24"/>
          <w:highlight w:val="none"/>
        </w:rPr>
        <w:t>专业指导委员会负责对来自企业、家长、毕业生的质量评价结果进行分析，对人才培养方案进行整改与完善并用于新一轮人才培养过程。</w:t>
      </w:r>
    </w:p>
    <w:p>
      <w:pPr>
        <w:pStyle w:val="3"/>
        <w:snapToGrid w:val="0"/>
        <w:spacing w:before="0" w:after="0" w:line="360" w:lineRule="auto"/>
        <w:ind w:firstLine="640" w:firstLineChars="200"/>
        <w:rPr>
          <w:rFonts w:ascii="Times New Roman" w:hAnsi="Times New Roman"/>
          <w:b w:val="0"/>
          <w:bCs/>
          <w:color w:val="auto"/>
          <w:highlight w:val="none"/>
        </w:rPr>
      </w:pPr>
      <w:bookmarkStart w:id="165" w:name="_Toc12456"/>
      <w:r>
        <w:rPr>
          <w:rFonts w:hint="eastAsia" w:ascii="Times New Roman" w:hAnsi="Times New Roman"/>
          <w:b w:val="0"/>
          <w:bCs/>
          <w:color w:val="auto"/>
          <w:highlight w:val="none"/>
        </w:rPr>
        <w:t>五、机制保障</w:t>
      </w:r>
      <w:bookmarkEnd w:id="165"/>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（一）思想政治保障</w:t>
      </w:r>
    </w:p>
    <w:p>
      <w:pPr>
        <w:spacing w:line="360" w:lineRule="auto"/>
        <w:ind w:firstLine="480" w:firstLineChars="200"/>
        <w:rPr>
          <w:rFonts w:ascii="Times New Roman" w:hAnsi="Times New Roman"/>
          <w:color w:val="auto"/>
          <w:sz w:val="24"/>
          <w:highlight w:val="none"/>
        </w:rPr>
      </w:pPr>
      <w:r>
        <w:rPr>
          <w:rFonts w:ascii="Times New Roman" w:hAnsi="Times New Roman"/>
          <w:color w:val="auto"/>
          <w:sz w:val="24"/>
          <w:highlight w:val="none"/>
        </w:rPr>
        <w:t>要切实加强党建和思想政治工作，贯彻落实关于新时期党的建设工程的各项方针，建设一支高素质的思想政治教育队伍</w:t>
      </w:r>
      <w:r>
        <w:rPr>
          <w:rFonts w:hint="eastAsia" w:ascii="Times New Roman" w:hAnsi="Times New Roman"/>
          <w:color w:val="auto"/>
          <w:sz w:val="24"/>
          <w:highlight w:val="none"/>
        </w:rPr>
        <w:t>。</w:t>
      </w:r>
      <w:r>
        <w:rPr>
          <w:rFonts w:ascii="Times New Roman" w:hAnsi="Times New Roman"/>
          <w:color w:val="auto"/>
          <w:sz w:val="24"/>
          <w:highlight w:val="none"/>
        </w:rPr>
        <w:t>全面实施大学生素质教育工程，充分发挥思想政治理论课的主渠道作用，加强以艺术教育为特色的人文素质教育，建立覆盖课堂教学、课外活动和社会实践的大学生素质教育体系。加强心理健康教育，创新高职生教育与管理模式。加大校园文化建设的力度，以师德师风建设为核心，推进学校的教风、学风建设，彰显大学精神，构建和谐校园。</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（二）制度保障</w:t>
      </w:r>
    </w:p>
    <w:p>
      <w:pPr>
        <w:spacing w:line="360" w:lineRule="auto"/>
        <w:ind w:firstLine="480" w:firstLineChars="200"/>
        <w:rPr>
          <w:rFonts w:ascii="Times New Roman" w:hAnsi="Times New Roman"/>
          <w:color w:val="auto"/>
          <w:sz w:val="24"/>
          <w:highlight w:val="none"/>
        </w:rPr>
      </w:pPr>
      <w:r>
        <w:rPr>
          <w:rFonts w:ascii="Times New Roman" w:hAnsi="Times New Roman"/>
          <w:color w:val="auto"/>
          <w:sz w:val="24"/>
          <w:highlight w:val="none"/>
        </w:rPr>
        <w:t>学院发展规划的目标要求，要从建立和完善各项规章制度着手。要从标准、考核、激励等方面形成长效机制</w:t>
      </w:r>
      <w:r>
        <w:rPr>
          <w:rFonts w:hint="eastAsia" w:ascii="Times New Roman" w:hAnsi="Times New Roman"/>
          <w:color w:val="auto"/>
          <w:sz w:val="24"/>
          <w:highlight w:val="none"/>
        </w:rPr>
        <w:t>，进一步</w:t>
      </w:r>
      <w:r>
        <w:rPr>
          <w:rFonts w:ascii="Times New Roman" w:hAnsi="Times New Roman"/>
          <w:color w:val="auto"/>
          <w:sz w:val="24"/>
          <w:highlight w:val="none"/>
        </w:rPr>
        <w:t>修订完善各项规章制度，全面实施目标责任制考核，建立科学的业绩评价体系</w:t>
      </w:r>
      <w:r>
        <w:rPr>
          <w:rFonts w:hint="eastAsia" w:ascii="Times New Roman" w:hAnsi="Times New Roman"/>
          <w:color w:val="auto"/>
          <w:sz w:val="24"/>
          <w:highlight w:val="none"/>
        </w:rPr>
        <w:t>。学院设立学术与教学指导委员会，对于人才培养方案中培养目标、课程标准的修订做出指导；建立教学督导委员会工作机制，强化教育教学督导工作；定期聘请用人单位、第三方评价机构对人才培养过程和质量进行诊断，</w:t>
      </w:r>
      <w:r>
        <w:rPr>
          <w:rFonts w:ascii="Times New Roman" w:hAnsi="Times New Roman"/>
          <w:color w:val="auto"/>
          <w:sz w:val="24"/>
          <w:highlight w:val="none"/>
        </w:rPr>
        <w:t>形成</w:t>
      </w:r>
      <w:r>
        <w:rPr>
          <w:rFonts w:hint="eastAsia" w:ascii="Times New Roman" w:hAnsi="Times New Roman"/>
          <w:color w:val="auto"/>
          <w:sz w:val="24"/>
          <w:highlight w:val="none"/>
        </w:rPr>
        <w:t>多元监督机制。</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（三）资金保障</w:t>
      </w:r>
    </w:p>
    <w:p>
      <w:pPr>
        <w:spacing w:line="360" w:lineRule="auto"/>
        <w:ind w:firstLine="480" w:firstLineChars="200"/>
        <w:rPr>
          <w:rFonts w:ascii="Times New Roman" w:hAnsi="Times New Roman"/>
          <w:color w:val="auto"/>
          <w:sz w:val="24"/>
          <w:highlight w:val="none"/>
        </w:rPr>
      </w:pPr>
      <w:r>
        <w:rPr>
          <w:rFonts w:ascii="Times New Roman" w:hAnsi="Times New Roman"/>
          <w:color w:val="auto"/>
          <w:sz w:val="24"/>
          <w:highlight w:val="none"/>
        </w:rPr>
        <w:t>建立健全财务约束机制和节约激励机制，降低运营成本</w:t>
      </w:r>
      <w:r>
        <w:rPr>
          <w:rFonts w:hint="eastAsia" w:ascii="Times New Roman" w:hAnsi="Times New Roman"/>
          <w:color w:val="auto"/>
          <w:sz w:val="24"/>
          <w:highlight w:val="none"/>
        </w:rPr>
        <w:t>，</w:t>
      </w:r>
      <w:r>
        <w:rPr>
          <w:rFonts w:ascii="Times New Roman" w:hAnsi="Times New Roman"/>
          <w:color w:val="auto"/>
          <w:sz w:val="24"/>
          <w:highlight w:val="none"/>
        </w:rPr>
        <w:t>进一步完善财务管理体制和管理模式，加强学院财务收支活动的宏观调控，加强学院各类资金的统一调度、控制、审核和审计等工作，科学运作学院资金，提高资金使用效率。</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（四）基本建设保障</w:t>
      </w:r>
    </w:p>
    <w:p>
      <w:pPr>
        <w:spacing w:line="360" w:lineRule="auto"/>
        <w:ind w:firstLine="480" w:firstLineChars="200"/>
        <w:rPr>
          <w:rFonts w:ascii="Times New Roman" w:hAnsi="Times New Roman"/>
          <w:color w:val="auto"/>
          <w:sz w:val="24"/>
          <w:highlight w:val="none"/>
        </w:rPr>
      </w:pPr>
      <w:r>
        <w:rPr>
          <w:rFonts w:ascii="Times New Roman" w:hAnsi="Times New Roman"/>
          <w:color w:val="auto"/>
          <w:sz w:val="24"/>
          <w:highlight w:val="none"/>
        </w:rPr>
        <w:t>加强实验、实训设施建设与管理，不断改善实训条件。加强校园网络建设：建设数字化校园，满足现代化教学和管理要求，搭建教学资源共享平台。加强专业图书资料的合理投入，重点加大对电子资料的投入。</w:t>
      </w:r>
    </w:p>
    <w:p>
      <w:pPr>
        <w:spacing w:line="360" w:lineRule="auto"/>
        <w:ind w:firstLine="600" w:firstLineChars="200"/>
        <w:rPr>
          <w:rFonts w:hint="eastAsia" w:ascii="Times New Roman" w:hAnsi="Times New Roman" w:eastAsia="黑体" w:cs="黑体"/>
          <w:bCs/>
          <w:color w:val="auto"/>
          <w:sz w:val="30"/>
          <w:szCs w:val="30"/>
          <w:highlight w:val="none"/>
          <w:lang w:val="en-US" w:eastAsia="zh-CN"/>
        </w:rPr>
      </w:pPr>
      <w:r>
        <w:rPr>
          <w:rFonts w:hint="eastAsia" w:ascii="Times New Roman" w:hAnsi="Times New Roman" w:eastAsia="黑体" w:cs="黑体"/>
          <w:bCs/>
          <w:color w:val="auto"/>
          <w:sz w:val="30"/>
          <w:szCs w:val="30"/>
          <w:highlight w:val="none"/>
          <w:lang w:val="en-US" w:eastAsia="zh-CN"/>
        </w:rPr>
        <w:t>（五）合作机制保障</w:t>
      </w:r>
    </w:p>
    <w:p>
      <w:pPr>
        <w:spacing w:line="360" w:lineRule="auto"/>
        <w:ind w:firstLine="480" w:firstLineChars="200"/>
        <w:rPr>
          <w:rFonts w:ascii="Times New Roman" w:hAnsi="Times New Roman"/>
          <w:color w:val="auto"/>
          <w:sz w:val="24"/>
          <w:highlight w:val="none"/>
        </w:rPr>
        <w:sectPr>
          <w:headerReference r:id="rId12" w:type="default"/>
          <w:footerReference r:id="rId13" w:type="default"/>
          <w:footerReference r:id="rId14" w:type="even"/>
          <w:pgSz w:w="11906" w:h="16838"/>
          <w:pgMar w:top="1440" w:right="1701" w:bottom="1440" w:left="1797" w:header="851" w:footer="992" w:gutter="0"/>
          <w:cols w:space="720" w:num="1"/>
          <w:docGrid w:type="lines" w:linePitch="312" w:charSpace="0"/>
        </w:sectPr>
      </w:pPr>
      <w:r>
        <w:rPr>
          <w:rFonts w:ascii="Times New Roman" w:hAnsi="Times New Roman"/>
          <w:color w:val="auto"/>
          <w:sz w:val="24"/>
          <w:highlight w:val="none"/>
        </w:rPr>
        <w:t>充分发挥校企合作委员会的作用，</w:t>
      </w:r>
      <w:r>
        <w:rPr>
          <w:rFonts w:hint="eastAsia" w:ascii="Times New Roman" w:hAnsi="Times New Roman"/>
          <w:color w:val="auto"/>
          <w:sz w:val="24"/>
          <w:highlight w:val="none"/>
        </w:rPr>
        <w:t>成立化工系校企合作工作小组，专门负责与化工行业协会及化工企业联络、合作项目日常管理、组织校企联谊活动等工作。校企合作工作小组组织学院、系、用人单位三方成立专业指导委员会，定期召开专业指导委员会会议（原则上每学年一次以上），平时不定期征询专业教学改革意见和建议。</w:t>
      </w:r>
      <w:r>
        <w:rPr>
          <w:rFonts w:ascii="Times New Roman" w:hAnsi="Times New Roman"/>
          <w:color w:val="auto"/>
          <w:sz w:val="24"/>
          <w:highlight w:val="none"/>
        </w:rPr>
        <w:t>此外，学院也要加强为企业提供培训服务，为其员工开展继续教育和在岗培训等工作，为企业人力资源开发、建设注入活力。</w:t>
      </w:r>
    </w:p>
    <w:p>
      <w:p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附件一：</w:t>
      </w:r>
    </w:p>
    <w:p>
      <w:p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 xml:space="preserve">                       企业在岗人员的问卷调查表</w:t>
      </w:r>
    </w:p>
    <w:p>
      <w:pPr>
        <w:adjustRightInd w:val="0"/>
        <w:snapToGrid w:val="0"/>
        <w:spacing w:line="360" w:lineRule="auto"/>
        <w:rPr>
          <w:rFonts w:ascii="Times New Roman" w:hAnsi="Times New Roman"/>
          <w:bCs/>
          <w:color w:val="auto"/>
          <w:sz w:val="24"/>
          <w:highlight w:val="none"/>
        </w:rPr>
      </w:pP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您的性别：  男</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女</w:t>
      </w:r>
      <w:r>
        <w:rPr>
          <w:rFonts w:hint="eastAsia" w:ascii="Times New Roman" w:hAnsi="Times New Roman"/>
          <w:bCs/>
          <w:color w:val="auto"/>
          <w:sz w:val="24"/>
          <w:highlight w:val="none"/>
        </w:rPr>
        <w:sym w:font="Wingdings 2" w:char="00A3"/>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你所在的企业名称：</w:t>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你所在企业的性质：私企</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国企</w:t>
      </w:r>
      <w:r>
        <w:rPr>
          <w:rFonts w:hint="eastAsia" w:ascii="Times New Roman" w:hAnsi="Times New Roman"/>
          <w:bCs/>
          <w:color w:val="auto"/>
          <w:sz w:val="24"/>
          <w:highlight w:val="none"/>
        </w:rPr>
        <w:sym w:font="Wingdings 2" w:char="00A3"/>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您的年龄：20-30岁</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30-40岁</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40-50岁</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50岁以上</w:t>
      </w:r>
      <w:r>
        <w:rPr>
          <w:rFonts w:hint="eastAsia" w:ascii="Times New Roman" w:hAnsi="Times New Roman"/>
          <w:bCs/>
          <w:color w:val="auto"/>
          <w:sz w:val="24"/>
          <w:highlight w:val="none"/>
        </w:rPr>
        <w:sym w:font="Wingdings 2" w:char="00A3"/>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你的工龄：5年以下</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5-10年</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10-15年</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15年以上</w:t>
      </w:r>
      <w:r>
        <w:rPr>
          <w:rFonts w:hint="eastAsia" w:ascii="Times New Roman" w:hAnsi="Times New Roman"/>
          <w:bCs/>
          <w:color w:val="auto"/>
          <w:sz w:val="24"/>
          <w:highlight w:val="none"/>
        </w:rPr>
        <w:sym w:font="Wingdings 2" w:char="00A3"/>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您的学历：高中</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大专</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本科</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硕士</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博士</w:t>
      </w:r>
      <w:r>
        <w:rPr>
          <w:rFonts w:hint="eastAsia" w:ascii="Times New Roman" w:hAnsi="Times New Roman"/>
          <w:bCs/>
          <w:color w:val="auto"/>
          <w:sz w:val="24"/>
          <w:highlight w:val="none"/>
        </w:rPr>
        <w:sym w:font="Wingdings 2" w:char="00A3"/>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您的职称：初级</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中级</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高级</w:t>
      </w:r>
      <w:r>
        <w:rPr>
          <w:rFonts w:hint="eastAsia" w:ascii="Times New Roman" w:hAnsi="Times New Roman"/>
          <w:bCs/>
          <w:color w:val="auto"/>
          <w:sz w:val="24"/>
          <w:highlight w:val="none"/>
        </w:rPr>
        <w:sym w:font="Wingdings 2" w:char="00A3"/>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您近入企业的渠道是：招工</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招聘</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调职</w:t>
      </w:r>
      <w:r>
        <w:rPr>
          <w:rFonts w:hint="eastAsia" w:ascii="Times New Roman" w:hAnsi="Times New Roman"/>
          <w:bCs/>
          <w:color w:val="auto"/>
          <w:sz w:val="24"/>
          <w:highlight w:val="none"/>
        </w:rPr>
        <w:sym w:font="Wingdings 2" w:char="00A3"/>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您的薪资待遇：2000元以下</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2000-3000元</w:t>
      </w:r>
      <w:r>
        <w:rPr>
          <w:rFonts w:hint="eastAsia" w:ascii="Times New Roman" w:hAnsi="Times New Roman"/>
          <w:bCs/>
          <w:color w:val="auto"/>
          <w:sz w:val="24"/>
          <w:highlight w:val="none"/>
        </w:rPr>
        <w:sym w:font="Wingdings 2" w:char="00A3"/>
      </w:r>
    </w:p>
    <w:p>
      <w:p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 xml:space="preserve">          3000-4000元</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4000-5000元</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5000元以上</w:t>
      </w:r>
      <w:r>
        <w:rPr>
          <w:rFonts w:hint="eastAsia" w:ascii="Times New Roman" w:hAnsi="Times New Roman"/>
          <w:bCs/>
          <w:color w:val="auto"/>
          <w:sz w:val="24"/>
          <w:highlight w:val="none"/>
        </w:rPr>
        <w:sym w:font="Wingdings 2" w:char="00A3"/>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您对您的薪资待遇是否满意？     是</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否</w:t>
      </w:r>
      <w:r>
        <w:rPr>
          <w:rFonts w:hint="eastAsia" w:ascii="Times New Roman" w:hAnsi="Times New Roman"/>
          <w:bCs/>
          <w:color w:val="auto"/>
          <w:sz w:val="24"/>
          <w:highlight w:val="none"/>
        </w:rPr>
        <w:sym w:font="Wingdings 2" w:char="00A3"/>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您所在车间：</w:t>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您所在岗位：</w:t>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您的工作时间：八小时以下</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八小时</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八小时以上</w:t>
      </w:r>
      <w:r>
        <w:rPr>
          <w:rFonts w:hint="eastAsia" w:ascii="Times New Roman" w:hAnsi="Times New Roman"/>
          <w:bCs/>
          <w:color w:val="auto"/>
          <w:sz w:val="24"/>
          <w:highlight w:val="none"/>
        </w:rPr>
        <w:sym w:font="Wingdings 2" w:char="00A3"/>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您是否经常加班：是</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否</w:t>
      </w:r>
      <w:r>
        <w:rPr>
          <w:rFonts w:hint="eastAsia" w:ascii="Times New Roman" w:hAnsi="Times New Roman"/>
          <w:bCs/>
          <w:color w:val="auto"/>
          <w:sz w:val="24"/>
          <w:highlight w:val="none"/>
        </w:rPr>
        <w:sym w:font="Wingdings 2" w:char="00A3"/>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您是否参加过岗前培训：    是</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否</w:t>
      </w:r>
      <w:r>
        <w:rPr>
          <w:rFonts w:hint="eastAsia" w:ascii="Times New Roman" w:hAnsi="Times New Roman"/>
          <w:bCs/>
          <w:color w:val="auto"/>
          <w:sz w:val="24"/>
          <w:highlight w:val="none"/>
        </w:rPr>
        <w:sym w:font="Wingdings 2" w:char="00A3"/>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您是否参加过在岗培训：    是</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否</w:t>
      </w:r>
      <w:r>
        <w:rPr>
          <w:rFonts w:hint="eastAsia" w:ascii="Times New Roman" w:hAnsi="Times New Roman"/>
          <w:bCs/>
          <w:color w:val="auto"/>
          <w:sz w:val="24"/>
          <w:highlight w:val="none"/>
        </w:rPr>
        <w:sym w:font="Wingdings 2" w:char="00A3"/>
      </w:r>
    </w:p>
    <w:p>
      <w:pPr>
        <w:numPr>
          <w:ilvl w:val="0"/>
          <w:numId w:val="7"/>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您参加过在岗培训的频率为：   一年一次</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两年一次</w:t>
      </w:r>
      <w:r>
        <w:rPr>
          <w:rFonts w:hint="eastAsia" w:ascii="Times New Roman" w:hAnsi="Times New Roman"/>
          <w:bCs/>
          <w:color w:val="auto"/>
          <w:sz w:val="24"/>
          <w:highlight w:val="none"/>
        </w:rPr>
        <w:sym w:font="Wingdings 2" w:char="00A3"/>
      </w:r>
    </w:p>
    <w:p>
      <w:p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 xml:space="preserve">                                三年一次</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五年一次</w:t>
      </w:r>
      <w:r>
        <w:rPr>
          <w:rFonts w:hint="eastAsia" w:ascii="Times New Roman" w:hAnsi="Times New Roman"/>
          <w:bCs/>
          <w:color w:val="auto"/>
          <w:sz w:val="24"/>
          <w:highlight w:val="none"/>
        </w:rPr>
        <w:sym w:font="Wingdings 2" w:char="00A3"/>
      </w:r>
    </w:p>
    <w:p>
      <w:p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13.您参加的岗前培训主要内容（可多选）：化工理论</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实践技能</w:t>
      </w:r>
      <w:r>
        <w:rPr>
          <w:rFonts w:hint="eastAsia" w:ascii="Times New Roman" w:hAnsi="Times New Roman"/>
          <w:bCs/>
          <w:color w:val="auto"/>
          <w:sz w:val="24"/>
          <w:highlight w:val="none"/>
        </w:rPr>
        <w:sym w:font="Wingdings 2" w:char="00A3"/>
      </w:r>
    </w:p>
    <w:p>
      <w:p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 xml:space="preserve">                           安全生产</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职业道德</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其他</w:t>
      </w:r>
      <w:r>
        <w:rPr>
          <w:rFonts w:hint="eastAsia" w:ascii="Times New Roman" w:hAnsi="Times New Roman"/>
          <w:bCs/>
          <w:color w:val="auto"/>
          <w:sz w:val="24"/>
          <w:highlight w:val="none"/>
        </w:rPr>
        <w:sym w:font="Wingdings 2" w:char="00A3"/>
      </w:r>
    </w:p>
    <w:p>
      <w:p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14.您觉得学校所学知识、技能和工作有关系么？有</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一般</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基本没有</w:t>
      </w:r>
      <w:r>
        <w:rPr>
          <w:rFonts w:hint="eastAsia" w:ascii="Times New Roman" w:hAnsi="Times New Roman"/>
          <w:bCs/>
          <w:color w:val="auto"/>
          <w:sz w:val="24"/>
          <w:highlight w:val="none"/>
        </w:rPr>
        <w:sym w:font="Wingdings 2" w:char="00A3"/>
      </w:r>
    </w:p>
    <w:p>
      <w:pPr>
        <w:numPr>
          <w:ilvl w:val="0"/>
          <w:numId w:val="8"/>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您觉得岗前培训有意义么？    有</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没有</w:t>
      </w:r>
      <w:r>
        <w:rPr>
          <w:rFonts w:hint="eastAsia" w:ascii="Times New Roman" w:hAnsi="Times New Roman"/>
          <w:bCs/>
          <w:color w:val="auto"/>
          <w:sz w:val="24"/>
          <w:highlight w:val="none"/>
        </w:rPr>
        <w:sym w:font="Wingdings 2" w:char="00A3"/>
      </w:r>
    </w:p>
    <w:p>
      <w:pPr>
        <w:numPr>
          <w:ilvl w:val="0"/>
          <w:numId w:val="8"/>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您觉得在岗培训有意义么？    有</w:t>
      </w:r>
      <w:r>
        <w:rPr>
          <w:rFonts w:hint="eastAsia" w:ascii="Times New Roman" w:hAnsi="Times New Roman"/>
          <w:bCs/>
          <w:color w:val="auto"/>
          <w:sz w:val="24"/>
          <w:highlight w:val="none"/>
        </w:rPr>
        <w:sym w:font="Wingdings 2" w:char="00A3"/>
      </w:r>
      <w:r>
        <w:rPr>
          <w:rFonts w:hint="eastAsia" w:ascii="Times New Roman" w:hAnsi="Times New Roman"/>
          <w:bCs/>
          <w:color w:val="auto"/>
          <w:sz w:val="24"/>
          <w:highlight w:val="none"/>
        </w:rPr>
        <w:t xml:space="preserve">          没有</w:t>
      </w:r>
      <w:r>
        <w:rPr>
          <w:rFonts w:hint="eastAsia" w:ascii="Times New Roman" w:hAnsi="Times New Roman"/>
          <w:bCs/>
          <w:color w:val="auto"/>
          <w:sz w:val="24"/>
          <w:highlight w:val="none"/>
        </w:rPr>
        <w:sym w:font="Wingdings 2" w:char="00A3"/>
      </w:r>
    </w:p>
    <w:p>
      <w:pPr>
        <w:adjustRightInd w:val="0"/>
        <w:snapToGrid w:val="0"/>
        <w:spacing w:line="360" w:lineRule="auto"/>
        <w:rPr>
          <w:rFonts w:ascii="Times New Roman" w:hAnsi="Times New Roman"/>
          <w:bCs/>
          <w:color w:val="auto"/>
          <w:sz w:val="24"/>
          <w:highlight w:val="none"/>
        </w:rPr>
      </w:pPr>
    </w:p>
    <w:p>
      <w:pPr>
        <w:adjustRightInd w:val="0"/>
        <w:snapToGrid w:val="0"/>
        <w:spacing w:line="360" w:lineRule="auto"/>
        <w:rPr>
          <w:rFonts w:ascii="Times New Roman" w:hAnsi="Times New Roman"/>
          <w:bCs/>
          <w:color w:val="auto"/>
          <w:sz w:val="24"/>
          <w:highlight w:val="none"/>
        </w:rPr>
      </w:pPr>
    </w:p>
    <w:p>
      <w:pPr>
        <w:adjustRightInd w:val="0"/>
        <w:snapToGrid w:val="0"/>
        <w:spacing w:line="360" w:lineRule="auto"/>
        <w:rPr>
          <w:rFonts w:ascii="Times New Roman" w:hAnsi="Times New Roman"/>
          <w:bCs/>
          <w:color w:val="auto"/>
          <w:sz w:val="24"/>
          <w:highlight w:val="none"/>
        </w:rPr>
      </w:pPr>
    </w:p>
    <w:p>
      <w:p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附件二：                  与毕业生座谈内容</w:t>
      </w:r>
    </w:p>
    <w:p>
      <w:pPr>
        <w:numPr>
          <w:ilvl w:val="0"/>
          <w:numId w:val="9"/>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所在企业名称、岗位名称；</w:t>
      </w:r>
    </w:p>
    <w:p>
      <w:pPr>
        <w:numPr>
          <w:ilvl w:val="0"/>
          <w:numId w:val="9"/>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所在岗位需要的技能要求有哪些？</w:t>
      </w:r>
    </w:p>
    <w:p>
      <w:pPr>
        <w:numPr>
          <w:ilvl w:val="0"/>
          <w:numId w:val="9"/>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技能要求和所学那些课程有关系？关系大不大？</w:t>
      </w:r>
    </w:p>
    <w:p>
      <w:pPr>
        <w:numPr>
          <w:ilvl w:val="0"/>
          <w:numId w:val="9"/>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对于煤炭深加工与利用技术专业课程设置有哪些建议和意见？</w:t>
      </w:r>
    </w:p>
    <w:p>
      <w:pPr>
        <w:adjustRightInd w:val="0"/>
        <w:snapToGrid w:val="0"/>
        <w:spacing w:line="360" w:lineRule="auto"/>
        <w:rPr>
          <w:rFonts w:ascii="Times New Roman" w:hAnsi="Times New Roman"/>
          <w:bCs/>
          <w:color w:val="auto"/>
          <w:sz w:val="24"/>
          <w:highlight w:val="none"/>
        </w:rPr>
      </w:pPr>
    </w:p>
    <w:p>
      <w:pPr>
        <w:adjustRightInd w:val="0"/>
        <w:snapToGrid w:val="0"/>
        <w:spacing w:line="360" w:lineRule="auto"/>
        <w:rPr>
          <w:rFonts w:ascii="Times New Roman" w:hAnsi="Times New Roman"/>
          <w:bCs/>
          <w:color w:val="auto"/>
          <w:sz w:val="24"/>
          <w:highlight w:val="none"/>
        </w:rPr>
      </w:pPr>
    </w:p>
    <w:p>
      <w:pPr>
        <w:adjustRightInd w:val="0"/>
        <w:snapToGrid w:val="0"/>
        <w:spacing w:line="360" w:lineRule="auto"/>
        <w:rPr>
          <w:rFonts w:ascii="Times New Roman" w:hAnsi="Times New Roman"/>
          <w:bCs/>
          <w:color w:val="auto"/>
          <w:sz w:val="24"/>
          <w:highlight w:val="none"/>
        </w:rPr>
      </w:pPr>
    </w:p>
    <w:p>
      <w:p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附件三：             与企业负责人座谈内容</w:t>
      </w:r>
    </w:p>
    <w:p>
      <w:pPr>
        <w:numPr>
          <w:ilvl w:val="0"/>
          <w:numId w:val="10"/>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企业对于当前煤化工行业发展有哪些看法？</w:t>
      </w:r>
    </w:p>
    <w:p>
      <w:pPr>
        <w:numPr>
          <w:ilvl w:val="0"/>
          <w:numId w:val="10"/>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目前企业的现状怎样，将来的发展方向是什么？</w:t>
      </w:r>
    </w:p>
    <w:p>
      <w:pPr>
        <w:numPr>
          <w:ilvl w:val="0"/>
          <w:numId w:val="10"/>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企业目前时候是否有招聘员工的意愿？如果有，是哪些类别的员工?</w:t>
      </w:r>
    </w:p>
    <w:p>
      <w:pPr>
        <w:numPr>
          <w:ilvl w:val="0"/>
          <w:numId w:val="10"/>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企业对老员工有哪些技能、素质要求？</w:t>
      </w:r>
    </w:p>
    <w:p>
      <w:pPr>
        <w:numPr>
          <w:ilvl w:val="0"/>
          <w:numId w:val="10"/>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企业对新员工有什么人才质量要求？</w:t>
      </w:r>
    </w:p>
    <w:p>
      <w:pPr>
        <w:numPr>
          <w:ilvl w:val="0"/>
          <w:numId w:val="10"/>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企业对于校企合作有哪些建议。</w:t>
      </w:r>
    </w:p>
    <w:p>
      <w:pPr>
        <w:numPr>
          <w:ilvl w:val="0"/>
          <w:numId w:val="10"/>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企业内部的岗位级别确定的依据是什么？</w:t>
      </w:r>
    </w:p>
    <w:p>
      <w:pPr>
        <w:numPr>
          <w:ilvl w:val="0"/>
          <w:numId w:val="10"/>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企业内部工作岗位分类以及要求。</w:t>
      </w:r>
    </w:p>
    <w:p>
      <w:pPr>
        <w:numPr>
          <w:ilvl w:val="0"/>
          <w:numId w:val="10"/>
        </w:numPr>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企业对于目前本专业的课程设置有哪些建议与意见。</w:t>
      </w:r>
    </w:p>
    <w:p>
      <w:pPr>
        <w:tabs>
          <w:tab w:val="left" w:pos="312"/>
        </w:tabs>
        <w:adjustRightInd w:val="0"/>
        <w:snapToGrid w:val="0"/>
        <w:spacing w:line="360" w:lineRule="auto"/>
        <w:rPr>
          <w:rFonts w:ascii="Times New Roman" w:hAnsi="Times New Roman"/>
          <w:bCs/>
          <w:color w:val="auto"/>
          <w:sz w:val="24"/>
          <w:highlight w:val="none"/>
        </w:rPr>
      </w:pPr>
    </w:p>
    <w:p>
      <w:pPr>
        <w:tabs>
          <w:tab w:val="left" w:pos="312"/>
        </w:tabs>
        <w:adjustRightInd w:val="0"/>
        <w:snapToGrid w:val="0"/>
        <w:spacing w:line="360" w:lineRule="auto"/>
        <w:rPr>
          <w:rFonts w:ascii="Times New Roman" w:hAnsi="Times New Roman"/>
          <w:bCs/>
          <w:color w:val="auto"/>
          <w:sz w:val="24"/>
          <w:highlight w:val="none"/>
        </w:rPr>
      </w:pPr>
    </w:p>
    <w:p>
      <w:pPr>
        <w:tabs>
          <w:tab w:val="left" w:pos="312"/>
        </w:tabs>
        <w:adjustRightInd w:val="0"/>
        <w:snapToGrid w:val="0"/>
        <w:spacing w:line="360" w:lineRule="auto"/>
        <w:rPr>
          <w:rFonts w:ascii="Times New Roman" w:hAnsi="Times New Roman"/>
          <w:bCs/>
          <w:color w:val="auto"/>
          <w:sz w:val="24"/>
          <w:highlight w:val="none"/>
        </w:rPr>
      </w:pPr>
    </w:p>
    <w:p>
      <w:pPr>
        <w:tabs>
          <w:tab w:val="left" w:pos="312"/>
        </w:tabs>
        <w:adjustRightInd w:val="0"/>
        <w:snapToGrid w:val="0"/>
        <w:spacing w:line="360" w:lineRule="auto"/>
        <w:rPr>
          <w:rFonts w:ascii="Times New Roman" w:hAnsi="Times New Roman"/>
          <w:bCs/>
          <w:color w:val="auto"/>
          <w:sz w:val="24"/>
          <w:highlight w:val="none"/>
        </w:rPr>
      </w:pPr>
      <w:r>
        <w:rPr>
          <w:rFonts w:hint="eastAsia" w:ascii="Times New Roman" w:hAnsi="Times New Roman"/>
          <w:bCs/>
          <w:color w:val="auto"/>
          <w:sz w:val="24"/>
          <w:highlight w:val="none"/>
        </w:rPr>
        <w:t>附件四：             院校煤炭深加工与利用专业调研内容</w:t>
      </w:r>
    </w:p>
    <w:p>
      <w:pPr>
        <w:numPr>
          <w:ilvl w:val="0"/>
          <w:numId w:val="11"/>
        </w:numPr>
        <w:spacing w:line="360" w:lineRule="auto"/>
        <w:rPr>
          <w:rFonts w:ascii="Times New Roman" w:hAnsi="Times New Roman"/>
          <w:color w:val="auto"/>
          <w:sz w:val="24"/>
          <w:highlight w:val="none"/>
        </w:rPr>
      </w:pPr>
      <w:r>
        <w:rPr>
          <w:rFonts w:hint="eastAsia" w:ascii="Times New Roman" w:hAnsi="Times New Roman"/>
          <w:color w:val="auto"/>
          <w:sz w:val="24"/>
          <w:highlight w:val="none"/>
        </w:rPr>
        <w:t>该专业近三年的招生人数和趋势。</w:t>
      </w:r>
    </w:p>
    <w:p>
      <w:pPr>
        <w:numPr>
          <w:ilvl w:val="0"/>
          <w:numId w:val="11"/>
        </w:numPr>
        <w:spacing w:line="360" w:lineRule="auto"/>
        <w:rPr>
          <w:rFonts w:ascii="Times New Roman" w:hAnsi="Times New Roman"/>
          <w:color w:val="auto"/>
          <w:sz w:val="24"/>
          <w:highlight w:val="none"/>
        </w:rPr>
      </w:pPr>
      <w:r>
        <w:rPr>
          <w:rFonts w:hint="eastAsia" w:ascii="Times New Roman" w:hAnsi="Times New Roman"/>
          <w:color w:val="auto"/>
          <w:sz w:val="24"/>
          <w:highlight w:val="none"/>
        </w:rPr>
        <w:t>该专业毕业生对口就业的就业率和就业单位情况。</w:t>
      </w:r>
    </w:p>
    <w:p>
      <w:pPr>
        <w:numPr>
          <w:ilvl w:val="0"/>
          <w:numId w:val="11"/>
        </w:numPr>
        <w:spacing w:line="360" w:lineRule="auto"/>
        <w:rPr>
          <w:rFonts w:ascii="Times New Roman" w:hAnsi="Times New Roman"/>
          <w:color w:val="auto"/>
          <w:sz w:val="24"/>
          <w:highlight w:val="none"/>
        </w:rPr>
      </w:pPr>
      <w:r>
        <w:rPr>
          <w:rFonts w:hint="eastAsia" w:ascii="Times New Roman" w:hAnsi="Times New Roman"/>
          <w:color w:val="auto"/>
          <w:sz w:val="24"/>
          <w:highlight w:val="none"/>
        </w:rPr>
        <w:t>该专业基础课和专业课开设比例。</w:t>
      </w:r>
    </w:p>
    <w:p>
      <w:pPr>
        <w:numPr>
          <w:ilvl w:val="0"/>
          <w:numId w:val="11"/>
        </w:numPr>
        <w:spacing w:line="360" w:lineRule="auto"/>
        <w:rPr>
          <w:rFonts w:ascii="Times New Roman" w:hAnsi="Times New Roman"/>
          <w:color w:val="auto"/>
          <w:sz w:val="24"/>
          <w:highlight w:val="none"/>
        </w:rPr>
      </w:pPr>
      <w:r>
        <w:rPr>
          <w:rFonts w:hint="eastAsia" w:ascii="Times New Roman" w:hAnsi="Times New Roman"/>
          <w:color w:val="auto"/>
          <w:sz w:val="24"/>
          <w:highlight w:val="none"/>
        </w:rPr>
        <w:t>该专业专业基础课有那些？核心课程有哪些？</w:t>
      </w:r>
    </w:p>
    <w:p>
      <w:pPr>
        <w:numPr>
          <w:ilvl w:val="0"/>
          <w:numId w:val="11"/>
        </w:numPr>
        <w:spacing w:line="360" w:lineRule="auto"/>
        <w:rPr>
          <w:rFonts w:ascii="Times New Roman" w:hAnsi="Times New Roman"/>
          <w:color w:val="auto"/>
          <w:sz w:val="24"/>
          <w:highlight w:val="none"/>
        </w:rPr>
      </w:pPr>
      <w:r>
        <w:rPr>
          <w:rFonts w:hint="eastAsia" w:ascii="Times New Roman" w:hAnsi="Times New Roman"/>
          <w:color w:val="auto"/>
          <w:sz w:val="24"/>
          <w:highlight w:val="none"/>
        </w:rPr>
        <w:t>该专业和相近专业是否有合班上课的现象？合班上课的课程涉及到哪些？</w:t>
      </w:r>
    </w:p>
    <w:p>
      <w:pPr>
        <w:numPr>
          <w:ilvl w:val="0"/>
          <w:numId w:val="11"/>
        </w:numPr>
        <w:spacing w:line="360" w:lineRule="auto"/>
        <w:rPr>
          <w:rFonts w:ascii="Times New Roman" w:hAnsi="Times New Roman"/>
          <w:color w:val="auto"/>
          <w:highlight w:val="none"/>
        </w:rPr>
      </w:pPr>
      <w:r>
        <w:rPr>
          <w:rFonts w:hint="eastAsia" w:ascii="Times New Roman" w:hAnsi="Times New Roman"/>
          <w:color w:val="auto"/>
          <w:sz w:val="24"/>
          <w:highlight w:val="none"/>
        </w:rPr>
        <w:t>该专业配备哪些实训设施、实训室和校内外实训基地？</w:t>
      </w:r>
    </w:p>
    <w:p>
      <w:pPr>
        <w:numPr>
          <w:ilvl w:val="0"/>
          <w:numId w:val="11"/>
        </w:numPr>
        <w:spacing w:line="360" w:lineRule="auto"/>
        <w:rPr>
          <w:rFonts w:ascii="Times New Roman" w:hAnsi="Times New Roman"/>
          <w:color w:val="auto"/>
          <w:highlight w:val="none"/>
        </w:rPr>
      </w:pPr>
      <w:r>
        <w:rPr>
          <w:rFonts w:hint="eastAsia" w:ascii="Times New Roman" w:hAnsi="Times New Roman"/>
          <w:color w:val="auto"/>
          <w:sz w:val="24"/>
          <w:highlight w:val="none"/>
        </w:rPr>
        <w:t>该专业与当地煤化工企业校企合作的深度和广度如何？合作方式有哪些？</w:t>
      </w:r>
    </w:p>
    <w:p>
      <w:pPr>
        <w:jc w:val="left"/>
        <w:rPr>
          <w:rFonts w:ascii="Times New Roman" w:hAnsi="Times New Roman" w:eastAsia="仿宋_GB2312"/>
          <w:bCs/>
          <w:color w:val="auto"/>
          <w:sz w:val="28"/>
          <w:szCs w:val="28"/>
          <w:highlight w:val="none"/>
        </w:rPr>
      </w:pPr>
    </w:p>
    <w:sectPr>
      <w:headerReference r:id="rId15" w:type="default"/>
      <w:footerReference r:id="rId16" w:type="default"/>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行楷简体">
    <w:altName w:val="Arial Unicode MS"/>
    <w:panose1 w:val="03000509000000000000"/>
    <w:charset w:val="86"/>
    <w:family w:val="script"/>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Arial Unicode MS"/>
    <w:panose1 w:val="02010609030101010101"/>
    <w:charset w:val="86"/>
    <w:family w:val="modern"/>
    <w:pitch w:val="default"/>
    <w:sig w:usb0="00000000" w:usb1="00000000" w:usb2="00000000" w:usb3="00000000" w:csb0="00040000" w:csb1="00000000"/>
  </w:font>
  <w:font w:name="SSJ0+ZETBZa-3">
    <w:altName w:val="宋体"/>
    <w:panose1 w:val="00000000000000000000"/>
    <w:charset w:val="86"/>
    <w:family w:val="auto"/>
    <w:pitch w:val="default"/>
    <w:sig w:usb0="00000000" w:usb1="00000000" w:usb2="00000010" w:usb3="00000000" w:csb0="00040000" w:csb1="00000000"/>
  </w:font>
  <w:font w:name="E-HZ+ZETBZb-4">
    <w:altName w:val="宋体"/>
    <w:panose1 w:val="00000000000000000000"/>
    <w:charset w:val="86"/>
    <w:family w:val="auto"/>
    <w:pitch w:val="default"/>
    <w:sig w:usb0="00000000" w:usb1="00000000" w:usb2="00000010" w:usb3="00000000" w:csb0="00040000" w:csb1="00000000"/>
  </w:font>
  <w:font w:name="AdobeHeitiStd-Regular">
    <w:altName w:val="宋体"/>
    <w:panose1 w:val="00000000000000000000"/>
    <w:charset w:val="86"/>
    <w:family w:val="auto"/>
    <w:pitch w:val="default"/>
    <w:sig w:usb0="00000000" w:usb1="00000000" w:usb2="00000000" w:usb3="00000000" w:csb0="00040000" w:csb1="00000000"/>
  </w:font>
  <w:font w:name="SSJ0+ZETBZc-6">
    <w:altName w:val="宋体"/>
    <w:panose1 w:val="00000000000000000000"/>
    <w:charset w:val="86"/>
    <w:family w:val="auto"/>
    <w:pitch w:val="default"/>
    <w:sig w:usb0="00000000" w:usb1="00000000" w:usb2="00000010" w:usb3="00000000" w:csb0="00040000" w:csb1="00000000"/>
  </w:font>
  <w:font w:name="&amp;quot">
    <w:altName w:val="Segoe Print"/>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A0000287" w:usb1="28CF3C52" w:usb2="00000016" w:usb3="00000000" w:csb0="0004001F" w:csb1="00000000"/>
  </w:font>
  <w:font w:name="Wingdings 2">
    <w:panose1 w:val="05020102010507070707"/>
    <w:charset w:val="02"/>
    <w:family w:val="decorative"/>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jc w:val="cente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rPr>
                              <w:rStyle w:val="19"/>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C2l0SwHAIAACMEAAAO&#10;AAAAAAAAAAEAIAAAAB8BAABkcnMvZTJvRG9jLnhtbFBLBQYAAAAABgAGAFkBAACtBQAAAAA=&#10;">
              <v:fill on="f" focussize="0,0"/>
              <v:stroke on="f" weight="0.5pt"/>
              <v:imagedata o:title=""/>
              <o:lock v:ext="edit" aspectratio="f"/>
              <v:textbox inset="0mm,0mm,0mm,0mm" style="mso-fit-shape-to-text:t;">
                <w:txbxContent>
                  <w:p>
                    <w:pPr>
                      <w:pStyle w:val="10"/>
                      <w:rPr>
                        <w:rStyle w:val="19"/>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9"/>
      </w:rPr>
    </w:pPr>
    <w:r>
      <w:fldChar w:fldCharType="begin"/>
    </w:r>
    <w:r>
      <w:rPr>
        <w:rStyle w:val="19"/>
      </w:rPr>
      <w:instrText xml:space="preserve">PAGE  </w:instrText>
    </w:r>
    <w:r>
      <w:fldChar w:fldCharType="end"/>
    </w:r>
  </w:p>
  <w:p>
    <w:pPr>
      <w:pStyle w:val="1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rPr>
                              <w:rStyle w:val="19"/>
                            </w:rPr>
                          </w:pPr>
                          <w:r>
                            <w:fldChar w:fldCharType="begin"/>
                          </w:r>
                          <w:r>
                            <w:rPr>
                              <w:rStyle w:val="19"/>
                            </w:rPr>
                            <w:instrText xml:space="preserve">PAGE  </w:instrText>
                          </w:r>
                          <w:r>
                            <w:fldChar w:fldCharType="separate"/>
                          </w:r>
                          <w:r>
                            <w:rPr>
                              <w:rStyle w:val="19"/>
                            </w:rPr>
                            <w:t>85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Jdp4QQbAgAAIwQAAA4A&#10;AAAAAAAAAQAgAAAAHwEAAGRycy9lMm9Eb2MueG1sUEsFBgAAAAAGAAYAWQEAAKwFAAAAAA==&#10;">
              <v:fill on="f" focussize="0,0"/>
              <v:stroke on="f" weight="0.5pt"/>
              <v:imagedata o:title=""/>
              <o:lock v:ext="edit" aspectratio="f"/>
              <v:textbox inset="0mm,0mm,0mm,0mm" style="mso-fit-shape-to-text:t;">
                <w:txbxContent>
                  <w:p>
                    <w:pPr>
                      <w:pStyle w:val="10"/>
                      <w:rPr>
                        <w:rStyle w:val="19"/>
                      </w:rPr>
                    </w:pPr>
                    <w:r>
                      <w:fldChar w:fldCharType="begin"/>
                    </w:r>
                    <w:r>
                      <w:rPr>
                        <w:rStyle w:val="19"/>
                      </w:rPr>
                      <w:instrText xml:space="preserve">PAGE  </w:instrText>
                    </w:r>
                    <w:r>
                      <w:fldChar w:fldCharType="separate"/>
                    </w:r>
                    <w:r>
                      <w:rPr>
                        <w:rStyle w:val="19"/>
                      </w:rPr>
                      <w:t>85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jc w:val="center"/>
    </w:pPr>
    <w: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AxPYr0HAIAACMEAAAO&#10;AAAAAAAAAAEAIAAAAB8BAABkcnMvZTJvRG9jLnhtbFBLBQYAAAAABgAGAFkBAACt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rPr>
                              <w:rStyle w:val="19"/>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AQj8CxHAIAACMEAAAO&#10;AAAAAAAAAAEAIAAAAB8BAABkcnMvZTJvRG9jLnhtbFBLBQYAAAAABgAGAFkBAACtBQAAAAA=&#10;">
              <v:fill on="f" focussize="0,0"/>
              <v:stroke on="f" weight="0.5pt"/>
              <v:imagedata o:title=""/>
              <o:lock v:ext="edit" aspectratio="f"/>
              <v:textbox inset="0mm,0mm,0mm,0mm" style="mso-fit-shape-to-text:t;">
                <w:txbxContent>
                  <w:p>
                    <w:pPr>
                      <w:pStyle w:val="10"/>
                      <w:rPr>
                        <w:rStyle w:val="19"/>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C226tBHAIAACMEAAAO&#10;AAAAAAAAAAEAIAAAAB8BAABkcnMvZTJvRG9jLnhtbFBLBQYAAAAABgAGAFkBAACt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NtY6QcbAgAAIwQAAA4A&#10;AAAAAAAAAQAgAAAAHwEAAGRycy9lMm9Eb2MueG1sUEsFBgAAAAAGAAYAWQEAAKw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D66qNCHAIAACMEAAAO&#10;AAAAAAAAAAEAIAAAAB8BAABkcnMvZTJvRG9jLnhtbFBLBQYAAAAABgAGAFkBAACt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zSVju0AAAAAUBAAAPAAAA&#10;AAAAAAEAIAAAACIAAABkcnMvZG93bnJldi54bWxQSwECFAAUAAAACACHTuJA1UGbfx0CAAAjBAAA&#10;DgAAAAAAAAABACAAAAAfAQAAZHJzL2Uyb0RvYy54bWxQSwUGAAAAAAYABgBZAQAArg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PTz0TobAgAAIwQAAA4A&#10;AAAAAAAAAQAgAAAAHwEAAGRycy9lMm9Eb2MueG1sUEsFBgAAAAAGAAYAWQEAAKw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JclDvUbAgAAIwQAAA4A&#10;AAAAAAAAAQAgAAAAHwEAAGRycy9lMm9Eb2MueG1sUEsFBgAAAAAGAAYAWQEAAKw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rPr>
                              <w:rStyle w:val="19"/>
                            </w:rPr>
                          </w:pPr>
                          <w:r>
                            <w:fldChar w:fldCharType="begin"/>
                          </w:r>
                          <w:r>
                            <w:rPr>
                              <w:rStyle w:val="19"/>
                            </w:rPr>
                            <w:instrText xml:space="preserve">PAGE  </w:instrText>
                          </w:r>
                          <w:r>
                            <w:fldChar w:fldCharType="separate"/>
                          </w:r>
                          <w:r>
                            <w:rPr>
                              <w:rStyle w:val="19"/>
                            </w:rP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D0vz7LHAIAACMEAAAO&#10;AAAAAAAAAAEAIAAAAB8BAABkcnMvZTJvRG9jLnhtbFBLBQYAAAAABgAGAFkBAACtBQAAAAA=&#10;">
              <v:fill on="f" focussize="0,0"/>
              <v:stroke on="f" weight="0.5pt"/>
              <v:imagedata o:title=""/>
              <o:lock v:ext="edit" aspectratio="f"/>
              <v:textbox inset="0mm,0mm,0mm,0mm" style="mso-fit-shape-to-text:t;">
                <w:txbxContent>
                  <w:p>
                    <w:pPr>
                      <w:pStyle w:val="10"/>
                      <w:rPr>
                        <w:rStyle w:val="19"/>
                      </w:rPr>
                    </w:pPr>
                    <w:r>
                      <w:fldChar w:fldCharType="begin"/>
                    </w:r>
                    <w:r>
                      <w:rPr>
                        <w:rStyle w:val="19"/>
                      </w:rPr>
                      <w:instrText xml:space="preserve">PAGE  </w:instrText>
                    </w:r>
                    <w:r>
                      <w:fldChar w:fldCharType="separate"/>
                    </w:r>
                    <w:r>
                      <w:rPr>
                        <w:rStyle w:val="19"/>
                      </w:rPr>
                      <w:t>50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38C544"/>
    <w:multiLevelType w:val="singleLevel"/>
    <w:tmpl w:val="9C38C544"/>
    <w:lvl w:ilvl="0" w:tentative="0">
      <w:start w:val="2"/>
      <w:numFmt w:val="decimal"/>
      <w:suff w:val="nothing"/>
      <w:lvlText w:val="（%1）"/>
      <w:lvlJc w:val="left"/>
    </w:lvl>
  </w:abstractNum>
  <w:abstractNum w:abstractNumId="1">
    <w:nsid w:val="BE1EEBFB"/>
    <w:multiLevelType w:val="singleLevel"/>
    <w:tmpl w:val="BE1EEBFB"/>
    <w:lvl w:ilvl="0" w:tentative="0">
      <w:start w:val="2"/>
      <w:numFmt w:val="chineseCounting"/>
      <w:suff w:val="nothing"/>
      <w:lvlText w:val="（%1）"/>
      <w:lvlJc w:val="left"/>
      <w:rPr>
        <w:rFonts w:hint="eastAsia"/>
      </w:rPr>
    </w:lvl>
  </w:abstractNum>
  <w:abstractNum w:abstractNumId="2">
    <w:nsid w:val="D4601FA9"/>
    <w:multiLevelType w:val="singleLevel"/>
    <w:tmpl w:val="D4601FA9"/>
    <w:lvl w:ilvl="0" w:tentative="0">
      <w:start w:val="1"/>
      <w:numFmt w:val="decimal"/>
      <w:lvlText w:val="%1."/>
      <w:lvlJc w:val="left"/>
      <w:pPr>
        <w:tabs>
          <w:tab w:val="left" w:pos="312"/>
        </w:tabs>
      </w:pPr>
    </w:lvl>
  </w:abstractNum>
  <w:abstractNum w:abstractNumId="3">
    <w:nsid w:val="DF3B0FBC"/>
    <w:multiLevelType w:val="singleLevel"/>
    <w:tmpl w:val="DF3B0FBC"/>
    <w:lvl w:ilvl="0" w:tentative="0">
      <w:start w:val="3"/>
      <w:numFmt w:val="chineseCounting"/>
      <w:suff w:val="space"/>
      <w:lvlText w:val="第%1部分"/>
      <w:lvlJc w:val="left"/>
      <w:rPr>
        <w:rFonts w:hint="eastAsia"/>
      </w:rPr>
    </w:lvl>
  </w:abstractNum>
  <w:abstractNum w:abstractNumId="4">
    <w:nsid w:val="11F55A6F"/>
    <w:multiLevelType w:val="singleLevel"/>
    <w:tmpl w:val="11F55A6F"/>
    <w:lvl w:ilvl="0" w:tentative="0">
      <w:start w:val="1"/>
      <w:numFmt w:val="decimal"/>
      <w:lvlText w:val="%1."/>
      <w:lvlJc w:val="left"/>
      <w:pPr>
        <w:tabs>
          <w:tab w:val="left" w:pos="312"/>
        </w:tabs>
      </w:pPr>
    </w:lvl>
  </w:abstractNum>
  <w:abstractNum w:abstractNumId="5">
    <w:nsid w:val="158E71DF"/>
    <w:multiLevelType w:val="singleLevel"/>
    <w:tmpl w:val="158E71DF"/>
    <w:lvl w:ilvl="0" w:tentative="0">
      <w:start w:val="1"/>
      <w:numFmt w:val="decimal"/>
      <w:lvlText w:val="%1."/>
      <w:lvlJc w:val="left"/>
      <w:pPr>
        <w:tabs>
          <w:tab w:val="left" w:pos="312"/>
        </w:tabs>
      </w:pPr>
    </w:lvl>
  </w:abstractNum>
  <w:abstractNum w:abstractNumId="6">
    <w:nsid w:val="26187B36"/>
    <w:multiLevelType w:val="singleLevel"/>
    <w:tmpl w:val="26187B36"/>
    <w:lvl w:ilvl="0" w:tentative="0">
      <w:start w:val="14"/>
      <w:numFmt w:val="decimal"/>
      <w:lvlText w:val="%1."/>
      <w:lvlJc w:val="left"/>
      <w:pPr>
        <w:tabs>
          <w:tab w:val="left" w:pos="312"/>
        </w:tabs>
      </w:pPr>
    </w:lvl>
  </w:abstractNum>
  <w:abstractNum w:abstractNumId="7">
    <w:nsid w:val="49FDCD3E"/>
    <w:multiLevelType w:val="singleLevel"/>
    <w:tmpl w:val="49FDCD3E"/>
    <w:lvl w:ilvl="0" w:tentative="0">
      <w:start w:val="3"/>
      <w:numFmt w:val="decimal"/>
      <w:suff w:val="nothing"/>
      <w:lvlText w:val="（%1）"/>
      <w:lvlJc w:val="left"/>
    </w:lvl>
  </w:abstractNum>
  <w:abstractNum w:abstractNumId="8">
    <w:nsid w:val="5ADE2D87"/>
    <w:multiLevelType w:val="singleLevel"/>
    <w:tmpl w:val="5ADE2D87"/>
    <w:lvl w:ilvl="0" w:tentative="0">
      <w:start w:val="1"/>
      <w:numFmt w:val="decimal"/>
      <w:lvlText w:val="%1."/>
      <w:lvlJc w:val="left"/>
      <w:pPr>
        <w:tabs>
          <w:tab w:val="left" w:pos="312"/>
        </w:tabs>
      </w:pPr>
    </w:lvl>
  </w:abstractNum>
  <w:abstractNum w:abstractNumId="9">
    <w:nsid w:val="6BCFD7AA"/>
    <w:multiLevelType w:val="singleLevel"/>
    <w:tmpl w:val="6BCFD7AA"/>
    <w:lvl w:ilvl="0" w:tentative="0">
      <w:start w:val="1"/>
      <w:numFmt w:val="decimal"/>
      <w:lvlText w:val="%1."/>
      <w:lvlJc w:val="left"/>
      <w:pPr>
        <w:tabs>
          <w:tab w:val="left" w:pos="312"/>
        </w:tabs>
      </w:pPr>
    </w:lvl>
  </w:abstractNum>
  <w:abstractNum w:abstractNumId="10">
    <w:nsid w:val="736883A2"/>
    <w:multiLevelType w:val="singleLevel"/>
    <w:tmpl w:val="736883A2"/>
    <w:lvl w:ilvl="0" w:tentative="0">
      <w:start w:val="3"/>
      <w:numFmt w:val="decimal"/>
      <w:lvlText w:val="%1."/>
      <w:lvlJc w:val="left"/>
      <w:pPr>
        <w:tabs>
          <w:tab w:val="left" w:pos="312"/>
        </w:tabs>
      </w:pPr>
    </w:lvl>
  </w:abstractNum>
  <w:num w:numId="1">
    <w:abstractNumId w:val="1"/>
  </w:num>
  <w:num w:numId="2">
    <w:abstractNumId w:val="7"/>
  </w:num>
  <w:num w:numId="3">
    <w:abstractNumId w:val="3"/>
  </w:num>
  <w:num w:numId="4">
    <w:abstractNumId w:val="10"/>
  </w:num>
  <w:num w:numId="5">
    <w:abstractNumId w:val="4"/>
  </w:num>
  <w:num w:numId="6">
    <w:abstractNumId w:val="0"/>
  </w:num>
  <w:num w:numId="7">
    <w:abstractNumId w:val="9"/>
  </w:num>
  <w:num w:numId="8">
    <w:abstractNumId w:val="6"/>
  </w:num>
  <w:num w:numId="9">
    <w:abstractNumId w:val="2"/>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0A3"/>
    <w:rsid w:val="000660A3"/>
    <w:rsid w:val="00177AD6"/>
    <w:rsid w:val="002839BD"/>
    <w:rsid w:val="00360290"/>
    <w:rsid w:val="003A416F"/>
    <w:rsid w:val="005E2734"/>
    <w:rsid w:val="00736C25"/>
    <w:rsid w:val="0091353A"/>
    <w:rsid w:val="009650F8"/>
    <w:rsid w:val="0096762E"/>
    <w:rsid w:val="009C2C92"/>
    <w:rsid w:val="00AD32D6"/>
    <w:rsid w:val="00DD6E5C"/>
    <w:rsid w:val="00E14274"/>
    <w:rsid w:val="00FC641E"/>
    <w:rsid w:val="022C6D1C"/>
    <w:rsid w:val="02C934DE"/>
    <w:rsid w:val="02D6351A"/>
    <w:rsid w:val="02E23FEE"/>
    <w:rsid w:val="02E963E7"/>
    <w:rsid w:val="04233BD5"/>
    <w:rsid w:val="050E6F46"/>
    <w:rsid w:val="056913D4"/>
    <w:rsid w:val="06323DA0"/>
    <w:rsid w:val="06F57368"/>
    <w:rsid w:val="07A61245"/>
    <w:rsid w:val="0880415F"/>
    <w:rsid w:val="0A002634"/>
    <w:rsid w:val="0A277769"/>
    <w:rsid w:val="0A491184"/>
    <w:rsid w:val="0A9C682D"/>
    <w:rsid w:val="0CC473D4"/>
    <w:rsid w:val="0E927C15"/>
    <w:rsid w:val="0F2C784B"/>
    <w:rsid w:val="0F602B81"/>
    <w:rsid w:val="10837878"/>
    <w:rsid w:val="11C9627D"/>
    <w:rsid w:val="128145FB"/>
    <w:rsid w:val="13CB31F0"/>
    <w:rsid w:val="150623EB"/>
    <w:rsid w:val="152D0AE6"/>
    <w:rsid w:val="16087CFA"/>
    <w:rsid w:val="166E7BCB"/>
    <w:rsid w:val="16DD385C"/>
    <w:rsid w:val="17214008"/>
    <w:rsid w:val="1747638A"/>
    <w:rsid w:val="180D7753"/>
    <w:rsid w:val="19BD6DBF"/>
    <w:rsid w:val="1A4335B8"/>
    <w:rsid w:val="1A4545F5"/>
    <w:rsid w:val="1A9E1225"/>
    <w:rsid w:val="1B4452A9"/>
    <w:rsid w:val="1B662E6F"/>
    <w:rsid w:val="1BC07587"/>
    <w:rsid w:val="1C8D7A42"/>
    <w:rsid w:val="1CA12474"/>
    <w:rsid w:val="1DD90023"/>
    <w:rsid w:val="1DFA51D2"/>
    <w:rsid w:val="1E132A1D"/>
    <w:rsid w:val="1EA40C3A"/>
    <w:rsid w:val="1F0B1FEB"/>
    <w:rsid w:val="20A6363D"/>
    <w:rsid w:val="22150404"/>
    <w:rsid w:val="22A833A7"/>
    <w:rsid w:val="23311DE8"/>
    <w:rsid w:val="235F22B1"/>
    <w:rsid w:val="276821A2"/>
    <w:rsid w:val="2B2D5ED7"/>
    <w:rsid w:val="2BA8209D"/>
    <w:rsid w:val="2C2E59EC"/>
    <w:rsid w:val="2C625E93"/>
    <w:rsid w:val="2CE87E14"/>
    <w:rsid w:val="2E1408E1"/>
    <w:rsid w:val="2E4E2972"/>
    <w:rsid w:val="305371C8"/>
    <w:rsid w:val="306C01A2"/>
    <w:rsid w:val="30CF0B99"/>
    <w:rsid w:val="3223450A"/>
    <w:rsid w:val="3241323C"/>
    <w:rsid w:val="32541D10"/>
    <w:rsid w:val="32876991"/>
    <w:rsid w:val="336E6699"/>
    <w:rsid w:val="34E32810"/>
    <w:rsid w:val="35467293"/>
    <w:rsid w:val="35FD1EAB"/>
    <w:rsid w:val="368B41AC"/>
    <w:rsid w:val="368C25B5"/>
    <w:rsid w:val="37B069ED"/>
    <w:rsid w:val="382D3005"/>
    <w:rsid w:val="38517B80"/>
    <w:rsid w:val="38FF3E02"/>
    <w:rsid w:val="3A6F7027"/>
    <w:rsid w:val="3AB9500F"/>
    <w:rsid w:val="3B646221"/>
    <w:rsid w:val="3B6A6BE2"/>
    <w:rsid w:val="3BD00837"/>
    <w:rsid w:val="3CA37061"/>
    <w:rsid w:val="3CCB5D07"/>
    <w:rsid w:val="3D0841BC"/>
    <w:rsid w:val="3E567245"/>
    <w:rsid w:val="42D861C5"/>
    <w:rsid w:val="45271CAF"/>
    <w:rsid w:val="4AA135FE"/>
    <w:rsid w:val="4BA117E9"/>
    <w:rsid w:val="4DAA43D4"/>
    <w:rsid w:val="4E3D775F"/>
    <w:rsid w:val="4EC67404"/>
    <w:rsid w:val="4FFF2DB4"/>
    <w:rsid w:val="507E1DE1"/>
    <w:rsid w:val="50B177E5"/>
    <w:rsid w:val="516012D6"/>
    <w:rsid w:val="524F1272"/>
    <w:rsid w:val="526D7616"/>
    <w:rsid w:val="54753F33"/>
    <w:rsid w:val="57F72EE1"/>
    <w:rsid w:val="581859ED"/>
    <w:rsid w:val="589B60F5"/>
    <w:rsid w:val="58C25F71"/>
    <w:rsid w:val="5A3E5BAC"/>
    <w:rsid w:val="5A9B107E"/>
    <w:rsid w:val="5ACC191E"/>
    <w:rsid w:val="5AE9064C"/>
    <w:rsid w:val="5B2F1345"/>
    <w:rsid w:val="5B4C04D9"/>
    <w:rsid w:val="5CCF47F7"/>
    <w:rsid w:val="5F350837"/>
    <w:rsid w:val="5FF92460"/>
    <w:rsid w:val="5FFE715B"/>
    <w:rsid w:val="602839EA"/>
    <w:rsid w:val="605B4346"/>
    <w:rsid w:val="61145776"/>
    <w:rsid w:val="6200375D"/>
    <w:rsid w:val="625B422B"/>
    <w:rsid w:val="63154D21"/>
    <w:rsid w:val="654C4957"/>
    <w:rsid w:val="6561111E"/>
    <w:rsid w:val="67924508"/>
    <w:rsid w:val="6795411A"/>
    <w:rsid w:val="687D6186"/>
    <w:rsid w:val="68986471"/>
    <w:rsid w:val="68A3795C"/>
    <w:rsid w:val="68F01AD5"/>
    <w:rsid w:val="69BB485A"/>
    <w:rsid w:val="69D311C7"/>
    <w:rsid w:val="6B020A5C"/>
    <w:rsid w:val="6B396337"/>
    <w:rsid w:val="6D4D2BDE"/>
    <w:rsid w:val="6E8F6F4D"/>
    <w:rsid w:val="6FD03202"/>
    <w:rsid w:val="6FDE3E4B"/>
    <w:rsid w:val="70F557D6"/>
    <w:rsid w:val="71F20E09"/>
    <w:rsid w:val="73DA7E89"/>
    <w:rsid w:val="73EF670A"/>
    <w:rsid w:val="74D27DDB"/>
    <w:rsid w:val="76397A3E"/>
    <w:rsid w:val="76C86DFD"/>
    <w:rsid w:val="774D6FEB"/>
    <w:rsid w:val="77B7247D"/>
    <w:rsid w:val="78CF5493"/>
    <w:rsid w:val="7A2218DF"/>
    <w:rsid w:val="7BD8461A"/>
    <w:rsid w:val="7C6A48DE"/>
    <w:rsid w:val="7D4C186D"/>
    <w:rsid w:val="7E0B1F89"/>
    <w:rsid w:val="7FAA60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adjustRightInd w:val="0"/>
      <w:spacing w:before="260" w:after="260" w:line="416" w:lineRule="atLeast"/>
      <w:jc w:val="left"/>
      <w:outlineLvl w:val="1"/>
    </w:pPr>
    <w:rPr>
      <w:rFonts w:ascii="Arial" w:hAnsi="Arial" w:eastAsia="黑体"/>
      <w:b/>
      <w:sz w:val="32"/>
    </w:rPr>
  </w:style>
  <w:style w:type="paragraph" w:styleId="4">
    <w:name w:val="heading 3"/>
    <w:basedOn w:val="1"/>
    <w:next w:val="1"/>
    <w:link w:val="21"/>
    <w:qFormat/>
    <w:uiPriority w:val="0"/>
    <w:pPr>
      <w:keepNext/>
      <w:keepLines/>
      <w:spacing w:before="260" w:after="260" w:line="415" w:lineRule="auto"/>
      <w:outlineLvl w:val="2"/>
    </w:pPr>
    <w:rPr>
      <w:b/>
      <w:bCs/>
      <w:sz w:val="32"/>
      <w:szCs w:val="32"/>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spacing w:after="120"/>
    </w:pPr>
  </w:style>
  <w:style w:type="paragraph" w:styleId="6">
    <w:name w:val="toc 3"/>
    <w:basedOn w:val="1"/>
    <w:next w:val="1"/>
    <w:qFormat/>
    <w:uiPriority w:val="0"/>
    <w:pPr>
      <w:ind w:left="840" w:leftChars="400"/>
    </w:p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spacing w:after="120" w:line="480" w:lineRule="auto"/>
      <w:ind w:left="420" w:leftChars="200"/>
    </w:pPr>
  </w:style>
  <w:style w:type="paragraph" w:styleId="9">
    <w:name w:val="Balloon Text"/>
    <w:basedOn w:val="1"/>
    <w:link w:val="27"/>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Autospacing="1" w:afterAutospacing="1"/>
      <w:jc w:val="left"/>
    </w:pPr>
    <w:rPr>
      <w:rFonts w:cs="Times New Roman"/>
      <w:kern w:val="0"/>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page number"/>
    <w:basedOn w:val="17"/>
    <w:qFormat/>
    <w:uiPriority w:val="0"/>
  </w:style>
  <w:style w:type="character" w:styleId="20">
    <w:name w:val="Hyperlink"/>
    <w:basedOn w:val="17"/>
    <w:unhideWhenUsed/>
    <w:qFormat/>
    <w:uiPriority w:val="99"/>
    <w:rPr>
      <w:color w:val="0000FF"/>
      <w:u w:val="single"/>
    </w:rPr>
  </w:style>
  <w:style w:type="character" w:customStyle="1" w:styleId="21">
    <w:name w:val="标题 3 字符"/>
    <w:link w:val="4"/>
    <w:qFormat/>
    <w:uiPriority w:val="0"/>
    <w:rPr>
      <w:b/>
      <w:bCs/>
      <w:sz w:val="32"/>
      <w:szCs w:val="32"/>
    </w:rPr>
  </w:style>
  <w:style w:type="paragraph" w:customStyle="1" w:styleId="22">
    <w:name w:val="1正文"/>
    <w:basedOn w:val="1"/>
    <w:qFormat/>
    <w:uiPriority w:val="0"/>
    <w:pPr>
      <w:spacing w:line="360" w:lineRule="auto"/>
      <w:ind w:firstLine="480" w:firstLineChars="200"/>
    </w:pPr>
    <w:rPr>
      <w:rFonts w:cs="宋体"/>
      <w:szCs w:val="20"/>
    </w:rPr>
  </w:style>
  <w:style w:type="paragraph" w:customStyle="1" w:styleId="23">
    <w:name w:val="样式2正文1"/>
    <w:basedOn w:val="1"/>
    <w:qFormat/>
    <w:uiPriority w:val="0"/>
    <w:pPr>
      <w:tabs>
        <w:tab w:val="left" w:pos="1620"/>
      </w:tabs>
      <w:spacing w:line="440" w:lineRule="exact"/>
      <w:ind w:firstLine="200" w:firstLineChars="200"/>
    </w:pPr>
    <w:rPr>
      <w:rFonts w:hAnsi="宋体"/>
      <w:bCs/>
      <w:sz w:val="24"/>
    </w:rPr>
  </w:style>
  <w:style w:type="paragraph" w:customStyle="1" w:styleId="24">
    <w:name w:val="样式2"/>
    <w:basedOn w:val="3"/>
    <w:qFormat/>
    <w:uiPriority w:val="0"/>
    <w:pPr>
      <w:ind w:firstLine="480" w:firstLineChars="150"/>
    </w:pPr>
    <w:rPr>
      <w:rFonts w:ascii="Times New Roman" w:hAnsi="Times New Roman"/>
      <w:b w:val="0"/>
      <w:szCs w:val="32"/>
    </w:rPr>
  </w:style>
  <w:style w:type="paragraph" w:customStyle="1" w:styleId="25">
    <w:name w:val="列出段落1"/>
    <w:basedOn w:val="1"/>
    <w:qFormat/>
    <w:uiPriority w:val="0"/>
    <w:pPr>
      <w:ind w:firstLine="420" w:firstLineChars="200"/>
    </w:pPr>
    <w:rPr>
      <w:rFonts w:ascii="Calibri" w:hAnsi="Calibri"/>
      <w:szCs w:val="22"/>
    </w:rPr>
  </w:style>
  <w:style w:type="paragraph" w:customStyle="1" w:styleId="26">
    <w:name w:val="reader-word-layer reader-word-s8-11"/>
    <w:basedOn w:val="1"/>
    <w:qFormat/>
    <w:uiPriority w:val="0"/>
    <w:pPr>
      <w:widowControl/>
      <w:spacing w:before="100" w:beforeAutospacing="1" w:after="100" w:afterAutospacing="1"/>
      <w:jc w:val="left"/>
    </w:pPr>
    <w:rPr>
      <w:rFonts w:ascii="宋体" w:hAnsi="宋体" w:cs="宋体"/>
      <w:kern w:val="0"/>
      <w:sz w:val="24"/>
    </w:rPr>
  </w:style>
  <w:style w:type="character" w:customStyle="1" w:styleId="27">
    <w:name w:val="批注框文本 字符"/>
    <w:basedOn w:val="17"/>
    <w:link w:val="9"/>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chart" Target="charts/chart2.xml"/><Relationship Id="rId2" Type="http://schemas.openxmlformats.org/officeDocument/2006/relationships/settings" Target="settings.xml"/><Relationship Id="rId19" Type="http://schemas.openxmlformats.org/officeDocument/2006/relationships/chart" Target="charts/chart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11.xml"/><Relationship Id="rId15" Type="http://schemas.openxmlformats.org/officeDocument/2006/relationships/header" Target="header3.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header" Target="header2.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44884076990376"/>
          <c:y val="0.0560301837270341"/>
          <c:w val="0.884956036745407"/>
          <c:h val="0.794544692330126"/>
        </c:manualLayout>
      </c:layout>
      <c:barChart>
        <c:barDir val="col"/>
        <c:grouping val="clustered"/>
        <c:varyColors val="0"/>
        <c:ser>
          <c:idx val="0"/>
          <c:order val="0"/>
          <c:invertIfNegative val="0"/>
          <c:dLbls>
            <c:delete val="1"/>
          </c:dLbls>
          <c:cat>
            <c:strRef>
              <c:f>Sheet2!$A$1:$A$5</c:f>
              <c:strCache>
                <c:ptCount val="5"/>
                <c:pt idx="0">
                  <c:v>管理人员</c:v>
                </c:pt>
                <c:pt idx="1">
                  <c:v>工程技术人员</c:v>
                </c:pt>
                <c:pt idx="2">
                  <c:v>销售人员</c:v>
                </c:pt>
                <c:pt idx="3">
                  <c:v>生产人员</c:v>
                </c:pt>
                <c:pt idx="4">
                  <c:v>其他人员</c:v>
                </c:pt>
              </c:strCache>
            </c:strRef>
          </c:cat>
          <c:val>
            <c:numRef>
              <c:f>Sheet2!$B$1:$B$5</c:f>
              <c:numCache>
                <c:formatCode>General</c:formatCode>
                <c:ptCount val="5"/>
                <c:pt idx="0">
                  <c:v>14</c:v>
                </c:pt>
                <c:pt idx="1">
                  <c:v>5</c:v>
                </c:pt>
                <c:pt idx="2">
                  <c:v>6</c:v>
                </c:pt>
                <c:pt idx="3">
                  <c:v>70</c:v>
                </c:pt>
                <c:pt idx="4">
                  <c:v>5</c:v>
                </c:pt>
              </c:numCache>
            </c:numRef>
          </c:val>
        </c:ser>
        <c:dLbls>
          <c:showLegendKey val="0"/>
          <c:showVal val="0"/>
          <c:showCatName val="0"/>
          <c:showSerName val="0"/>
          <c:showPercent val="0"/>
          <c:showBubbleSize val="0"/>
        </c:dLbls>
        <c:gapWidth val="150"/>
        <c:axId val="149914752"/>
        <c:axId val="149916288"/>
      </c:barChart>
      <c:catAx>
        <c:axId val="149914752"/>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49916288"/>
        <c:crosses val="autoZero"/>
        <c:auto val="1"/>
        <c:lblAlgn val="ctr"/>
        <c:lblOffset val="100"/>
        <c:noMultiLvlLbl val="0"/>
      </c:catAx>
      <c:valAx>
        <c:axId val="149916288"/>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49914752"/>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Lbls>
            <c:delete val="1"/>
          </c:dLbls>
          <c:cat>
            <c:strRef>
              <c:f>Sheet1!$A$1:$A$4</c:f>
              <c:strCache>
                <c:ptCount val="4"/>
                <c:pt idx="0">
                  <c:v>化工工艺操作</c:v>
                </c:pt>
                <c:pt idx="1">
                  <c:v>化学分析检验</c:v>
                </c:pt>
                <c:pt idx="2">
                  <c:v>化工设备维修</c:v>
                </c:pt>
                <c:pt idx="3">
                  <c:v>生产及质量控制</c:v>
                </c:pt>
              </c:strCache>
            </c:strRef>
          </c:cat>
          <c:val>
            <c:numRef>
              <c:f>Sheet1!$B$1:$B$4</c:f>
              <c:numCache>
                <c:formatCode>General</c:formatCode>
                <c:ptCount val="4"/>
                <c:pt idx="0">
                  <c:v>52</c:v>
                </c:pt>
                <c:pt idx="1">
                  <c:v>10</c:v>
                </c:pt>
                <c:pt idx="2">
                  <c:v>25</c:v>
                </c:pt>
                <c:pt idx="3">
                  <c:v>13</c:v>
                </c:pt>
              </c:numCache>
            </c:numRef>
          </c:val>
        </c:ser>
        <c:dLbls>
          <c:showLegendKey val="0"/>
          <c:showVal val="0"/>
          <c:showCatName val="0"/>
          <c:showSerName val="0"/>
          <c:showPercent val="0"/>
          <c:showBubbleSize val="0"/>
        </c:dLbls>
        <c:gapWidth val="150"/>
        <c:axId val="155313664"/>
        <c:axId val="167477632"/>
      </c:barChart>
      <c:catAx>
        <c:axId val="155313664"/>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67477632"/>
        <c:crosses val="autoZero"/>
        <c:auto val="1"/>
        <c:lblAlgn val="ctr"/>
        <c:lblOffset val="100"/>
        <c:noMultiLvlLbl val="0"/>
      </c:catAx>
      <c:valAx>
        <c:axId val="167477632"/>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55313664"/>
        <c:crosses val="autoZero"/>
        <c:crossBetween val="between"/>
      </c:valAx>
      <c:spPr>
        <a:noFill/>
        <a:ln w="25400">
          <a:noFill/>
        </a:ln>
      </c:spPr>
    </c:plotArea>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594AE7-28B3-4DB9-B479-E0F4A21314FC}">
  <ds:schemaRefs/>
</ds:datastoreItem>
</file>

<file path=docProps/app.xml><?xml version="1.0" encoding="utf-8"?>
<Properties xmlns="http://schemas.openxmlformats.org/officeDocument/2006/extended-properties" xmlns:vt="http://schemas.openxmlformats.org/officeDocument/2006/docPropsVTypes">
  <Template>Normal</Template>
  <Pages>87</Pages>
  <Words>9301</Words>
  <Characters>53021</Characters>
  <Lines>441</Lines>
  <Paragraphs>124</Paragraphs>
  <TotalTime>8</TotalTime>
  <ScaleCrop>false</ScaleCrop>
  <LinksUpToDate>false</LinksUpToDate>
  <CharactersWithSpaces>62198</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丫宝妈</cp:lastModifiedBy>
  <cp:lastPrinted>2019-11-15T02:06:00Z</cp:lastPrinted>
  <dcterms:modified xsi:type="dcterms:W3CDTF">2019-12-04T01:24:16Z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