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_GB2312" w:hAnsi="宋体" w:eastAsia="仿宋_GB2312"/>
          <w:bCs/>
          <w:color w:val="auto"/>
          <w:sz w:val="18"/>
          <w:szCs w:val="18"/>
          <w:highlight w:val="none"/>
        </w:rPr>
      </w:pPr>
    </w:p>
    <w:p>
      <w:pPr>
        <w:tabs>
          <w:tab w:val="center" w:pos="4156"/>
        </w:tabs>
        <w:spacing w:line="360" w:lineRule="auto"/>
        <w:jc w:val="center"/>
        <w:rPr>
          <w:rFonts w:ascii="方正行楷简体" w:hAnsi="新宋体" w:eastAsia="方正行楷简体"/>
          <w:color w:val="auto"/>
          <w:sz w:val="44"/>
          <w:szCs w:val="44"/>
          <w:highlight w:val="none"/>
        </w:rPr>
      </w:pPr>
    </w:p>
    <w:p>
      <w:pPr>
        <w:tabs>
          <w:tab w:val="center" w:pos="4156"/>
        </w:tabs>
        <w:spacing w:line="360" w:lineRule="auto"/>
        <w:jc w:val="center"/>
        <w:rPr>
          <w:rFonts w:ascii="方正行楷简体" w:hAnsi="新宋体" w:eastAsia="方正行楷简体"/>
          <w:color w:val="auto"/>
          <w:sz w:val="48"/>
          <w:szCs w:val="48"/>
          <w:highlight w:val="none"/>
        </w:rPr>
      </w:pPr>
      <w:r>
        <w:rPr>
          <w:rFonts w:hint="eastAsia" w:ascii="幼圆" w:hAnsi="新宋体" w:eastAsia="幼圆"/>
          <w:b/>
          <w:color w:val="auto"/>
          <w:sz w:val="44"/>
          <w:szCs w:val="44"/>
          <w:highlight w:val="none"/>
        </w:rPr>
        <w:drawing>
          <wp:anchor distT="0" distB="0" distL="114300" distR="114300" simplePos="0" relativeHeight="251658240" behindDoc="1" locked="0" layoutInCell="1" allowOverlap="1">
            <wp:simplePos x="0" y="0"/>
            <wp:positionH relativeFrom="column">
              <wp:posOffset>1143000</wp:posOffset>
            </wp:positionH>
            <wp:positionV relativeFrom="paragraph">
              <wp:posOffset>54610</wp:posOffset>
            </wp:positionV>
            <wp:extent cx="539750" cy="539750"/>
            <wp:effectExtent l="0" t="0" r="12700" b="12700"/>
            <wp:wrapNone/>
            <wp:docPr id="1"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19"/>
                    <a:stretch>
                      <a:fillRect/>
                    </a:stretch>
                  </pic:blipFill>
                  <pic:spPr>
                    <a:xfrm>
                      <a:off x="0" y="0"/>
                      <a:ext cx="539750" cy="539750"/>
                    </a:xfrm>
                    <a:prstGeom prst="rect">
                      <a:avLst/>
                    </a:prstGeom>
                    <a:noFill/>
                    <a:ln>
                      <a:noFill/>
                    </a:ln>
                  </pic:spPr>
                </pic:pic>
              </a:graphicData>
            </a:graphic>
          </wp:anchor>
        </w:drawing>
      </w:r>
      <w:r>
        <w:rPr>
          <w:rFonts w:hint="eastAsia" w:ascii="方正行楷简体" w:hAnsi="新宋体" w:eastAsia="方正行楷简体"/>
          <w:color w:val="auto"/>
          <w:sz w:val="44"/>
          <w:szCs w:val="44"/>
          <w:highlight w:val="none"/>
        </w:rPr>
        <w:t xml:space="preserve">   晋城职业技术学院</w:t>
      </w:r>
    </w:p>
    <w:p>
      <w:pPr>
        <w:spacing w:before="312" w:beforeLines="100"/>
        <w:jc w:val="center"/>
        <w:rPr>
          <w:rFonts w:ascii="黑体" w:hAnsi="黑体" w:eastAsia="黑体"/>
          <w:color w:val="auto"/>
          <w:spacing w:val="79"/>
          <w:sz w:val="72"/>
          <w:szCs w:val="72"/>
          <w:highlight w:val="none"/>
        </w:rPr>
      </w:pPr>
      <w:r>
        <w:rPr>
          <w:rFonts w:hint="eastAsia" w:ascii="黑体" w:hAnsi="黑体" w:eastAsia="黑体"/>
          <w:color w:val="auto"/>
          <w:spacing w:val="79"/>
          <w:sz w:val="72"/>
          <w:szCs w:val="72"/>
          <w:highlight w:val="none"/>
        </w:rPr>
        <w:t>煤化工技术专业</w:t>
      </w:r>
    </w:p>
    <w:p>
      <w:pPr>
        <w:spacing w:before="312" w:beforeLines="100"/>
        <w:jc w:val="center"/>
        <w:rPr>
          <w:rFonts w:ascii="黑体" w:hAnsi="黑体" w:eastAsia="黑体"/>
          <w:color w:val="auto"/>
          <w:spacing w:val="79"/>
          <w:sz w:val="72"/>
          <w:szCs w:val="72"/>
          <w:highlight w:val="none"/>
        </w:rPr>
      </w:pPr>
      <w:r>
        <w:rPr>
          <w:rFonts w:hint="eastAsia" w:ascii="黑体" w:hAnsi="黑体" w:eastAsia="黑体"/>
          <w:color w:val="auto"/>
          <w:spacing w:val="79"/>
          <w:sz w:val="72"/>
          <w:szCs w:val="72"/>
          <w:highlight w:val="none"/>
        </w:rPr>
        <w:t>人才培养方案</w:t>
      </w:r>
    </w:p>
    <w:p>
      <w:pPr>
        <w:spacing w:line="360" w:lineRule="auto"/>
        <w:rPr>
          <w:rFonts w:ascii="宋体" w:hAnsi="宋体"/>
          <w:b/>
          <w:color w:val="auto"/>
          <w:sz w:val="32"/>
          <w:szCs w:val="32"/>
          <w:highlight w:val="none"/>
        </w:rPr>
      </w:pPr>
    </w:p>
    <w:p>
      <w:pPr>
        <w:spacing w:line="360" w:lineRule="auto"/>
        <w:rPr>
          <w:rFonts w:ascii="宋体" w:hAnsi="宋体"/>
          <w:b/>
          <w:color w:val="auto"/>
          <w:sz w:val="32"/>
          <w:szCs w:val="32"/>
          <w:highlight w:val="none"/>
        </w:rPr>
      </w:pPr>
    </w:p>
    <w:p>
      <w:pPr>
        <w:spacing w:line="360" w:lineRule="auto"/>
        <w:rPr>
          <w:rFonts w:ascii="宋体" w:hAnsi="宋体"/>
          <w:b/>
          <w:color w:val="auto"/>
          <w:sz w:val="32"/>
          <w:szCs w:val="32"/>
          <w:highlight w:val="none"/>
        </w:rPr>
      </w:pPr>
    </w:p>
    <w:p>
      <w:pPr>
        <w:spacing w:line="360" w:lineRule="auto"/>
        <w:rPr>
          <w:rFonts w:ascii="宋体" w:hAnsi="宋体"/>
          <w:b/>
          <w:color w:val="auto"/>
          <w:sz w:val="36"/>
          <w:szCs w:val="36"/>
          <w:highlight w:val="none"/>
        </w:rPr>
      </w:pPr>
    </w:p>
    <w:p>
      <w:pPr>
        <w:spacing w:line="360" w:lineRule="auto"/>
        <w:rPr>
          <w:rFonts w:ascii="宋体" w:hAnsi="宋体"/>
          <w:b/>
          <w:color w:val="auto"/>
          <w:sz w:val="36"/>
          <w:szCs w:val="36"/>
          <w:highlight w:val="none"/>
        </w:rPr>
      </w:pPr>
    </w:p>
    <w:p>
      <w:pPr>
        <w:spacing w:line="360" w:lineRule="auto"/>
        <w:jc w:val="center"/>
        <w:rPr>
          <w:rFonts w:ascii="黑体" w:hAnsi="宋体" w:eastAsia="黑体"/>
          <w:color w:val="auto"/>
          <w:sz w:val="36"/>
          <w:szCs w:val="36"/>
          <w:highlight w:val="none"/>
        </w:rPr>
      </w:pPr>
    </w:p>
    <w:p>
      <w:pPr>
        <w:spacing w:line="360" w:lineRule="auto"/>
        <w:jc w:val="center"/>
        <w:rPr>
          <w:rFonts w:ascii="黑体" w:hAnsi="宋体" w:eastAsia="黑体"/>
          <w:color w:val="auto"/>
          <w:sz w:val="36"/>
          <w:szCs w:val="36"/>
          <w:highlight w:val="none"/>
        </w:rPr>
      </w:pPr>
    </w:p>
    <w:p>
      <w:pPr>
        <w:spacing w:line="360" w:lineRule="auto"/>
        <w:jc w:val="center"/>
        <w:rPr>
          <w:rFonts w:ascii="黑体" w:hAnsi="宋体" w:eastAsia="黑体"/>
          <w:color w:val="auto"/>
          <w:sz w:val="36"/>
          <w:szCs w:val="36"/>
          <w:highlight w:val="none"/>
        </w:rPr>
      </w:pPr>
    </w:p>
    <w:p>
      <w:pPr>
        <w:spacing w:line="360" w:lineRule="auto"/>
        <w:jc w:val="center"/>
        <w:rPr>
          <w:rFonts w:ascii="黑体" w:hAnsi="宋体" w:eastAsia="黑体"/>
          <w:color w:val="auto"/>
          <w:sz w:val="36"/>
          <w:szCs w:val="36"/>
          <w:highlight w:val="none"/>
        </w:rPr>
      </w:pPr>
      <w:r>
        <w:rPr>
          <w:rFonts w:hint="eastAsia" w:ascii="黑体" w:hAnsi="宋体" w:eastAsia="黑体"/>
          <w:color w:val="auto"/>
          <w:sz w:val="36"/>
          <w:szCs w:val="36"/>
          <w:highlight w:val="none"/>
        </w:rPr>
        <w:t>化工系</w:t>
      </w:r>
    </w:p>
    <w:p>
      <w:pPr>
        <w:tabs>
          <w:tab w:val="center" w:pos="4156"/>
        </w:tabs>
        <w:spacing w:line="360" w:lineRule="auto"/>
        <w:jc w:val="center"/>
        <w:rPr>
          <w:rFonts w:ascii="幼圆" w:hAnsi="新宋体" w:eastAsia="幼圆"/>
          <w:b/>
          <w:color w:val="auto"/>
          <w:sz w:val="52"/>
          <w:szCs w:val="52"/>
          <w:highlight w:val="none"/>
        </w:rPr>
      </w:pPr>
      <w:r>
        <w:rPr>
          <w:rFonts w:hint="eastAsia" w:ascii="黑体" w:hAnsi="宋体" w:eastAsia="黑体"/>
          <w:color w:val="auto"/>
          <w:sz w:val="36"/>
          <w:szCs w:val="36"/>
          <w:highlight w:val="none"/>
        </w:rPr>
        <w:t>2019年</w:t>
      </w:r>
      <w:r>
        <w:rPr>
          <w:rFonts w:hint="eastAsia" w:ascii="黑体" w:hAnsi="宋体" w:eastAsia="黑体"/>
          <w:color w:val="auto"/>
          <w:sz w:val="36"/>
          <w:szCs w:val="36"/>
          <w:highlight w:val="none"/>
          <w:lang w:val="en-US" w:eastAsia="zh-CN"/>
        </w:rPr>
        <w:t>12</w:t>
      </w:r>
      <w:r>
        <w:rPr>
          <w:rFonts w:hint="eastAsia" w:ascii="黑体" w:hAnsi="宋体" w:eastAsia="黑体"/>
          <w:color w:val="auto"/>
          <w:sz w:val="36"/>
          <w:szCs w:val="36"/>
          <w:highlight w:val="none"/>
        </w:rPr>
        <w:t>月</w:t>
      </w:r>
    </w:p>
    <w:p>
      <w:pPr>
        <w:spacing w:before="156" w:beforeLines="50" w:after="156" w:afterLines="50"/>
        <w:jc w:val="center"/>
        <w:rPr>
          <w:rFonts w:ascii="宋体" w:hAnsi="宋体"/>
          <w:b/>
          <w:bCs/>
          <w:color w:val="auto"/>
          <w:sz w:val="44"/>
          <w:szCs w:val="44"/>
          <w:highlight w:val="none"/>
        </w:rPr>
        <w:sectPr>
          <w:footerReference r:id="rId3" w:type="default"/>
          <w:pgSz w:w="11906" w:h="16838"/>
          <w:pgMar w:top="1440" w:right="1800" w:bottom="1440" w:left="1800" w:header="851" w:footer="992" w:gutter="0"/>
          <w:pgNumType w:start="1"/>
          <w:cols w:space="425" w:num="1"/>
          <w:docGrid w:type="lines" w:linePitch="312" w:charSpace="0"/>
        </w:sectPr>
      </w:pPr>
    </w:p>
    <w:p>
      <w:pPr>
        <w:spacing w:before="156" w:beforeLines="50" w:after="156" w:afterLines="50"/>
        <w:jc w:val="center"/>
        <w:rPr>
          <w:rFonts w:ascii="宋体" w:hAnsi="宋体"/>
          <w:b/>
          <w:bCs/>
          <w:color w:val="auto"/>
          <w:sz w:val="32"/>
          <w:szCs w:val="32"/>
          <w:highlight w:val="none"/>
        </w:rPr>
      </w:pPr>
      <w:r>
        <w:rPr>
          <w:rFonts w:ascii="宋体" w:hAnsi="宋体"/>
          <w:b/>
          <w:bCs/>
          <w:color w:val="auto"/>
          <w:sz w:val="44"/>
          <w:szCs w:val="44"/>
          <w:highlight w:val="none"/>
        </w:rPr>
        <w:br w:type="page"/>
      </w:r>
      <w:r>
        <w:rPr>
          <w:rFonts w:hint="eastAsia" w:ascii="宋体" w:hAnsi="宋体"/>
          <w:b/>
          <w:bCs/>
          <w:color w:val="auto"/>
          <w:sz w:val="44"/>
          <w:szCs w:val="44"/>
          <w:highlight w:val="none"/>
        </w:rPr>
        <w:t>目    录</w:t>
      </w:r>
    </w:p>
    <w:p>
      <w:pPr>
        <w:pStyle w:val="11"/>
        <w:tabs>
          <w:tab w:val="right" w:leader="dot" w:pos="8306"/>
        </w:tabs>
        <w:snapToGrid w:val="0"/>
        <w:rPr>
          <w:rFonts w:ascii="华文楷体" w:hAnsi="华文楷体" w:eastAsia="华文楷体" w:cs="华文楷体"/>
          <w:color w:val="auto"/>
          <w:sz w:val="24"/>
          <w:highlight w:val="none"/>
        </w:rPr>
      </w:pPr>
      <w:bookmarkStart w:id="0" w:name="_Toc339985609"/>
      <w:bookmarkStart w:id="1" w:name="_Toc341338638"/>
      <w:bookmarkStart w:id="2" w:name="_Toc339913808"/>
      <w:r>
        <w:rPr>
          <w:color w:val="auto"/>
          <w:highlight w:val="none"/>
        </w:rPr>
        <w:fldChar w:fldCharType="begin"/>
      </w:r>
      <w:r>
        <w:rPr>
          <w:color w:val="auto"/>
          <w:highlight w:val="none"/>
        </w:rPr>
        <w:instrText xml:space="preserve">TOC \o "1-3" \h \u </w:instrText>
      </w:r>
      <w:r>
        <w:rPr>
          <w:color w:val="auto"/>
          <w:highlight w:val="none"/>
        </w:rPr>
        <w:fldChar w:fldCharType="separate"/>
      </w:r>
      <w:r>
        <w:rPr>
          <w:color w:val="auto"/>
          <w:highlight w:val="none"/>
        </w:rPr>
        <w:fldChar w:fldCharType="begin"/>
      </w:r>
      <w:r>
        <w:rPr>
          <w:color w:val="auto"/>
          <w:highlight w:val="none"/>
        </w:rPr>
        <w:instrText xml:space="preserve"> HYPERLINK \l "_Toc12455" </w:instrText>
      </w:r>
      <w:r>
        <w:rPr>
          <w:color w:val="auto"/>
          <w:highlight w:val="none"/>
        </w:rPr>
        <w:fldChar w:fldCharType="separate"/>
      </w:r>
      <w:r>
        <w:rPr>
          <w:rFonts w:hint="eastAsia" w:ascii="华文楷体" w:hAnsi="华文楷体" w:eastAsia="华文楷体" w:cs="华文楷体"/>
          <w:color w:val="auto"/>
          <w:sz w:val="24"/>
          <w:highlight w:val="none"/>
        </w:rPr>
        <w:t>第一部分 煤化工技术专业人才培养方案</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_Toc12455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1</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"_Toc26617" </w:instrText>
      </w:r>
      <w:r>
        <w:rPr>
          <w:color w:val="auto"/>
          <w:highlight w:val="none"/>
        </w:rPr>
        <w:fldChar w:fldCharType="separate"/>
      </w:r>
      <w:r>
        <w:rPr>
          <w:rFonts w:hint="eastAsia" w:ascii="华文楷体" w:hAnsi="华文楷体" w:eastAsia="华文楷体" w:cs="华文楷体"/>
          <w:color w:val="auto"/>
          <w:sz w:val="24"/>
          <w:highlight w:val="none"/>
        </w:rPr>
        <w:t>一、专业名称与代码</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_Toc26617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1</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"_Toc18533" </w:instrText>
      </w:r>
      <w:r>
        <w:rPr>
          <w:color w:val="auto"/>
          <w:highlight w:val="none"/>
        </w:rPr>
        <w:fldChar w:fldCharType="separate"/>
      </w:r>
      <w:r>
        <w:rPr>
          <w:rFonts w:hint="eastAsia" w:ascii="华文楷体" w:hAnsi="华文楷体" w:eastAsia="华文楷体" w:cs="华文楷体"/>
          <w:color w:val="auto"/>
          <w:sz w:val="24"/>
          <w:highlight w:val="none"/>
        </w:rPr>
        <w:t>二、招生对象</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_Toc18533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1</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"_Toc490" </w:instrText>
      </w:r>
      <w:r>
        <w:rPr>
          <w:color w:val="auto"/>
          <w:highlight w:val="none"/>
        </w:rPr>
        <w:fldChar w:fldCharType="separate"/>
      </w:r>
      <w:r>
        <w:rPr>
          <w:rFonts w:hint="eastAsia" w:ascii="华文楷体" w:hAnsi="华文楷体" w:eastAsia="华文楷体" w:cs="华文楷体"/>
          <w:color w:val="auto"/>
          <w:sz w:val="24"/>
          <w:highlight w:val="none"/>
        </w:rPr>
        <w:t>三、学制与学历</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_Toc490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1</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"_Toc15155" </w:instrText>
      </w:r>
      <w:r>
        <w:rPr>
          <w:color w:val="auto"/>
          <w:highlight w:val="none"/>
        </w:rPr>
        <w:fldChar w:fldCharType="separate"/>
      </w:r>
      <w:r>
        <w:rPr>
          <w:rFonts w:hint="eastAsia" w:ascii="华文楷体" w:hAnsi="华文楷体" w:eastAsia="华文楷体" w:cs="华文楷体"/>
          <w:color w:val="auto"/>
          <w:sz w:val="24"/>
          <w:highlight w:val="none"/>
        </w:rPr>
        <w:t>四、就业面向</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_Toc15155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1</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"_Toc15165" </w:instrText>
      </w:r>
      <w:r>
        <w:rPr>
          <w:color w:val="auto"/>
          <w:highlight w:val="none"/>
        </w:rPr>
        <w:fldChar w:fldCharType="separate"/>
      </w:r>
      <w:r>
        <w:rPr>
          <w:rFonts w:hint="eastAsia" w:ascii="华文楷体" w:hAnsi="华文楷体" w:eastAsia="华文楷体" w:cs="华文楷体"/>
          <w:color w:val="auto"/>
          <w:sz w:val="24"/>
          <w:highlight w:val="none"/>
        </w:rPr>
        <w:t>五、培养目标与规格要求</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_Toc15165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1</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"_Toc20595" </w:instrText>
      </w:r>
      <w:r>
        <w:rPr>
          <w:color w:val="auto"/>
          <w:highlight w:val="none"/>
        </w:rPr>
        <w:fldChar w:fldCharType="separate"/>
      </w:r>
      <w:r>
        <w:rPr>
          <w:rFonts w:hint="eastAsia" w:ascii="华文楷体" w:hAnsi="华文楷体" w:eastAsia="华文楷体" w:cs="华文楷体"/>
          <w:color w:val="auto"/>
          <w:sz w:val="24"/>
          <w:highlight w:val="none"/>
        </w:rPr>
        <w:t>六、职业资格证书</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_Toc20595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3</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"_Toc19133" </w:instrText>
      </w:r>
      <w:r>
        <w:rPr>
          <w:color w:val="auto"/>
          <w:highlight w:val="none"/>
        </w:rPr>
        <w:fldChar w:fldCharType="separate"/>
      </w:r>
      <w:r>
        <w:rPr>
          <w:rFonts w:hint="eastAsia" w:ascii="华文楷体" w:hAnsi="华文楷体" w:eastAsia="华文楷体" w:cs="华文楷体"/>
          <w:color w:val="auto"/>
          <w:sz w:val="24"/>
          <w:highlight w:val="none"/>
        </w:rPr>
        <w:t>七、课程体系与核心课程（教学内容）</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_Toc19133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3</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"_Toc31561" </w:instrText>
      </w:r>
      <w:r>
        <w:rPr>
          <w:color w:val="auto"/>
          <w:highlight w:val="none"/>
        </w:rPr>
        <w:fldChar w:fldCharType="separate"/>
      </w:r>
      <w:r>
        <w:rPr>
          <w:rFonts w:hint="eastAsia" w:ascii="华文楷体" w:hAnsi="华文楷体" w:eastAsia="华文楷体" w:cs="华文楷体"/>
          <w:color w:val="auto"/>
          <w:sz w:val="24"/>
          <w:highlight w:val="none"/>
        </w:rPr>
        <w:t>八、教学方法、手段和教学评价</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_Toc31561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21</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"_Toc14376" </w:instrText>
      </w:r>
      <w:r>
        <w:rPr>
          <w:color w:val="auto"/>
          <w:highlight w:val="none"/>
        </w:rPr>
        <w:fldChar w:fldCharType="separate"/>
      </w:r>
      <w:r>
        <w:rPr>
          <w:rFonts w:hint="eastAsia" w:ascii="华文楷体" w:hAnsi="华文楷体" w:eastAsia="华文楷体" w:cs="华文楷体"/>
          <w:color w:val="auto"/>
          <w:sz w:val="24"/>
          <w:highlight w:val="none"/>
        </w:rPr>
        <w:t>九、毕业要求</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_Toc14376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25</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"_Toc2059" </w:instrText>
      </w:r>
      <w:r>
        <w:rPr>
          <w:color w:val="auto"/>
          <w:highlight w:val="none"/>
        </w:rPr>
        <w:fldChar w:fldCharType="separate"/>
      </w:r>
      <w:r>
        <w:rPr>
          <w:rFonts w:hint="eastAsia" w:ascii="华文楷体" w:hAnsi="华文楷体" w:eastAsia="华文楷体" w:cs="华文楷体"/>
          <w:bCs/>
          <w:color w:val="auto"/>
          <w:sz w:val="24"/>
          <w:highlight w:val="none"/>
        </w:rPr>
        <w:t>十、学习深造建议</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_Toc2059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25</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1"/>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"_Toc22005" </w:instrText>
      </w:r>
      <w:r>
        <w:rPr>
          <w:color w:val="auto"/>
          <w:highlight w:val="none"/>
        </w:rPr>
        <w:fldChar w:fldCharType="separate"/>
      </w:r>
      <w:r>
        <w:rPr>
          <w:rFonts w:hint="eastAsia" w:ascii="华文楷体" w:hAnsi="华文楷体" w:eastAsia="华文楷体" w:cs="华文楷体"/>
          <w:color w:val="auto"/>
          <w:sz w:val="24"/>
          <w:highlight w:val="none"/>
        </w:rPr>
        <w:t>第二部分 煤化工技术专业人才需求与专业建设调研报告</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_Toc22005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26</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"_Toc29128" </w:instrText>
      </w:r>
      <w:r>
        <w:rPr>
          <w:color w:val="auto"/>
          <w:highlight w:val="none"/>
        </w:rPr>
        <w:fldChar w:fldCharType="separate"/>
      </w:r>
      <w:r>
        <w:rPr>
          <w:rFonts w:hint="eastAsia" w:ascii="华文楷体" w:hAnsi="华文楷体" w:eastAsia="华文楷体" w:cs="华文楷体"/>
          <w:bCs/>
          <w:color w:val="auto"/>
          <w:sz w:val="24"/>
          <w:highlight w:val="none"/>
        </w:rPr>
        <w:t>一、专业人才需求与专业建设调研基本思路与方法</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_Toc29128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26</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"_Toc30181" </w:instrText>
      </w:r>
      <w:r>
        <w:rPr>
          <w:color w:val="auto"/>
          <w:highlight w:val="none"/>
        </w:rPr>
        <w:fldChar w:fldCharType="separate"/>
      </w:r>
      <w:r>
        <w:rPr>
          <w:rFonts w:hint="eastAsia" w:ascii="华文楷体" w:hAnsi="华文楷体" w:eastAsia="华文楷体" w:cs="华文楷体"/>
          <w:bCs/>
          <w:color w:val="auto"/>
          <w:sz w:val="24"/>
          <w:highlight w:val="none"/>
        </w:rPr>
        <w:t>二、专业人才需求调研</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_Toc30181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27</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"_Toc8607" </w:instrText>
      </w:r>
      <w:r>
        <w:rPr>
          <w:color w:val="auto"/>
          <w:highlight w:val="none"/>
        </w:rPr>
        <w:fldChar w:fldCharType="separate"/>
      </w:r>
      <w:r>
        <w:rPr>
          <w:rFonts w:hint="eastAsia" w:ascii="华文楷体" w:hAnsi="华文楷体" w:eastAsia="华文楷体" w:cs="华文楷体"/>
          <w:bCs/>
          <w:color w:val="auto"/>
          <w:sz w:val="24"/>
          <w:highlight w:val="none"/>
        </w:rPr>
        <w:t>三、专业现状调研</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_Toc8607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29</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"_Toc18548" </w:instrText>
      </w:r>
      <w:r>
        <w:rPr>
          <w:color w:val="auto"/>
          <w:highlight w:val="none"/>
        </w:rPr>
        <w:fldChar w:fldCharType="separate"/>
      </w:r>
      <w:r>
        <w:rPr>
          <w:rFonts w:hint="eastAsia" w:ascii="华文楷体" w:hAnsi="华文楷体" w:eastAsia="华文楷体" w:cs="华文楷体"/>
          <w:bCs/>
          <w:color w:val="auto"/>
          <w:sz w:val="24"/>
          <w:highlight w:val="none"/>
        </w:rPr>
        <w:t>四、专业就业面向</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_Toc18548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33</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"_Toc8025" </w:instrText>
      </w:r>
      <w:r>
        <w:rPr>
          <w:color w:val="auto"/>
          <w:highlight w:val="none"/>
        </w:rPr>
        <w:fldChar w:fldCharType="separate"/>
      </w:r>
      <w:r>
        <w:rPr>
          <w:rFonts w:hint="eastAsia" w:ascii="华文楷体" w:hAnsi="华文楷体" w:eastAsia="华文楷体" w:cs="华文楷体"/>
          <w:bCs/>
          <w:color w:val="auto"/>
          <w:sz w:val="24"/>
          <w:highlight w:val="none"/>
        </w:rPr>
        <w:t>五、专业教学改革建议</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_Toc8025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34</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1"/>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"_Toc7211" </w:instrText>
      </w:r>
      <w:r>
        <w:rPr>
          <w:color w:val="auto"/>
          <w:highlight w:val="none"/>
        </w:rPr>
        <w:fldChar w:fldCharType="separate"/>
      </w:r>
      <w:r>
        <w:rPr>
          <w:rFonts w:hint="eastAsia" w:ascii="华文楷体" w:hAnsi="华文楷体" w:eastAsia="华文楷体" w:cs="华文楷体"/>
          <w:color w:val="auto"/>
          <w:sz w:val="24"/>
          <w:highlight w:val="none"/>
        </w:rPr>
        <w:t>第三部分  煤化工技术专业职业岗位与工作任务分析报告</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_Toc7211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37</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"_Toc14362" </w:instrText>
      </w:r>
      <w:r>
        <w:rPr>
          <w:color w:val="auto"/>
          <w:highlight w:val="none"/>
        </w:rPr>
        <w:fldChar w:fldCharType="separate"/>
      </w:r>
      <w:r>
        <w:rPr>
          <w:rFonts w:hint="eastAsia" w:ascii="华文楷体" w:hAnsi="华文楷体" w:eastAsia="华文楷体" w:cs="华文楷体"/>
          <w:bCs/>
          <w:color w:val="auto"/>
          <w:sz w:val="24"/>
          <w:highlight w:val="none"/>
        </w:rPr>
        <w:t>一、就业岗位</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_Toc14362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37</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"_Toc32511" </w:instrText>
      </w:r>
      <w:r>
        <w:rPr>
          <w:color w:val="auto"/>
          <w:highlight w:val="none"/>
        </w:rPr>
        <w:fldChar w:fldCharType="separate"/>
      </w:r>
      <w:r>
        <w:rPr>
          <w:rFonts w:hint="eastAsia" w:ascii="华文楷体" w:hAnsi="华文楷体" w:eastAsia="华文楷体" w:cs="华文楷体"/>
          <w:bCs/>
          <w:color w:val="auto"/>
          <w:sz w:val="24"/>
          <w:highlight w:val="none"/>
        </w:rPr>
        <w:t>二、职业岗位分析</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_Toc32511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37</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"_Toc20151" </w:instrText>
      </w:r>
      <w:r>
        <w:rPr>
          <w:color w:val="auto"/>
          <w:highlight w:val="none"/>
        </w:rPr>
        <w:fldChar w:fldCharType="separate"/>
      </w:r>
      <w:r>
        <w:rPr>
          <w:rFonts w:hint="eastAsia" w:ascii="华文楷体" w:hAnsi="华文楷体" w:eastAsia="华文楷体" w:cs="华文楷体"/>
          <w:bCs/>
          <w:color w:val="auto"/>
          <w:sz w:val="24"/>
          <w:highlight w:val="none"/>
        </w:rPr>
        <w:t>三、课程安排</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_Toc20151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38</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1"/>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"_Toc4681" </w:instrText>
      </w:r>
      <w:r>
        <w:rPr>
          <w:color w:val="auto"/>
          <w:highlight w:val="none"/>
        </w:rPr>
        <w:fldChar w:fldCharType="separate"/>
      </w:r>
      <w:r>
        <w:rPr>
          <w:rFonts w:hint="eastAsia" w:ascii="华文楷体" w:hAnsi="华文楷体" w:eastAsia="华文楷体" w:cs="华文楷体"/>
          <w:color w:val="auto"/>
          <w:sz w:val="24"/>
          <w:highlight w:val="none"/>
        </w:rPr>
        <w:t>第四部分  煤化工技术专业核心课程标准</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_Toc4681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40</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"_Toc3987" </w:instrText>
      </w:r>
      <w:r>
        <w:rPr>
          <w:color w:val="auto"/>
          <w:highlight w:val="none"/>
        </w:rPr>
        <w:fldChar w:fldCharType="separate"/>
      </w:r>
      <w:r>
        <w:rPr>
          <w:rFonts w:hint="eastAsia" w:ascii="华文楷体" w:hAnsi="华文楷体" w:eastAsia="华文楷体" w:cs="华文楷体"/>
          <w:bCs/>
          <w:color w:val="auto"/>
          <w:sz w:val="24"/>
          <w:highlight w:val="none"/>
        </w:rPr>
        <w:t>一、《化工单元操作》核心课程标准</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_Toc3987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40</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"_Toc24354" </w:instrText>
      </w:r>
      <w:r>
        <w:rPr>
          <w:color w:val="auto"/>
          <w:highlight w:val="none"/>
        </w:rPr>
        <w:fldChar w:fldCharType="separate"/>
      </w:r>
      <w:r>
        <w:rPr>
          <w:rFonts w:hint="eastAsia" w:ascii="华文楷体" w:hAnsi="华文楷体" w:eastAsia="华文楷体" w:cs="华文楷体"/>
          <w:bCs/>
          <w:color w:val="auto"/>
          <w:sz w:val="24"/>
          <w:highlight w:val="none"/>
        </w:rPr>
        <w:t>二、《无机化工生产技术》核心课程标准</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_Toc24354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47</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"_Toc31710" </w:instrText>
      </w:r>
      <w:r>
        <w:rPr>
          <w:color w:val="auto"/>
          <w:highlight w:val="none"/>
        </w:rPr>
        <w:fldChar w:fldCharType="separate"/>
      </w:r>
      <w:r>
        <w:rPr>
          <w:rFonts w:hint="eastAsia" w:ascii="华文楷体" w:hAnsi="华文楷体" w:eastAsia="华文楷体" w:cs="华文楷体"/>
          <w:bCs/>
          <w:color w:val="auto"/>
          <w:sz w:val="24"/>
          <w:highlight w:val="none"/>
        </w:rPr>
        <w:t>三、《化工安全技术》核心课程标准</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_Toc31710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53</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"_Toc7773" </w:instrText>
      </w:r>
      <w:r>
        <w:rPr>
          <w:color w:val="auto"/>
          <w:highlight w:val="none"/>
        </w:rPr>
        <w:fldChar w:fldCharType="separate"/>
      </w:r>
      <w:r>
        <w:rPr>
          <w:rFonts w:hint="eastAsia" w:ascii="华文楷体" w:hAnsi="华文楷体" w:eastAsia="华文楷体" w:cs="华文楷体"/>
          <w:bCs/>
          <w:color w:val="auto"/>
          <w:sz w:val="24"/>
          <w:highlight w:val="none"/>
        </w:rPr>
        <w:t>四、《煤化学》核心课程标准</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_Toc7773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59</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"_Toc15353" </w:instrText>
      </w:r>
      <w:r>
        <w:rPr>
          <w:color w:val="auto"/>
          <w:highlight w:val="none"/>
        </w:rPr>
        <w:fldChar w:fldCharType="separate"/>
      </w:r>
      <w:r>
        <w:rPr>
          <w:rFonts w:hint="eastAsia" w:ascii="华文楷体" w:hAnsi="华文楷体" w:eastAsia="华文楷体" w:cs="华文楷体"/>
          <w:color w:val="auto"/>
          <w:sz w:val="24"/>
          <w:highlight w:val="none"/>
        </w:rPr>
        <w:t>五、《现代煤化工技术》核心课程标准</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_Toc15353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64</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"_Toc17992" </w:instrText>
      </w:r>
      <w:r>
        <w:rPr>
          <w:color w:val="auto"/>
          <w:highlight w:val="none"/>
        </w:rPr>
        <w:fldChar w:fldCharType="separate"/>
      </w:r>
      <w:r>
        <w:rPr>
          <w:rFonts w:hint="eastAsia" w:ascii="华文楷体" w:hAnsi="华文楷体" w:eastAsia="华文楷体" w:cs="华文楷体"/>
          <w:bCs/>
          <w:color w:val="auto"/>
          <w:sz w:val="24"/>
          <w:highlight w:val="none"/>
        </w:rPr>
        <w:t>六、《煤气化工艺》核心课程标准</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_Toc17992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69</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1"/>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"_Toc26275" </w:instrText>
      </w:r>
      <w:r>
        <w:rPr>
          <w:color w:val="auto"/>
          <w:highlight w:val="none"/>
        </w:rPr>
        <w:fldChar w:fldCharType="separate"/>
      </w:r>
      <w:r>
        <w:rPr>
          <w:rFonts w:hint="eastAsia" w:ascii="华文楷体" w:hAnsi="华文楷体" w:eastAsia="华文楷体" w:cs="华文楷体"/>
          <w:color w:val="auto"/>
          <w:sz w:val="24"/>
          <w:highlight w:val="none"/>
        </w:rPr>
        <w:t>第五部分 煤化工技术专业教学实施保障方案</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_Toc26275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74</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"_Toc19881" </w:instrText>
      </w:r>
      <w:r>
        <w:rPr>
          <w:color w:val="auto"/>
          <w:highlight w:val="none"/>
        </w:rPr>
        <w:fldChar w:fldCharType="separate"/>
      </w:r>
      <w:r>
        <w:rPr>
          <w:rFonts w:hint="eastAsia" w:ascii="华文楷体" w:hAnsi="华文楷体" w:eastAsia="华文楷体" w:cs="华文楷体"/>
          <w:bCs/>
          <w:color w:val="auto"/>
          <w:sz w:val="24"/>
          <w:highlight w:val="none"/>
        </w:rPr>
        <w:t>一、人才培养方案的实施与保障</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_Toc19881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74</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"_Toc20779" </w:instrText>
      </w:r>
      <w:r>
        <w:rPr>
          <w:color w:val="auto"/>
          <w:highlight w:val="none"/>
        </w:rPr>
        <w:fldChar w:fldCharType="separate"/>
      </w:r>
      <w:r>
        <w:rPr>
          <w:rFonts w:hint="eastAsia" w:ascii="华文楷体" w:hAnsi="华文楷体" w:eastAsia="华文楷体" w:cs="华文楷体"/>
          <w:bCs/>
          <w:color w:val="auto"/>
          <w:sz w:val="24"/>
          <w:highlight w:val="none"/>
        </w:rPr>
        <w:t>二、双师教学团队建设的保障</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_Toc20779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76</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"_Toc11121" </w:instrText>
      </w:r>
      <w:r>
        <w:rPr>
          <w:color w:val="auto"/>
          <w:highlight w:val="none"/>
        </w:rPr>
        <w:fldChar w:fldCharType="separate"/>
      </w:r>
      <w:r>
        <w:rPr>
          <w:rFonts w:hint="eastAsia" w:ascii="华文楷体" w:hAnsi="华文楷体" w:eastAsia="华文楷体" w:cs="华文楷体"/>
          <w:bCs/>
          <w:color w:val="auto"/>
          <w:sz w:val="24"/>
          <w:highlight w:val="none"/>
        </w:rPr>
        <w:t>三、校企合作，共建校内外实习实训基地措施</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_Toc11121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82</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ind w:left="0" w:leftChars="0" w:firstLine="420" w:firstLineChars="20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"_Toc23120" </w:instrText>
      </w:r>
      <w:r>
        <w:rPr>
          <w:color w:val="auto"/>
          <w:highlight w:val="none"/>
        </w:rPr>
        <w:fldChar w:fldCharType="separate"/>
      </w:r>
      <w:r>
        <w:rPr>
          <w:rFonts w:hint="eastAsia" w:ascii="华文楷体" w:hAnsi="华文楷体" w:eastAsia="华文楷体" w:cs="华文楷体"/>
          <w:bCs/>
          <w:color w:val="auto"/>
          <w:sz w:val="24"/>
          <w:highlight w:val="none"/>
        </w:rPr>
        <w:t>四、教学监督与评价机制保障</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_Toc23120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84</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hint="eastAsia" w:ascii="华文楷体" w:hAnsi="华文楷体" w:eastAsia="华文楷体" w:cs="华文楷体"/>
          <w:color w:val="auto"/>
          <w:sz w:val="24"/>
          <w:highlight w:val="none"/>
        </w:rPr>
        <w:sectPr>
          <w:pgSz w:w="11906" w:h="16838"/>
          <w:pgMar w:top="1440" w:right="1800" w:bottom="1440" w:left="1800" w:header="851" w:footer="992" w:gutter="0"/>
          <w:pgNumType w:start="1"/>
          <w:cols w:space="425" w:num="1"/>
          <w:docGrid w:type="lines" w:linePitch="312" w:charSpace="0"/>
        </w:sectPr>
      </w:pPr>
      <w:r>
        <w:rPr>
          <w:color w:val="auto"/>
          <w:highlight w:val="none"/>
        </w:rPr>
        <w:fldChar w:fldCharType="begin"/>
      </w:r>
      <w:r>
        <w:rPr>
          <w:color w:val="auto"/>
          <w:highlight w:val="none"/>
        </w:rPr>
        <w:instrText xml:space="preserve"> HYPERLINK \l "_Toc2818" </w:instrText>
      </w:r>
      <w:r>
        <w:rPr>
          <w:color w:val="auto"/>
          <w:highlight w:val="none"/>
        </w:rPr>
        <w:fldChar w:fldCharType="separate"/>
      </w:r>
      <w:r>
        <w:rPr>
          <w:rFonts w:hint="eastAsia" w:ascii="华文楷体" w:hAnsi="华文楷体" w:eastAsia="华文楷体" w:cs="华文楷体"/>
          <w:bCs/>
          <w:color w:val="auto"/>
          <w:sz w:val="24"/>
          <w:highlight w:val="none"/>
        </w:rPr>
        <w:t>五、机制保障</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_Toc2818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86</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rPr>
          <w:color w:val="auto"/>
          <w:highlight w:val="none"/>
        </w:rPr>
      </w:pPr>
    </w:p>
    <w:p>
      <w:pPr>
        <w:rPr>
          <w:rFonts w:ascii="黑体" w:hAnsi="黑体" w:eastAsia="黑体" w:cs="黑体"/>
          <w:color w:val="auto"/>
          <w:sz w:val="36"/>
          <w:szCs w:val="36"/>
          <w:highlight w:val="none"/>
        </w:rPr>
      </w:pPr>
      <w:r>
        <w:rPr>
          <w:color w:val="auto"/>
          <w:highlight w:val="none"/>
        </w:rPr>
        <w:fldChar w:fldCharType="end"/>
      </w:r>
    </w:p>
    <w:p>
      <w:pPr>
        <w:pStyle w:val="2"/>
        <w:spacing w:before="0" w:after="0" w:line="360" w:lineRule="auto"/>
        <w:ind w:firstLine="720" w:firstLineChars="200"/>
        <w:rPr>
          <w:rFonts w:ascii="黑体" w:hAnsi="黑体" w:eastAsia="黑体" w:cs="黑体"/>
          <w:b w:val="0"/>
          <w:bCs w:val="0"/>
          <w:color w:val="auto"/>
          <w:sz w:val="36"/>
          <w:szCs w:val="36"/>
          <w:highlight w:val="none"/>
        </w:rPr>
        <w:sectPr>
          <w:pgSz w:w="11906" w:h="16838"/>
          <w:pgMar w:top="1440" w:right="1800" w:bottom="1440" w:left="1800" w:header="851" w:footer="992" w:gutter="0"/>
          <w:pgNumType w:start="1"/>
          <w:cols w:space="425" w:num="1"/>
          <w:docGrid w:type="lines" w:linePitch="312" w:charSpace="0"/>
        </w:sectPr>
      </w:pPr>
    </w:p>
    <w:p>
      <w:pPr>
        <w:pStyle w:val="2"/>
        <w:spacing w:before="0" w:after="0" w:line="360" w:lineRule="auto"/>
        <w:ind w:firstLine="720" w:firstLineChars="200"/>
        <w:rPr>
          <w:rFonts w:ascii="黑体" w:hAnsi="黑体" w:eastAsia="黑体" w:cs="黑体"/>
          <w:b w:val="0"/>
          <w:bCs w:val="0"/>
          <w:color w:val="auto"/>
          <w:sz w:val="36"/>
          <w:szCs w:val="36"/>
          <w:highlight w:val="none"/>
        </w:rPr>
      </w:pPr>
      <w:bookmarkStart w:id="3" w:name="_Toc12455"/>
      <w:r>
        <w:rPr>
          <w:rFonts w:hint="eastAsia" w:ascii="黑体" w:hAnsi="黑体" w:eastAsia="黑体" w:cs="黑体"/>
          <w:b w:val="0"/>
          <w:bCs w:val="0"/>
          <w:color w:val="auto"/>
          <w:sz w:val="36"/>
          <w:szCs w:val="36"/>
          <w:highlight w:val="none"/>
        </w:rPr>
        <w:t>第一部分 煤化工技术专业人才培养方案</w:t>
      </w:r>
      <w:bookmarkEnd w:id="3"/>
    </w:p>
    <w:p>
      <w:pPr>
        <w:pStyle w:val="3"/>
        <w:ind w:firstLine="480" w:firstLineChars="150"/>
        <w:rPr>
          <w:b w:val="0"/>
          <w:color w:val="auto"/>
          <w:highlight w:val="none"/>
        </w:rPr>
      </w:pPr>
      <w:bookmarkStart w:id="4" w:name="_Toc26617"/>
      <w:r>
        <w:rPr>
          <w:rFonts w:hint="eastAsia"/>
          <w:b w:val="0"/>
          <w:color w:val="auto"/>
          <w:highlight w:val="none"/>
        </w:rPr>
        <w:t>一、专业名称与代码</w:t>
      </w:r>
      <w:bookmarkEnd w:id="4"/>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专业名称：煤化工技术</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专业代码：570212</w:t>
      </w:r>
    </w:p>
    <w:p>
      <w:pPr>
        <w:pStyle w:val="3"/>
        <w:ind w:firstLine="480" w:firstLineChars="150"/>
        <w:rPr>
          <w:b w:val="0"/>
          <w:color w:val="auto"/>
          <w:highlight w:val="none"/>
        </w:rPr>
      </w:pPr>
      <w:bookmarkStart w:id="5" w:name="_Toc18533"/>
      <w:r>
        <w:rPr>
          <w:rFonts w:hint="eastAsia"/>
          <w:b w:val="0"/>
          <w:color w:val="auto"/>
          <w:highlight w:val="none"/>
        </w:rPr>
        <w:t>二、招生对象</w:t>
      </w:r>
      <w:bookmarkEnd w:id="5"/>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普通高中毕业生/三校生（职高、中专、技校毕业生）/高校毕业生</w:t>
      </w:r>
    </w:p>
    <w:p>
      <w:pPr>
        <w:pStyle w:val="3"/>
        <w:ind w:firstLine="480" w:firstLineChars="150"/>
        <w:rPr>
          <w:b w:val="0"/>
          <w:color w:val="auto"/>
          <w:highlight w:val="none"/>
        </w:rPr>
      </w:pPr>
      <w:bookmarkStart w:id="6" w:name="_Toc490"/>
      <w:r>
        <w:rPr>
          <w:rFonts w:hint="eastAsia"/>
          <w:b w:val="0"/>
          <w:color w:val="auto"/>
          <w:highlight w:val="none"/>
        </w:rPr>
        <w:t>三、学制与学历</w:t>
      </w:r>
      <w:bookmarkEnd w:id="6"/>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要求：三年，专科</w:t>
      </w:r>
    </w:p>
    <w:p>
      <w:pPr>
        <w:pStyle w:val="3"/>
        <w:ind w:firstLine="480" w:firstLineChars="150"/>
        <w:rPr>
          <w:b w:val="0"/>
          <w:color w:val="auto"/>
          <w:highlight w:val="none"/>
        </w:rPr>
      </w:pPr>
      <w:bookmarkStart w:id="7" w:name="_Toc15155"/>
      <w:r>
        <w:rPr>
          <w:rFonts w:hint="eastAsia"/>
          <w:b w:val="0"/>
          <w:color w:val="auto"/>
          <w:highlight w:val="none"/>
        </w:rPr>
        <w:t>四、就业面向</w:t>
      </w:r>
      <w:bookmarkEnd w:id="7"/>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煤化工技术专业主要面向煤质检验、煤炭洗选、炼焦生产、煤炭化工生产以及下游产品的深加工领域。</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初始岗位群：煤质化验、煤炭洗选、炼焦生产、煤气化生产等相关操作岗位。</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发展岗位群：在获得一定工作经验后，可升迁的职业岗位为产品的质量检测岗位、技术管理岗位、具有一定级别的车间技术人员。</w:t>
      </w:r>
    </w:p>
    <w:p>
      <w:pPr>
        <w:pStyle w:val="3"/>
        <w:numPr>
          <w:ilvl w:val="0"/>
          <w:numId w:val="1"/>
        </w:numPr>
        <w:ind w:firstLine="480" w:firstLineChars="150"/>
        <w:rPr>
          <w:rFonts w:hint="eastAsia"/>
          <w:b w:val="0"/>
          <w:color w:val="auto"/>
          <w:highlight w:val="none"/>
        </w:rPr>
      </w:pPr>
      <w:bookmarkStart w:id="8" w:name="_Toc15165"/>
      <w:r>
        <w:rPr>
          <w:rFonts w:hint="eastAsia"/>
          <w:b w:val="0"/>
          <w:color w:val="auto"/>
          <w:highlight w:val="none"/>
        </w:rPr>
        <w:t>培养目标与规格要求</w:t>
      </w:r>
      <w:bookmarkEnd w:id="8"/>
      <w:bookmarkStart w:id="9" w:name="_Toc31126"/>
      <w:bookmarkStart w:id="10" w:name="_Toc24350"/>
      <w:bookmarkStart w:id="11" w:name="_Toc16745"/>
    </w:p>
    <w:p>
      <w:pPr>
        <w:pStyle w:val="3"/>
        <w:numPr>
          <w:ilvl w:val="0"/>
          <w:numId w:val="0"/>
        </w:numPr>
        <w:ind w:firstLine="320" w:firstLineChars="100"/>
        <w:rPr>
          <w:b w:val="0"/>
          <w:color w:val="auto"/>
          <w:highlight w:val="none"/>
        </w:rPr>
      </w:pPr>
      <w:r>
        <w:rPr>
          <w:rFonts w:hint="eastAsia"/>
          <w:b w:val="0"/>
          <w:color w:val="auto"/>
          <w:highlight w:val="none"/>
        </w:rPr>
        <w:t>（一）专业培养目标</w:t>
      </w:r>
      <w:bookmarkEnd w:id="9"/>
      <w:bookmarkEnd w:id="10"/>
      <w:bookmarkEnd w:id="11"/>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本专业培养适应社会主义现代化建设需要，德、智、体、美、劳全面发展的，具有现代企业意识、能适应地方经济建设需要，掌握煤化工技术专业必需的基础理论知识和方法技能，获得煤化工工艺运行控制、产品质量控制与检测、生产装置操作与维护、环境监测等基本训练，具有创新精神和实践能力的高素质技术技能型人才。</w:t>
      </w:r>
    </w:p>
    <w:p>
      <w:pPr>
        <w:spacing w:line="360" w:lineRule="auto"/>
        <w:ind w:firstLine="600" w:firstLineChars="200"/>
        <w:rPr>
          <w:rFonts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（二）人才培养规格要求和知识、能力、素质结构</w:t>
      </w:r>
    </w:p>
    <w:p>
      <w:pPr>
        <w:spacing w:line="360" w:lineRule="auto"/>
        <w:ind w:firstLine="600" w:firstLineChars="200"/>
        <w:rPr>
          <w:rFonts w:ascii="仿宋_GB2312" w:hAnsi="宋体" w:eastAsia="仿宋_GB2312"/>
          <w:b w:val="0"/>
          <w:bCs/>
          <w:color w:val="auto"/>
          <w:sz w:val="30"/>
          <w:szCs w:val="30"/>
          <w:highlight w:val="none"/>
        </w:rPr>
      </w:pPr>
      <w:r>
        <w:rPr>
          <w:rFonts w:hint="eastAsia" w:ascii="仿宋_GB2312" w:hAnsi="宋体" w:eastAsia="仿宋_GB2312"/>
          <w:b w:val="0"/>
          <w:bCs/>
          <w:color w:val="auto"/>
          <w:sz w:val="30"/>
          <w:szCs w:val="30"/>
          <w:highlight w:val="none"/>
        </w:rPr>
        <w:t>1.培养规格</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本专业培养适应社会主义现代化建设需要，德、智、体、美全面发展的，具有良好的职业道德和素养，具有现代企业意识、能适应地方经济建设需要，掌握</w:t>
      </w:r>
      <w:r>
        <w:rPr>
          <w:rFonts w:hint="eastAsia" w:asciiTheme="majorEastAsia" w:hAnsiTheme="majorEastAsia" w:eastAsiaTheme="majorEastAsia" w:cstheme="majorEastAsia"/>
          <w:bCs/>
          <w:color w:val="auto"/>
          <w:sz w:val="24"/>
          <w:highlight w:val="none"/>
        </w:rPr>
        <w:t>大学专科层次的文化基础知识、本专业理论知识和实践技能，</w:t>
      </w:r>
      <w:r>
        <w:rPr>
          <w:rFonts w:hint="eastAsia" w:asciiTheme="minorEastAsia" w:hAnsiTheme="minorEastAsia"/>
          <w:bCs/>
          <w:color w:val="auto"/>
          <w:sz w:val="24"/>
          <w:highlight w:val="none"/>
        </w:rPr>
        <w:t>获得</w:t>
      </w:r>
      <w:r>
        <w:rPr>
          <w:rFonts w:hint="eastAsia" w:asciiTheme="majorEastAsia" w:hAnsiTheme="majorEastAsia" w:eastAsiaTheme="majorEastAsia" w:cstheme="majorEastAsia"/>
          <w:bCs/>
          <w:color w:val="auto"/>
          <w:sz w:val="24"/>
          <w:highlight w:val="none"/>
        </w:rPr>
        <w:t>煤质化验、煤炭洗选、炼焦生产、煤气化生产等相关操作岗位</w:t>
      </w:r>
      <w:r>
        <w:rPr>
          <w:rFonts w:hint="eastAsia" w:asciiTheme="minorEastAsia" w:hAnsiTheme="minorEastAsia"/>
          <w:bCs/>
          <w:color w:val="auto"/>
          <w:sz w:val="24"/>
          <w:highlight w:val="none"/>
        </w:rPr>
        <w:t>的基本训练，具有创新精神和实践能力的高素质技术技能人才。</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2.知识、能力、素质结构</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（1）知识结构</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 xml:space="preserve">a. 掌握必备的思想政治理论、科学文化基础知识和中华优秀传统文化知识；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 xml:space="preserve">b. 熟悉与本专业相关的法律法规以及环境保护、安全消防、文明生产等相关知识；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 xml:space="preserve">c. 掌握与专业相关的化学基础、识图与制图、设备、仪表、单元 操作、分析检验、现代化工 </w:t>
      </w:r>
      <w:r>
        <w:rPr>
          <w:rFonts w:asciiTheme="minorEastAsia" w:hAnsiTheme="minorEastAsia"/>
          <w:bCs/>
          <w:color w:val="auto"/>
          <w:sz w:val="24"/>
          <w:highlight w:val="none"/>
        </w:rPr>
        <w:t xml:space="preserve">HSE </w:t>
      </w:r>
      <w:r>
        <w:rPr>
          <w:rFonts w:hint="eastAsia" w:asciiTheme="minorEastAsia" w:hAnsiTheme="minorEastAsia"/>
          <w:bCs/>
          <w:color w:val="auto"/>
          <w:sz w:val="24"/>
          <w:highlight w:val="none"/>
        </w:rPr>
        <w:t xml:space="preserve">等基础知识；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 xml:space="preserve">d. 掌握与专业相关的煤炭气化、液化、焦化及典型煤化工产品生产工艺运行的知识；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 xml:space="preserve">e. 掌握煤化工安全生产相关的专业知识；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 xml:space="preserve">f. 掌握煤化工生产装置运行及基本维护的操作和方法；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 xml:space="preserve">g. 掌握煤化工生产仪表使用及基本维护的方法；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 xml:space="preserve">h. 了解煤化工原料及产品分析检验的原理和方法；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 xml:space="preserve">i. 了解煤化工生产技术的前沿理论、最新成果及发展动态；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 xml:space="preserve">j. 了解最新发布的煤化工技术专业相关国家标准和国际标准。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 xml:space="preserve">（2）能力结构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 xml:space="preserve">a. 具有探究学习、终身学习、分析问题和解决问题的能力；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 xml:space="preserve">b. 具有良好的语言、文字表达能力和沟通能力；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c. 能够识别和绘制工艺流程图、</w:t>
      </w:r>
      <w:r>
        <w:rPr>
          <w:rFonts w:asciiTheme="minorEastAsia" w:hAnsiTheme="minorEastAsia"/>
          <w:bCs/>
          <w:color w:val="auto"/>
          <w:sz w:val="24"/>
          <w:highlight w:val="none"/>
        </w:rPr>
        <w:t xml:space="preserve">PID </w:t>
      </w:r>
      <w:r>
        <w:rPr>
          <w:rFonts w:hint="eastAsia" w:asciiTheme="minorEastAsia" w:hAnsiTheme="minorEastAsia"/>
          <w:bCs/>
          <w:color w:val="auto"/>
          <w:sz w:val="24"/>
          <w:highlight w:val="none"/>
        </w:rPr>
        <w:t xml:space="preserve">控制图、管道配置图；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 xml:space="preserve">d. 能够依据操作规范，对常用煤化工生产装置、仪表进行操作、 使用和基本的维护与保养；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 xml:space="preserve">e. 能够进行煤化工生产工艺的生产操作与过程控制，进行试车、 开车、停车和置换等操作；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 xml:space="preserve">f. 能够操作仪表或自控系统，实施对生产岗位全部工艺参数的 跟踪监控和调节，并能根据中控分析结果和质量要求调节岗位操作；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 xml:space="preserve">g. 具有分析、判断和处理不正常生产工况的能力；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 xml:space="preserve">h. 具有煤炭及煤化工产品进行基本性质评价和分析检验的能力；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i. 能够进行一定的安全防护和生产</w:t>
      </w:r>
      <w:r>
        <w:rPr>
          <w:rFonts w:asciiTheme="minorEastAsia" w:hAnsiTheme="minorEastAsia"/>
          <w:bCs/>
          <w:color w:val="auto"/>
          <w:sz w:val="24"/>
          <w:highlight w:val="none"/>
        </w:rPr>
        <w:t>“</w:t>
      </w:r>
      <w:r>
        <w:rPr>
          <w:rFonts w:hint="eastAsia" w:asciiTheme="minorEastAsia" w:hAnsiTheme="minorEastAsia"/>
          <w:bCs/>
          <w:color w:val="auto"/>
          <w:sz w:val="24"/>
          <w:highlight w:val="none"/>
        </w:rPr>
        <w:t>三废</w:t>
      </w:r>
      <w:r>
        <w:rPr>
          <w:rFonts w:asciiTheme="minorEastAsia" w:hAnsiTheme="minorEastAsia"/>
          <w:bCs/>
          <w:color w:val="auto"/>
          <w:sz w:val="24"/>
          <w:highlight w:val="none"/>
        </w:rPr>
        <w:t>”</w:t>
      </w:r>
      <w:r>
        <w:rPr>
          <w:rFonts w:hint="eastAsia" w:asciiTheme="minorEastAsia" w:hAnsiTheme="minorEastAsia"/>
          <w:bCs/>
          <w:color w:val="auto"/>
          <w:sz w:val="24"/>
          <w:highlight w:val="none"/>
        </w:rPr>
        <w:t xml:space="preserve">处理。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 xml:space="preserve">（3）素质结构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 xml:space="preserve">a. 坚定拥护中国共产党领导和我国社会主义制度，在习近平新时代中国特色社会主义思想指引下，践行社会主义核心价值观，具有深厚的爱国情感和中华民族自豪感；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 xml:space="preserve">b. 崇尚宪法、遵法守纪、崇德向善、诚实守信、尊重生命、热爱劳动，履行道德准则和行为规范，具有社会责任感和社会参与意识；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 xml:space="preserve">c. 具有质量意识、环保意识、安全意识、信息素养、工匠精神、创新思维；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 xml:space="preserve">d. 勇于奋斗、乐观向上，具有自我管理能力、职业生涯规划的意识，有较强的集体意识和团队合作精神；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 xml:space="preserve">e. 具有健康的体魄、心理和健全的人格，掌握基本运动知识和一两项运动技能，养成良好的健身与卫生习惯，良好的行为习惯； </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f. 具有一定的审美和人文素养，能够形成一两项艺术特长或爱好。</w:t>
      </w:r>
    </w:p>
    <w:p>
      <w:pPr>
        <w:pStyle w:val="3"/>
        <w:ind w:firstLine="480" w:firstLineChars="150"/>
        <w:rPr>
          <w:b w:val="0"/>
          <w:color w:val="auto"/>
          <w:highlight w:val="none"/>
        </w:rPr>
      </w:pPr>
      <w:bookmarkStart w:id="12" w:name="_Toc20595"/>
      <w:r>
        <w:rPr>
          <w:rFonts w:hint="eastAsia"/>
          <w:b w:val="0"/>
          <w:color w:val="auto"/>
          <w:highlight w:val="none"/>
        </w:rPr>
        <w:t>六、职业资格证书</w:t>
      </w:r>
      <w:bookmarkEnd w:id="12"/>
    </w:p>
    <w:p>
      <w:pPr>
        <w:spacing w:line="360" w:lineRule="auto"/>
        <w:ind w:firstLine="480" w:firstLineChars="200"/>
        <w:rPr>
          <w:rFonts w:hint="eastAsia" w:ascii="Times New Roman" w:hAnsi="Times New Roman" w:eastAsia="宋体" w:cs="Times New Roman"/>
          <w:snapToGrid w:val="0"/>
          <w:color w:val="auto"/>
          <w:kern w:val="0"/>
          <w:sz w:val="24"/>
          <w:highlight w:val="none"/>
          <w:lang w:eastAsia="zh-CN"/>
        </w:rPr>
      </w:pPr>
      <w:r>
        <w:rPr>
          <w:rFonts w:hint="eastAsia" w:ascii="Times New Roman" w:hAnsi="Times New Roman" w:eastAsia="宋体" w:cs="Times New Roman"/>
          <w:snapToGrid w:val="0"/>
          <w:color w:val="auto"/>
          <w:kern w:val="0"/>
          <w:sz w:val="24"/>
          <w:highlight w:val="none"/>
        </w:rPr>
        <w:t>煤质化验工，化工总控工，有机合成工，无机反应工、环境监测证、污水处理工、化学检验工等</w:t>
      </w:r>
      <w:r>
        <w:rPr>
          <w:rFonts w:hint="eastAsia" w:ascii="Times New Roman" w:hAnsi="Times New Roman" w:eastAsia="宋体" w:cs="Times New Roman"/>
          <w:snapToGrid w:val="0"/>
          <w:color w:val="auto"/>
          <w:kern w:val="0"/>
          <w:sz w:val="24"/>
          <w:highlight w:val="none"/>
          <w:lang w:eastAsia="zh-CN"/>
        </w:rPr>
        <w:t>。</w:t>
      </w:r>
    </w:p>
    <w:p>
      <w:pPr>
        <w:pStyle w:val="3"/>
        <w:numPr>
          <w:ilvl w:val="0"/>
          <w:numId w:val="1"/>
        </w:numPr>
        <w:ind w:left="0" w:leftChars="0" w:firstLine="480" w:firstLineChars="150"/>
        <w:rPr>
          <w:rFonts w:hint="eastAsia"/>
          <w:b w:val="0"/>
          <w:color w:val="auto"/>
          <w:highlight w:val="none"/>
        </w:rPr>
      </w:pPr>
      <w:bookmarkStart w:id="13" w:name="_Toc19133"/>
      <w:r>
        <w:rPr>
          <w:rFonts w:hint="eastAsia"/>
          <w:b w:val="0"/>
          <w:color w:val="auto"/>
          <w:highlight w:val="none"/>
          <w:lang w:val="en-US" w:eastAsia="zh-CN"/>
        </w:rPr>
        <w:t xml:space="preserve">  </w:t>
      </w:r>
      <w:bookmarkStart w:id="211" w:name="_GoBack"/>
      <w:bookmarkEnd w:id="211"/>
      <w:r>
        <w:rPr>
          <w:rFonts w:hint="eastAsia"/>
          <w:b w:val="0"/>
          <w:color w:val="auto"/>
          <w:highlight w:val="none"/>
        </w:rPr>
        <w:t>课程体系与核心课程（教学内容）</w:t>
      </w:r>
      <w:bookmarkEnd w:id="13"/>
      <w:bookmarkStart w:id="14" w:name="_Toc18510"/>
      <w:bookmarkStart w:id="15" w:name="_Toc12765"/>
      <w:bookmarkStart w:id="16" w:name="_Toc369"/>
    </w:p>
    <w:p>
      <w:pPr>
        <w:pStyle w:val="3"/>
        <w:numPr>
          <w:ilvl w:val="0"/>
          <w:numId w:val="0"/>
        </w:numPr>
        <w:ind w:firstLine="320" w:firstLineChars="100"/>
        <w:rPr>
          <w:b w:val="0"/>
          <w:color w:val="auto"/>
          <w:highlight w:val="none"/>
        </w:rPr>
      </w:pPr>
      <w:r>
        <w:rPr>
          <w:rFonts w:hint="eastAsia"/>
          <w:b w:val="0"/>
          <w:color w:val="auto"/>
          <w:highlight w:val="none"/>
        </w:rPr>
        <w:t>（一）课程体系设计思路</w:t>
      </w:r>
      <w:bookmarkEnd w:id="14"/>
      <w:bookmarkEnd w:id="15"/>
      <w:bookmarkEnd w:id="16"/>
    </w:p>
    <w:p>
      <w:pPr>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按照“学训融通，学岗交替，能力递进”的人才培养方案，针对煤化工技术职业岗位群标准，专业建设小组组织现场工程技术专家和专业技术人员进行职业岗位能力分析，并对专业的知识能力层次进行了全面的分析和探讨，经过了多次修订，形成了应知知识和应会技能，把煤化工技术知识和实践技能有机联系起来，使课程之间相互连接，互为整体，形成以岗位为基础，工作任务驱动的课程体系。 </w:t>
      </w:r>
    </w:p>
    <w:p>
      <w:pPr>
        <w:numPr>
          <w:ilvl w:val="0"/>
          <w:numId w:val="0"/>
        </w:numPr>
        <w:spacing w:line="360" w:lineRule="auto"/>
        <w:ind w:firstLine="300" w:firstLineChars="100"/>
        <w:rPr>
          <w:rFonts w:ascii="黑体" w:hAnsi="黑体" w:eastAsia="黑体" w:cs="黑体"/>
          <w:bCs/>
          <w:color w:val="auto"/>
          <w:sz w:val="30"/>
          <w:szCs w:val="30"/>
          <w:highlight w:val="none"/>
        </w:rPr>
      </w:pPr>
      <w:r>
        <w:rPr>
          <w:rFonts w:hint="eastAsia" w:ascii="黑体" w:hAnsi="黑体" w:eastAsia="黑体" w:cs="黑体"/>
          <w:bCs/>
          <w:color w:val="auto"/>
          <w:sz w:val="30"/>
          <w:szCs w:val="30"/>
          <w:highlight w:val="none"/>
          <w:lang w:eastAsia="zh-CN"/>
        </w:rPr>
        <w:t>（</w:t>
      </w:r>
      <w:r>
        <w:rPr>
          <w:rFonts w:hint="eastAsia" w:ascii="黑体" w:hAnsi="黑体" w:eastAsia="黑体" w:cs="黑体"/>
          <w:bCs/>
          <w:color w:val="auto"/>
          <w:sz w:val="30"/>
          <w:szCs w:val="30"/>
          <w:highlight w:val="none"/>
          <w:lang w:val="en-US" w:eastAsia="zh-CN"/>
        </w:rPr>
        <w:t>二</w:t>
      </w:r>
      <w:r>
        <w:rPr>
          <w:rFonts w:hint="eastAsia" w:ascii="黑体" w:hAnsi="黑体" w:eastAsia="黑体" w:cs="黑体"/>
          <w:bCs/>
          <w:color w:val="auto"/>
          <w:sz w:val="30"/>
          <w:szCs w:val="30"/>
          <w:highlight w:val="none"/>
          <w:lang w:eastAsia="zh-CN"/>
        </w:rPr>
        <w:t>）</w:t>
      </w:r>
      <w:r>
        <w:rPr>
          <w:rFonts w:hint="eastAsia" w:ascii="黑体" w:hAnsi="黑体" w:eastAsia="黑体" w:cs="黑体"/>
          <w:bCs/>
          <w:color w:val="auto"/>
          <w:sz w:val="30"/>
          <w:szCs w:val="30"/>
          <w:highlight w:val="none"/>
        </w:rPr>
        <w:t>典型工作任务及能力分析</w:t>
      </w:r>
    </w:p>
    <w:p>
      <w:pPr>
        <w:spacing w:line="360" w:lineRule="auto"/>
        <w:ind w:firstLine="480" w:firstLineChars="200"/>
        <w:rPr>
          <w:rFonts w:ascii="仿宋" w:hAnsi="仿宋" w:eastAsia="仿宋" w:cs="仿宋"/>
          <w:color w:val="auto"/>
          <w:kern w:val="0"/>
          <w:sz w:val="28"/>
          <w:szCs w:val="28"/>
          <w:highlight w:val="none"/>
        </w:rPr>
      </w:pPr>
      <w:r>
        <w:rPr>
          <w:rFonts w:hint="eastAsia" w:ascii="Times New Roman" w:hAnsi="Times New Roman" w:eastAsia="宋体" w:cs="Times New Roman"/>
          <w:color w:val="auto"/>
          <w:sz w:val="24"/>
          <w:highlight w:val="none"/>
        </w:rPr>
        <w:t xml:space="preserve">根据对高职学生培养要求及标准，结合学生实践教学经验总结，煤化工技术专业学生典型工作任务分析与能力分析如表1所示    </w:t>
      </w:r>
    </w:p>
    <w:p>
      <w:pPr>
        <w:spacing w:line="360" w:lineRule="auto"/>
        <w:ind w:firstLine="2160" w:firstLineChars="900"/>
        <w:rPr>
          <w:rFonts w:ascii="仿宋" w:hAnsi="仿宋" w:eastAsia="仿宋" w:cs="仿宋"/>
          <w:color w:val="auto"/>
          <w:kern w:val="0"/>
          <w:sz w:val="28"/>
          <w:szCs w:val="28"/>
          <w:highlight w:val="none"/>
        </w:rPr>
      </w:pPr>
      <w:r>
        <w:rPr>
          <w:rFonts w:hint="eastAsia" w:hAnsi="仿宋_GB2312"/>
          <w:bCs/>
          <w:color w:val="auto"/>
          <w:sz w:val="24"/>
          <w:highlight w:val="none"/>
        </w:rPr>
        <w:t>表</w:t>
      </w:r>
      <w:r>
        <w:rPr>
          <w:rFonts w:hint="eastAsia"/>
          <w:bCs/>
          <w:color w:val="auto"/>
          <w:sz w:val="24"/>
          <w:highlight w:val="none"/>
        </w:rPr>
        <w:t xml:space="preserve">1 </w:t>
      </w:r>
      <w:r>
        <w:rPr>
          <w:rFonts w:hint="eastAsia" w:hAnsi="仿宋_GB2312"/>
          <w:bCs/>
          <w:color w:val="auto"/>
          <w:sz w:val="24"/>
          <w:highlight w:val="none"/>
        </w:rPr>
        <w:t>典型工作任务分析及能力分析</w:t>
      </w:r>
    </w:p>
    <w:tbl>
      <w:tblPr>
        <w:tblStyle w:val="14"/>
        <w:tblW w:w="87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006"/>
        <w:gridCol w:w="1694"/>
        <w:gridCol w:w="60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7" w:hRule="atLeast"/>
        </w:trPr>
        <w:tc>
          <w:tcPr>
            <w:tcW w:w="1006" w:type="dxa"/>
            <w:tcBorders>
              <w:tl2br w:val="nil"/>
              <w:tr2bl w:val="nil"/>
            </w:tcBorders>
            <w:noWrap/>
            <w:vAlign w:val="center"/>
          </w:tcPr>
          <w:p>
            <w:pPr>
              <w:autoSpaceDE w:val="0"/>
              <w:autoSpaceDN w:val="0"/>
              <w:jc w:val="center"/>
              <w:rPr>
                <w:rFonts w:hint="eastAsia" w:asciiTheme="majorEastAsia" w:hAnsiTheme="majorEastAsia" w:eastAsiaTheme="majorEastAsia" w:cstheme="majorEastAsia"/>
                <w:b/>
                <w:color w:val="auto"/>
                <w:kern w:val="0"/>
                <w:highlight w:val="none"/>
              </w:rPr>
            </w:pPr>
            <w:r>
              <w:rPr>
                <w:rFonts w:hint="eastAsia" w:asciiTheme="majorEastAsia" w:hAnsiTheme="majorEastAsia" w:eastAsiaTheme="majorEastAsia" w:cstheme="majorEastAsia"/>
                <w:b/>
                <w:color w:val="auto"/>
                <w:kern w:val="0"/>
                <w:highlight w:val="none"/>
              </w:rPr>
              <w:t>工作项目</w:t>
            </w:r>
          </w:p>
        </w:tc>
        <w:tc>
          <w:tcPr>
            <w:tcW w:w="1694" w:type="dxa"/>
            <w:tcBorders>
              <w:tl2br w:val="nil"/>
              <w:tr2bl w:val="nil"/>
            </w:tcBorders>
            <w:noWrap/>
          </w:tcPr>
          <w:p>
            <w:pPr>
              <w:autoSpaceDE w:val="0"/>
              <w:autoSpaceDN w:val="0"/>
              <w:jc w:val="center"/>
              <w:rPr>
                <w:rFonts w:hint="eastAsia" w:asciiTheme="majorEastAsia" w:hAnsiTheme="majorEastAsia" w:eastAsiaTheme="majorEastAsia" w:cstheme="majorEastAsia"/>
                <w:b/>
                <w:color w:val="auto"/>
                <w:kern w:val="0"/>
                <w:highlight w:val="none"/>
              </w:rPr>
            </w:pPr>
            <w:r>
              <w:rPr>
                <w:rFonts w:hint="eastAsia" w:asciiTheme="majorEastAsia" w:hAnsiTheme="majorEastAsia" w:eastAsiaTheme="majorEastAsia" w:cstheme="majorEastAsia"/>
                <w:b/>
                <w:color w:val="auto"/>
                <w:kern w:val="0"/>
                <w:highlight w:val="none"/>
              </w:rPr>
              <w:t>任务</w:t>
            </w:r>
          </w:p>
        </w:tc>
        <w:tc>
          <w:tcPr>
            <w:tcW w:w="6060" w:type="dxa"/>
            <w:tcBorders>
              <w:tl2br w:val="nil"/>
              <w:tr2bl w:val="nil"/>
            </w:tcBorders>
            <w:noWrap/>
          </w:tcPr>
          <w:p>
            <w:pPr>
              <w:autoSpaceDE w:val="0"/>
              <w:autoSpaceDN w:val="0"/>
              <w:jc w:val="center"/>
              <w:rPr>
                <w:rFonts w:hint="eastAsia" w:asciiTheme="majorEastAsia" w:hAnsiTheme="majorEastAsia" w:eastAsiaTheme="majorEastAsia" w:cstheme="majorEastAsia"/>
                <w:b/>
                <w:color w:val="auto"/>
                <w:kern w:val="0"/>
                <w:highlight w:val="none"/>
              </w:rPr>
            </w:pPr>
            <w:r>
              <w:rPr>
                <w:rFonts w:hint="eastAsia" w:asciiTheme="majorEastAsia" w:hAnsiTheme="majorEastAsia" w:eastAsiaTheme="majorEastAsia" w:cstheme="majorEastAsia"/>
                <w:b/>
                <w:color w:val="auto"/>
                <w:kern w:val="0"/>
                <w:highlight w:val="none"/>
              </w:rPr>
              <w:t>职业能力（知识、能力、素质）要求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1006" w:type="dxa"/>
            <w:vMerge w:val="restart"/>
            <w:tcBorders>
              <w:tl2br w:val="nil"/>
              <w:tr2bl w:val="nil"/>
            </w:tcBorders>
            <w:noWrap/>
            <w:vAlign w:val="center"/>
          </w:tcPr>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1.煤化工原料与产品检测</w:t>
            </w:r>
          </w:p>
          <w:p>
            <w:pPr>
              <w:autoSpaceDE w:val="0"/>
              <w:autoSpaceDN w:val="0"/>
              <w:rPr>
                <w:rFonts w:hint="eastAsia" w:asciiTheme="minorEastAsia" w:hAnsiTheme="minorEastAsia" w:eastAsiaTheme="minorEastAsia" w:cstheme="minorEastAsia"/>
                <w:color w:val="auto"/>
                <w:kern w:val="0"/>
                <w:highlight w:val="none"/>
              </w:rPr>
            </w:pPr>
          </w:p>
          <w:p>
            <w:pPr>
              <w:autoSpaceDE w:val="0"/>
              <w:autoSpaceDN w:val="0"/>
              <w:rPr>
                <w:rFonts w:hint="eastAsia" w:asciiTheme="minorEastAsia" w:hAnsiTheme="minorEastAsia" w:eastAsiaTheme="minorEastAsia" w:cstheme="minorEastAsia"/>
                <w:color w:val="auto"/>
                <w:kern w:val="0"/>
                <w:highlight w:val="none"/>
              </w:rPr>
            </w:pPr>
          </w:p>
        </w:tc>
        <w:tc>
          <w:tcPr>
            <w:tcW w:w="1694" w:type="dxa"/>
            <w:tcBorders>
              <w:tl2br w:val="nil"/>
              <w:tr2bl w:val="nil"/>
            </w:tcBorders>
            <w:noWrap/>
            <w:vAlign w:val="center"/>
          </w:tcPr>
          <w:p>
            <w:pPr>
              <w:autoSpaceDE w:val="0"/>
              <w:autoSpaceDN w:val="0"/>
              <w:jc w:val="center"/>
              <w:rPr>
                <w:rFonts w:hint="eastAsia" w:asciiTheme="minorEastAsia" w:hAnsiTheme="minorEastAsia" w:eastAsiaTheme="minorEastAsia" w:cstheme="minorEastAsia"/>
                <w:color w:val="auto"/>
                <w:kern w:val="0"/>
                <w:highlight w:val="none"/>
              </w:rPr>
            </w:pPr>
          </w:p>
          <w:p>
            <w:pPr>
              <w:autoSpaceDE w:val="0"/>
              <w:autoSpaceDN w:val="0"/>
              <w:jc w:val="center"/>
              <w:rPr>
                <w:rFonts w:hint="eastAsia" w:asciiTheme="minorEastAsia" w:hAnsiTheme="minorEastAsia" w:eastAsiaTheme="minorEastAsia" w:cstheme="minorEastAsia"/>
                <w:color w:val="auto"/>
                <w:kern w:val="0"/>
                <w:highlight w:val="none"/>
              </w:rPr>
            </w:pPr>
          </w:p>
          <w:p>
            <w:pPr>
              <w:autoSpaceDE w:val="0"/>
              <w:autoSpaceDN w:val="0"/>
              <w:ind w:firstLine="210" w:firstLineChars="100"/>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1.1原料煤检测</w:t>
            </w:r>
          </w:p>
        </w:tc>
        <w:tc>
          <w:tcPr>
            <w:tcW w:w="6060" w:type="dxa"/>
            <w:tcBorders>
              <w:tl2br w:val="nil"/>
              <w:tr2bl w:val="nil"/>
            </w:tcBorders>
            <w:noWrap/>
          </w:tcPr>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①理解化学分析的基本原理；</w:t>
            </w:r>
          </w:p>
          <w:p>
            <w:pPr>
              <w:autoSpaceDE w:val="0"/>
              <w:autoSpaceDN w:val="0"/>
              <w:ind w:firstLine="210" w:firstLineChars="1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②能熟练使用破碎缩分设备、干燥设备制样；</w:t>
            </w:r>
          </w:p>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③能熟练使用分析设备（碳氢元素分析仪、定硫仪、发热量测定仪、灰分测定仪等）对原料煤进行元素分析和工业分析；</w:t>
            </w:r>
          </w:p>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④培养严谨认真的工作态度；</w:t>
            </w:r>
          </w:p>
          <w:p>
            <w:pPr>
              <w:autoSpaceDE w:val="0"/>
              <w:autoSpaceDN w:val="0"/>
              <w:ind w:firstLine="210" w:firstLineChars="1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⑤培养良好的团队协作精神。</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1006" w:type="dxa"/>
            <w:vMerge w:val="continue"/>
            <w:tcBorders>
              <w:tl2br w:val="nil"/>
              <w:tr2bl w:val="nil"/>
            </w:tcBorders>
            <w:noWrap/>
            <w:vAlign w:val="center"/>
          </w:tcPr>
          <w:p>
            <w:pPr>
              <w:autoSpaceDE w:val="0"/>
              <w:autoSpaceDN w:val="0"/>
              <w:rPr>
                <w:rFonts w:hint="eastAsia" w:asciiTheme="minorEastAsia" w:hAnsiTheme="minorEastAsia" w:eastAsiaTheme="minorEastAsia" w:cstheme="minorEastAsia"/>
                <w:color w:val="auto"/>
                <w:kern w:val="0"/>
                <w:highlight w:val="none"/>
              </w:rPr>
            </w:pPr>
          </w:p>
        </w:tc>
        <w:tc>
          <w:tcPr>
            <w:tcW w:w="1694" w:type="dxa"/>
            <w:tcBorders>
              <w:tl2br w:val="nil"/>
              <w:tr2bl w:val="nil"/>
            </w:tcBorders>
            <w:noWrap/>
            <w:vAlign w:val="center"/>
          </w:tcPr>
          <w:p>
            <w:pPr>
              <w:autoSpaceDE w:val="0"/>
              <w:autoSpaceDN w:val="0"/>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1.2产品检测</w:t>
            </w:r>
          </w:p>
        </w:tc>
        <w:tc>
          <w:tcPr>
            <w:tcW w:w="6060" w:type="dxa"/>
            <w:tcBorders>
              <w:tl2br w:val="nil"/>
              <w:tr2bl w:val="nil"/>
            </w:tcBorders>
            <w:noWrap/>
          </w:tcPr>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①理解化学分析的基本原理；</w:t>
            </w:r>
          </w:p>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②熟练进行化学分析操作</w:t>
            </w:r>
          </w:p>
          <w:p>
            <w:pPr>
              <w:autoSpaceDE w:val="0"/>
              <w:autoSpaceDN w:val="0"/>
              <w:ind w:firstLine="210" w:firstLineChars="1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③熟练进行仪器分析操作；</w:t>
            </w:r>
          </w:p>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④培养严谨认真的工作态度；</w:t>
            </w:r>
          </w:p>
          <w:p>
            <w:pPr>
              <w:autoSpaceDE w:val="0"/>
              <w:autoSpaceDN w:val="0"/>
              <w:ind w:firstLine="210" w:firstLineChars="1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⑤培养良好的团队协作精神。</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272" w:hRule="atLeast"/>
        </w:trPr>
        <w:tc>
          <w:tcPr>
            <w:tcW w:w="1006" w:type="dxa"/>
            <w:vMerge w:val="restart"/>
            <w:tcBorders>
              <w:tl2br w:val="nil"/>
              <w:tr2bl w:val="nil"/>
            </w:tcBorders>
            <w:noWrap/>
            <w:vAlign w:val="center"/>
          </w:tcPr>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2．化工工艺图的识读与绘制</w:t>
            </w:r>
          </w:p>
        </w:tc>
        <w:tc>
          <w:tcPr>
            <w:tcW w:w="1694" w:type="dxa"/>
            <w:tcBorders>
              <w:tl2br w:val="nil"/>
              <w:tr2bl w:val="nil"/>
            </w:tcBorders>
            <w:noWrap/>
            <w:vAlign w:val="center"/>
          </w:tcPr>
          <w:p>
            <w:pPr>
              <w:autoSpaceDE w:val="0"/>
              <w:autoSpaceDN w:val="0"/>
              <w:ind w:left="210" w:hanging="210" w:hangingChars="100"/>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2.1 化工设备与仪表图的识读</w:t>
            </w:r>
          </w:p>
        </w:tc>
        <w:tc>
          <w:tcPr>
            <w:tcW w:w="6060" w:type="dxa"/>
            <w:tcBorders>
              <w:tl2br w:val="nil"/>
              <w:tr2bl w:val="nil"/>
            </w:tcBorders>
            <w:noWrap/>
          </w:tcPr>
          <w:p>
            <w:pPr>
              <w:autoSpaceDE w:val="0"/>
              <w:autoSpaceDN w:val="0"/>
              <w:ind w:firstLine="210" w:firstLineChars="1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①认识常见设备与仪表标志符号 </w:t>
            </w:r>
          </w:p>
          <w:p>
            <w:pPr>
              <w:autoSpaceDE w:val="0"/>
              <w:autoSpaceDN w:val="0"/>
              <w:ind w:firstLine="210" w:firstLineChars="1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②掌握常见设备与仪表图的画法</w:t>
            </w:r>
          </w:p>
          <w:p>
            <w:pPr>
              <w:autoSpaceDE w:val="0"/>
              <w:autoSpaceDN w:val="0"/>
              <w:ind w:firstLine="210" w:firstLineChars="1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③熟练进行仪器分析操作</w:t>
            </w:r>
          </w:p>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④培养严谨认真的工作态度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4" w:hRule="atLeast"/>
        </w:trPr>
        <w:tc>
          <w:tcPr>
            <w:tcW w:w="1006" w:type="dxa"/>
            <w:vMerge w:val="continue"/>
            <w:tcBorders>
              <w:tl2br w:val="nil"/>
              <w:tr2bl w:val="nil"/>
            </w:tcBorders>
            <w:noWrap/>
            <w:vAlign w:val="center"/>
          </w:tcPr>
          <w:p>
            <w:pPr>
              <w:autoSpaceDE w:val="0"/>
              <w:autoSpaceDN w:val="0"/>
              <w:rPr>
                <w:rFonts w:hint="eastAsia" w:asciiTheme="minorEastAsia" w:hAnsiTheme="minorEastAsia" w:eastAsiaTheme="minorEastAsia" w:cstheme="minorEastAsia"/>
                <w:color w:val="auto"/>
                <w:kern w:val="0"/>
                <w:highlight w:val="none"/>
              </w:rPr>
            </w:pPr>
          </w:p>
        </w:tc>
        <w:tc>
          <w:tcPr>
            <w:tcW w:w="1694" w:type="dxa"/>
            <w:tcBorders>
              <w:tl2br w:val="nil"/>
              <w:tr2bl w:val="nil"/>
            </w:tcBorders>
            <w:noWrap/>
            <w:vAlign w:val="center"/>
          </w:tcPr>
          <w:p>
            <w:pPr>
              <w:autoSpaceDE w:val="0"/>
              <w:autoSpaceDN w:val="0"/>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2.2 化工工艺流程图的识读与绘制</w:t>
            </w:r>
          </w:p>
        </w:tc>
        <w:tc>
          <w:tcPr>
            <w:tcW w:w="6060" w:type="dxa"/>
            <w:tcBorders>
              <w:tl2br w:val="nil"/>
              <w:tr2bl w:val="nil"/>
            </w:tcBorders>
            <w:noWrap/>
          </w:tcPr>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①掌握几种化工工艺图的标准绘制方法</w:t>
            </w:r>
          </w:p>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②能识读化工工艺图</w:t>
            </w:r>
          </w:p>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③能正确使用作图工具进行工艺图的标准化绘制</w:t>
            </w:r>
          </w:p>
          <w:p>
            <w:pPr>
              <w:autoSpaceDE w:val="0"/>
              <w:autoSpaceDN w:val="0"/>
              <w:ind w:firstLine="210" w:firstLineChars="1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④培养严谨认真的工作态度</w:t>
            </w:r>
          </w:p>
          <w:p>
            <w:pPr>
              <w:autoSpaceDE w:val="0"/>
              <w:autoSpaceDN w:val="0"/>
              <w:ind w:firstLine="210" w:firstLineChars="1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⑤培养良好的团队协作精神</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55" w:hRule="atLeast"/>
        </w:trPr>
        <w:tc>
          <w:tcPr>
            <w:tcW w:w="1006" w:type="dxa"/>
            <w:vMerge w:val="restart"/>
            <w:tcBorders>
              <w:tl2br w:val="nil"/>
              <w:tr2bl w:val="nil"/>
            </w:tcBorders>
            <w:noWrap/>
            <w:vAlign w:val="center"/>
          </w:tcPr>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3．化工单元操作控制</w:t>
            </w:r>
          </w:p>
        </w:tc>
        <w:tc>
          <w:tcPr>
            <w:tcW w:w="1694" w:type="dxa"/>
            <w:tcBorders>
              <w:tl2br w:val="nil"/>
              <w:tr2bl w:val="nil"/>
            </w:tcBorders>
            <w:noWrap/>
            <w:vAlign w:val="center"/>
          </w:tcPr>
          <w:p>
            <w:pPr>
              <w:autoSpaceDE w:val="0"/>
              <w:autoSpaceDN w:val="0"/>
              <w:ind w:firstLine="105" w:firstLineChars="50"/>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3.1 流体输送操作</w:t>
            </w:r>
          </w:p>
        </w:tc>
        <w:tc>
          <w:tcPr>
            <w:tcW w:w="6060" w:type="dxa"/>
            <w:tcBorders>
              <w:tl2br w:val="nil"/>
              <w:tr2bl w:val="nil"/>
            </w:tcBorders>
            <w:noWrap/>
          </w:tcPr>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①掌握常见流体输送设备的结构及使用方法</w:t>
            </w:r>
          </w:p>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②能按操作规程使用流体输送设备</w:t>
            </w:r>
          </w:p>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③能及时发现设备运行的不正常现象，采取有效、合理</w:t>
            </w:r>
          </w:p>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措施，处理紧急事故</w:t>
            </w:r>
          </w:p>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④培养分析问题，解决问题的能力</w:t>
            </w:r>
          </w:p>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⑤培养良好的的团队合作意识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907" w:hRule="atLeast"/>
        </w:trPr>
        <w:tc>
          <w:tcPr>
            <w:tcW w:w="1006" w:type="dxa"/>
            <w:vMerge w:val="continue"/>
            <w:tcBorders>
              <w:tl2br w:val="nil"/>
              <w:tr2bl w:val="nil"/>
            </w:tcBorders>
            <w:noWrap/>
            <w:vAlign w:val="center"/>
          </w:tcPr>
          <w:p>
            <w:pPr>
              <w:autoSpaceDE w:val="0"/>
              <w:autoSpaceDN w:val="0"/>
              <w:rPr>
                <w:rFonts w:hint="eastAsia" w:asciiTheme="minorEastAsia" w:hAnsiTheme="minorEastAsia" w:eastAsiaTheme="minorEastAsia" w:cstheme="minorEastAsia"/>
                <w:color w:val="auto"/>
                <w:kern w:val="0"/>
                <w:highlight w:val="none"/>
              </w:rPr>
            </w:pPr>
          </w:p>
        </w:tc>
        <w:tc>
          <w:tcPr>
            <w:tcW w:w="1694" w:type="dxa"/>
            <w:tcBorders>
              <w:tl2br w:val="nil"/>
              <w:tr2bl w:val="nil"/>
            </w:tcBorders>
            <w:noWrap/>
            <w:vAlign w:val="center"/>
          </w:tcPr>
          <w:p>
            <w:pPr>
              <w:autoSpaceDE w:val="0"/>
              <w:autoSpaceDN w:val="0"/>
              <w:ind w:firstLine="105" w:firstLineChars="50"/>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3.2 传热操作</w:t>
            </w:r>
          </w:p>
        </w:tc>
        <w:tc>
          <w:tcPr>
            <w:tcW w:w="6060" w:type="dxa"/>
            <w:tcBorders>
              <w:tl2br w:val="nil"/>
              <w:tr2bl w:val="nil"/>
            </w:tcBorders>
            <w:noWrap/>
          </w:tcPr>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①理解传热原理</w:t>
            </w:r>
          </w:p>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②能按操作规程进行传热操作</w:t>
            </w:r>
          </w:p>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③能及时发现设备运行的不正常现象，采取有效、合理</w:t>
            </w:r>
          </w:p>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措施，处理紧急事故</w:t>
            </w:r>
          </w:p>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④培养分析问题，解决问题的能力</w:t>
            </w:r>
          </w:p>
          <w:p>
            <w:pPr>
              <w:autoSpaceDE w:val="0"/>
              <w:autoSpaceDN w:val="0"/>
              <w:ind w:firstLine="210" w:firstLineChars="1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⑤培养良好的的团队合作意识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877" w:hRule="atLeast"/>
        </w:trPr>
        <w:tc>
          <w:tcPr>
            <w:tcW w:w="1006" w:type="dxa"/>
            <w:vMerge w:val="continue"/>
            <w:tcBorders>
              <w:tl2br w:val="nil"/>
              <w:tr2bl w:val="nil"/>
            </w:tcBorders>
            <w:noWrap/>
            <w:vAlign w:val="center"/>
          </w:tcPr>
          <w:p>
            <w:pPr>
              <w:autoSpaceDE w:val="0"/>
              <w:autoSpaceDN w:val="0"/>
              <w:rPr>
                <w:rFonts w:hint="eastAsia" w:asciiTheme="minorEastAsia" w:hAnsiTheme="minorEastAsia" w:eastAsiaTheme="minorEastAsia" w:cstheme="minorEastAsia"/>
                <w:color w:val="auto"/>
                <w:kern w:val="0"/>
                <w:highlight w:val="none"/>
              </w:rPr>
            </w:pPr>
          </w:p>
        </w:tc>
        <w:tc>
          <w:tcPr>
            <w:tcW w:w="1694" w:type="dxa"/>
            <w:tcBorders>
              <w:tl2br w:val="nil"/>
              <w:tr2bl w:val="nil"/>
            </w:tcBorders>
            <w:noWrap/>
            <w:vAlign w:val="center"/>
          </w:tcPr>
          <w:p>
            <w:pPr>
              <w:autoSpaceDE w:val="0"/>
              <w:autoSpaceDN w:val="0"/>
              <w:ind w:firstLine="105" w:firstLineChars="50"/>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3.3 精馏操作</w:t>
            </w:r>
          </w:p>
        </w:tc>
        <w:tc>
          <w:tcPr>
            <w:tcW w:w="6060" w:type="dxa"/>
            <w:tcBorders>
              <w:tl2br w:val="nil"/>
              <w:tr2bl w:val="nil"/>
            </w:tcBorders>
            <w:noWrap/>
          </w:tcPr>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①掌握常见精馏设备的结构及使用方法</w:t>
            </w:r>
          </w:p>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②能按操作规程进行精馏操作</w:t>
            </w:r>
          </w:p>
          <w:p>
            <w:pPr>
              <w:autoSpaceDE w:val="0"/>
              <w:autoSpaceDN w:val="0"/>
              <w:ind w:firstLine="210" w:firstLineChars="1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③能及时发现设备和仪表运行的不正常现象，采取有效、合理</w:t>
            </w:r>
          </w:p>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措施，处理紧急事故</w:t>
            </w:r>
          </w:p>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④培养分析问题，解决问题的能力</w:t>
            </w:r>
          </w:p>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⑤培养良好的的团队合作意识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909" w:hRule="atLeast"/>
        </w:trPr>
        <w:tc>
          <w:tcPr>
            <w:tcW w:w="1006" w:type="dxa"/>
            <w:vMerge w:val="continue"/>
            <w:tcBorders>
              <w:tl2br w:val="nil"/>
              <w:tr2bl w:val="nil"/>
            </w:tcBorders>
            <w:noWrap/>
            <w:vAlign w:val="center"/>
          </w:tcPr>
          <w:p>
            <w:pPr>
              <w:autoSpaceDE w:val="0"/>
              <w:autoSpaceDN w:val="0"/>
              <w:rPr>
                <w:rFonts w:hint="eastAsia" w:asciiTheme="minorEastAsia" w:hAnsiTheme="minorEastAsia" w:eastAsiaTheme="minorEastAsia" w:cstheme="minorEastAsia"/>
                <w:color w:val="auto"/>
                <w:kern w:val="0"/>
                <w:highlight w:val="none"/>
              </w:rPr>
            </w:pPr>
          </w:p>
        </w:tc>
        <w:tc>
          <w:tcPr>
            <w:tcW w:w="1694" w:type="dxa"/>
            <w:tcBorders>
              <w:tl2br w:val="nil"/>
              <w:tr2bl w:val="nil"/>
            </w:tcBorders>
            <w:noWrap/>
            <w:vAlign w:val="center"/>
          </w:tcPr>
          <w:p>
            <w:pPr>
              <w:autoSpaceDE w:val="0"/>
              <w:autoSpaceDN w:val="0"/>
              <w:ind w:firstLine="105" w:firstLineChars="50"/>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3.4吸收解析操作</w:t>
            </w:r>
          </w:p>
        </w:tc>
        <w:tc>
          <w:tcPr>
            <w:tcW w:w="6060" w:type="dxa"/>
            <w:tcBorders>
              <w:tl2br w:val="nil"/>
              <w:tr2bl w:val="nil"/>
            </w:tcBorders>
            <w:noWrap/>
          </w:tcPr>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①理解吸收解析的原理</w:t>
            </w:r>
          </w:p>
          <w:p>
            <w:pPr>
              <w:autoSpaceDE w:val="0"/>
              <w:autoSpaceDN w:val="0"/>
              <w:ind w:firstLine="210" w:firstLineChars="1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②按操作规程进行吸收解析操作</w:t>
            </w:r>
          </w:p>
          <w:p>
            <w:pPr>
              <w:autoSpaceDE w:val="0"/>
              <w:autoSpaceDN w:val="0"/>
              <w:ind w:firstLine="210" w:firstLineChars="1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③能及时发现设备和仪表运行的不正常现象，采取有效、合理</w:t>
            </w:r>
          </w:p>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措施，处理紧急事故</w:t>
            </w:r>
          </w:p>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④培养分析问题，解决问题的能力</w:t>
            </w:r>
          </w:p>
          <w:p>
            <w:pPr>
              <w:autoSpaceDE w:val="0"/>
              <w:autoSpaceDN w:val="0"/>
              <w:ind w:firstLine="210" w:firstLineChars="1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⑤培养良好的的团队合作意识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564" w:hRule="atLeast"/>
        </w:trPr>
        <w:tc>
          <w:tcPr>
            <w:tcW w:w="1006" w:type="dxa"/>
            <w:vMerge w:val="continue"/>
            <w:tcBorders>
              <w:tl2br w:val="nil"/>
              <w:tr2bl w:val="nil"/>
            </w:tcBorders>
            <w:noWrap/>
            <w:vAlign w:val="center"/>
          </w:tcPr>
          <w:p>
            <w:pPr>
              <w:autoSpaceDE w:val="0"/>
              <w:autoSpaceDN w:val="0"/>
              <w:rPr>
                <w:rFonts w:hint="eastAsia" w:asciiTheme="minorEastAsia" w:hAnsiTheme="minorEastAsia" w:eastAsiaTheme="minorEastAsia" w:cstheme="minorEastAsia"/>
                <w:color w:val="auto"/>
                <w:kern w:val="0"/>
                <w:highlight w:val="none"/>
              </w:rPr>
            </w:pPr>
          </w:p>
        </w:tc>
        <w:tc>
          <w:tcPr>
            <w:tcW w:w="1694" w:type="dxa"/>
            <w:tcBorders>
              <w:tl2br w:val="nil"/>
              <w:tr2bl w:val="nil"/>
            </w:tcBorders>
            <w:noWrap/>
            <w:vAlign w:val="center"/>
          </w:tcPr>
          <w:p>
            <w:pPr>
              <w:autoSpaceDE w:val="0"/>
              <w:autoSpaceDN w:val="0"/>
              <w:ind w:firstLine="105" w:firstLineChars="50"/>
              <w:jc w:val="center"/>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3.5干燥操作</w:t>
            </w:r>
          </w:p>
        </w:tc>
        <w:tc>
          <w:tcPr>
            <w:tcW w:w="6060" w:type="dxa"/>
            <w:tcBorders>
              <w:tl2br w:val="nil"/>
              <w:tr2bl w:val="nil"/>
            </w:tcBorders>
            <w:noWrap/>
          </w:tcPr>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①理解干燥操作的原理</w:t>
            </w:r>
          </w:p>
          <w:p>
            <w:pPr>
              <w:autoSpaceDE w:val="0"/>
              <w:autoSpaceDN w:val="0"/>
              <w:ind w:firstLine="210" w:firstLineChars="1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②按操作规程进行干燥操作</w:t>
            </w:r>
          </w:p>
          <w:p>
            <w:pPr>
              <w:autoSpaceDE w:val="0"/>
              <w:autoSpaceDN w:val="0"/>
              <w:ind w:firstLine="210" w:firstLineChars="1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③能及时发现设备和仪表运行的不正常现象，采取有效、合理</w:t>
            </w:r>
          </w:p>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措施，处理紧急事故</w:t>
            </w:r>
          </w:p>
          <w:p>
            <w:pPr>
              <w:autoSpaceDE w:val="0"/>
              <w:autoSpaceDN w:val="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 xml:space="preserve">  ④培养分析问题，解决问题的能力</w:t>
            </w:r>
          </w:p>
          <w:p>
            <w:pPr>
              <w:autoSpaceDE w:val="0"/>
              <w:autoSpaceDN w:val="0"/>
              <w:ind w:firstLine="210" w:firstLineChars="100"/>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kern w:val="0"/>
                <w:highlight w:val="none"/>
              </w:rPr>
              <w:t>⑤培养良好的的团队合作意识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893" w:hRule="atLeast"/>
        </w:trPr>
        <w:tc>
          <w:tcPr>
            <w:tcW w:w="1006" w:type="dxa"/>
            <w:vMerge w:val="continue"/>
            <w:tcBorders>
              <w:tl2br w:val="nil"/>
              <w:tr2bl w:val="nil"/>
            </w:tcBorders>
            <w:noWrap/>
            <w:vAlign w:val="center"/>
          </w:tcPr>
          <w:p>
            <w:pPr>
              <w:autoSpaceDE w:val="0"/>
              <w:autoSpaceDN w:val="0"/>
              <w:rPr>
                <w:rFonts w:ascii="仿宋" w:hAnsi="仿宋" w:eastAsia="仿宋" w:cs="仿宋"/>
                <w:color w:val="auto"/>
                <w:kern w:val="0"/>
                <w:highlight w:val="none"/>
              </w:rPr>
            </w:pPr>
          </w:p>
        </w:tc>
        <w:tc>
          <w:tcPr>
            <w:tcW w:w="1694" w:type="dxa"/>
            <w:tcBorders>
              <w:tl2br w:val="nil"/>
              <w:tr2bl w:val="nil"/>
            </w:tcBorders>
            <w:noWrap/>
            <w:vAlign w:val="center"/>
          </w:tcPr>
          <w:p>
            <w:pPr>
              <w:autoSpaceDE w:val="0"/>
              <w:autoSpaceDN w:val="0"/>
              <w:ind w:firstLine="105" w:firstLineChars="50"/>
              <w:jc w:val="center"/>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3.6萃取操作</w:t>
            </w:r>
          </w:p>
        </w:tc>
        <w:tc>
          <w:tcPr>
            <w:tcW w:w="6060" w:type="dxa"/>
            <w:tcBorders>
              <w:tl2br w:val="nil"/>
              <w:tr2bl w:val="nil"/>
            </w:tcBorders>
            <w:noWrap/>
          </w:tcPr>
          <w:p>
            <w:pPr>
              <w:autoSpaceDE w:val="0"/>
              <w:autoSpaceDN w:val="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①理解萃取操作的原理</w:t>
            </w:r>
          </w:p>
          <w:p>
            <w:pPr>
              <w:autoSpaceDE w:val="0"/>
              <w:autoSpaceDN w:val="0"/>
              <w:ind w:firstLine="210" w:firstLineChars="10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②按操作规程进行萃取操作</w:t>
            </w:r>
          </w:p>
          <w:p>
            <w:pPr>
              <w:autoSpaceDE w:val="0"/>
              <w:autoSpaceDN w:val="0"/>
              <w:ind w:firstLine="210" w:firstLineChars="10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③能及时发现设备和仪表运行的不正常现象，采取有效、合理</w:t>
            </w:r>
          </w:p>
          <w:p>
            <w:pPr>
              <w:autoSpaceDE w:val="0"/>
              <w:autoSpaceDN w:val="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措施，处理紧急事故</w:t>
            </w:r>
          </w:p>
          <w:p>
            <w:pPr>
              <w:autoSpaceDE w:val="0"/>
              <w:autoSpaceDN w:val="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 xml:space="preserve">  ④培养分析问题，解决问题的能力</w:t>
            </w:r>
          </w:p>
          <w:p>
            <w:pPr>
              <w:autoSpaceDE w:val="0"/>
              <w:autoSpaceDN w:val="0"/>
              <w:ind w:firstLine="210" w:firstLineChars="10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⑤培养良好的的团队合作意识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656" w:hRule="atLeast"/>
        </w:trPr>
        <w:tc>
          <w:tcPr>
            <w:tcW w:w="1006" w:type="dxa"/>
            <w:vMerge w:val="restart"/>
            <w:tcBorders>
              <w:tl2br w:val="nil"/>
              <w:tr2bl w:val="nil"/>
            </w:tcBorders>
            <w:noWrap/>
            <w:vAlign w:val="center"/>
          </w:tcPr>
          <w:p>
            <w:pPr>
              <w:autoSpaceDE w:val="0"/>
              <w:autoSpaceDN w:val="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4．化工设备的使用与维护</w:t>
            </w:r>
          </w:p>
        </w:tc>
        <w:tc>
          <w:tcPr>
            <w:tcW w:w="1694" w:type="dxa"/>
            <w:tcBorders>
              <w:tl2br w:val="nil"/>
              <w:tr2bl w:val="nil"/>
            </w:tcBorders>
            <w:noWrap/>
            <w:vAlign w:val="center"/>
          </w:tcPr>
          <w:p>
            <w:pPr>
              <w:autoSpaceDE w:val="0"/>
              <w:autoSpaceDN w:val="0"/>
              <w:jc w:val="center"/>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4.1换热器</w:t>
            </w:r>
          </w:p>
        </w:tc>
        <w:tc>
          <w:tcPr>
            <w:tcW w:w="6060" w:type="dxa"/>
            <w:tcBorders>
              <w:tl2br w:val="nil"/>
              <w:tr2bl w:val="nil"/>
            </w:tcBorders>
            <w:noWrap/>
          </w:tcPr>
          <w:p>
            <w:pPr>
              <w:autoSpaceDE w:val="0"/>
              <w:autoSpaceDN w:val="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①理解换热操作的原理</w:t>
            </w:r>
          </w:p>
          <w:p>
            <w:pPr>
              <w:autoSpaceDE w:val="0"/>
              <w:autoSpaceDN w:val="0"/>
              <w:ind w:firstLine="210" w:firstLineChars="10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②按操作规程进行换热操作</w:t>
            </w:r>
          </w:p>
          <w:p>
            <w:pPr>
              <w:autoSpaceDE w:val="0"/>
              <w:autoSpaceDN w:val="0"/>
              <w:ind w:firstLine="210" w:firstLineChars="10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③能及时发现设备和仪表运行的不正常现象，采取有效、合理</w:t>
            </w:r>
          </w:p>
          <w:p>
            <w:pPr>
              <w:autoSpaceDE w:val="0"/>
              <w:autoSpaceDN w:val="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措施，处理紧急事故</w:t>
            </w:r>
          </w:p>
          <w:p>
            <w:pPr>
              <w:autoSpaceDE w:val="0"/>
              <w:autoSpaceDN w:val="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 xml:space="preserve">  ④培养分析问题，解决问题的能力</w:t>
            </w:r>
          </w:p>
          <w:p>
            <w:pPr>
              <w:autoSpaceDE w:val="0"/>
              <w:autoSpaceDN w:val="0"/>
              <w:ind w:firstLine="210" w:firstLineChars="10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⑤培养良好的的团队合作意识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367" w:hRule="atLeast"/>
        </w:trPr>
        <w:tc>
          <w:tcPr>
            <w:tcW w:w="1006" w:type="dxa"/>
            <w:vMerge w:val="continue"/>
            <w:tcBorders>
              <w:tl2br w:val="nil"/>
              <w:tr2bl w:val="nil"/>
            </w:tcBorders>
            <w:noWrap/>
            <w:vAlign w:val="center"/>
          </w:tcPr>
          <w:p>
            <w:pPr>
              <w:autoSpaceDE w:val="0"/>
              <w:autoSpaceDN w:val="0"/>
              <w:rPr>
                <w:rFonts w:hint="eastAsia" w:asciiTheme="majorEastAsia" w:hAnsiTheme="majorEastAsia" w:eastAsiaTheme="majorEastAsia" w:cstheme="majorEastAsia"/>
                <w:color w:val="auto"/>
                <w:kern w:val="0"/>
                <w:highlight w:val="none"/>
              </w:rPr>
            </w:pPr>
          </w:p>
        </w:tc>
        <w:tc>
          <w:tcPr>
            <w:tcW w:w="1694" w:type="dxa"/>
            <w:tcBorders>
              <w:bottom w:val="single" w:color="auto" w:sz="4" w:space="0"/>
              <w:tl2br w:val="nil"/>
              <w:tr2bl w:val="nil"/>
            </w:tcBorders>
            <w:noWrap/>
            <w:vAlign w:val="center"/>
          </w:tcPr>
          <w:p>
            <w:pPr>
              <w:autoSpaceDE w:val="0"/>
              <w:autoSpaceDN w:val="0"/>
              <w:jc w:val="center"/>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4.2管路拆装</w:t>
            </w:r>
          </w:p>
        </w:tc>
        <w:tc>
          <w:tcPr>
            <w:tcW w:w="6060" w:type="dxa"/>
            <w:tcBorders>
              <w:bottom w:val="single" w:color="auto" w:sz="4" w:space="0"/>
              <w:tl2br w:val="nil"/>
              <w:tr2bl w:val="nil"/>
            </w:tcBorders>
            <w:noWrap/>
          </w:tcPr>
          <w:p>
            <w:pPr>
              <w:autoSpaceDE w:val="0"/>
              <w:autoSpaceDN w:val="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①理解管路拆装的原理</w:t>
            </w:r>
          </w:p>
          <w:p>
            <w:pPr>
              <w:autoSpaceDE w:val="0"/>
              <w:autoSpaceDN w:val="0"/>
              <w:ind w:firstLine="210" w:firstLineChars="10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②按操作规程进行管路拆装</w:t>
            </w:r>
          </w:p>
          <w:p>
            <w:pPr>
              <w:autoSpaceDE w:val="0"/>
              <w:autoSpaceDN w:val="0"/>
              <w:ind w:firstLine="210" w:firstLineChars="10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③能及时发现设备和仪表运行的不正常现象，采取有效、合理</w:t>
            </w:r>
          </w:p>
          <w:p>
            <w:pPr>
              <w:autoSpaceDE w:val="0"/>
              <w:autoSpaceDN w:val="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措施，处理紧急事故</w:t>
            </w:r>
          </w:p>
          <w:p>
            <w:pPr>
              <w:autoSpaceDE w:val="0"/>
              <w:autoSpaceDN w:val="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 xml:space="preserve">  ④培养分析问题，解决问题的能力</w:t>
            </w:r>
          </w:p>
          <w:p>
            <w:pPr>
              <w:autoSpaceDE w:val="0"/>
              <w:autoSpaceDN w:val="0"/>
              <w:ind w:firstLine="210" w:firstLineChars="10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⑤培养良好的的团队合作意识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594" w:hRule="atLeast"/>
        </w:trPr>
        <w:tc>
          <w:tcPr>
            <w:tcW w:w="1006" w:type="dxa"/>
            <w:vMerge w:val="restart"/>
            <w:tcBorders>
              <w:tl2br w:val="nil"/>
              <w:tr2bl w:val="nil"/>
            </w:tcBorders>
            <w:noWrap/>
            <w:vAlign w:val="center"/>
          </w:tcPr>
          <w:p>
            <w:pPr>
              <w:autoSpaceDE w:val="0"/>
              <w:autoSpaceDN w:val="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5.职业道德培养培养</w:t>
            </w:r>
          </w:p>
        </w:tc>
        <w:tc>
          <w:tcPr>
            <w:tcW w:w="1694" w:type="dxa"/>
            <w:tcBorders>
              <w:tl2br w:val="nil"/>
              <w:tr2bl w:val="nil"/>
            </w:tcBorders>
            <w:noWrap/>
            <w:vAlign w:val="center"/>
          </w:tcPr>
          <w:p>
            <w:pPr>
              <w:autoSpaceDE w:val="0"/>
              <w:autoSpaceDN w:val="0"/>
              <w:ind w:firstLine="105" w:firstLineChars="50"/>
              <w:jc w:val="center"/>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5.1化工生产安全意识培养</w:t>
            </w:r>
          </w:p>
        </w:tc>
        <w:tc>
          <w:tcPr>
            <w:tcW w:w="6060" w:type="dxa"/>
            <w:tcBorders>
              <w:tl2br w:val="nil"/>
              <w:tr2bl w:val="nil"/>
            </w:tcBorders>
            <w:noWrap/>
          </w:tcPr>
          <w:p>
            <w:pPr>
              <w:autoSpaceDE w:val="0"/>
              <w:autoSpaceDN w:val="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 xml:space="preserve">  ①牢记基本的化工生产安全知识</w:t>
            </w:r>
          </w:p>
          <w:p>
            <w:pPr>
              <w:autoSpaceDE w:val="0"/>
              <w:autoSpaceDN w:val="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 xml:space="preserve">  ②能够使用化工生产现场的安全器材处理化工生产中可能发生的安全事故</w:t>
            </w:r>
          </w:p>
          <w:p>
            <w:pPr>
              <w:autoSpaceDE w:val="0"/>
              <w:autoSpaceDN w:val="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 xml:space="preserve">  ③培养化工生产安全意识</w:t>
            </w:r>
          </w:p>
          <w:p>
            <w:pPr>
              <w:autoSpaceDE w:val="0"/>
              <w:autoSpaceDN w:val="0"/>
              <w:ind w:firstLine="210" w:firstLineChars="10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④培养分析问题，解决问题的能力</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011" w:hRule="atLeast"/>
        </w:trPr>
        <w:tc>
          <w:tcPr>
            <w:tcW w:w="1006" w:type="dxa"/>
            <w:vMerge w:val="continue"/>
            <w:tcBorders>
              <w:tl2br w:val="nil"/>
              <w:tr2bl w:val="nil"/>
            </w:tcBorders>
            <w:noWrap/>
            <w:vAlign w:val="center"/>
          </w:tcPr>
          <w:p>
            <w:pPr>
              <w:autoSpaceDE w:val="0"/>
              <w:autoSpaceDN w:val="0"/>
              <w:rPr>
                <w:rFonts w:ascii="仿宋" w:hAnsi="仿宋" w:eastAsia="仿宋" w:cs="仿宋"/>
                <w:color w:val="auto"/>
                <w:kern w:val="0"/>
                <w:highlight w:val="none"/>
              </w:rPr>
            </w:pPr>
          </w:p>
        </w:tc>
        <w:tc>
          <w:tcPr>
            <w:tcW w:w="1694" w:type="dxa"/>
            <w:tcBorders>
              <w:tl2br w:val="nil"/>
              <w:tr2bl w:val="nil"/>
            </w:tcBorders>
            <w:noWrap/>
            <w:vAlign w:val="center"/>
          </w:tcPr>
          <w:p>
            <w:pPr>
              <w:autoSpaceDE w:val="0"/>
              <w:autoSpaceDN w:val="0"/>
              <w:jc w:val="center"/>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 xml:space="preserve"> 5.2化工生产环保意识培养</w:t>
            </w:r>
          </w:p>
        </w:tc>
        <w:tc>
          <w:tcPr>
            <w:tcW w:w="6060" w:type="dxa"/>
            <w:tcBorders>
              <w:tl2br w:val="nil"/>
              <w:tr2bl w:val="nil"/>
            </w:tcBorders>
            <w:noWrap/>
          </w:tcPr>
          <w:p>
            <w:pPr>
              <w:autoSpaceDE w:val="0"/>
              <w:autoSpaceDN w:val="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 xml:space="preserve">  ①掌握基本的化工生产环保知识</w:t>
            </w:r>
          </w:p>
          <w:p>
            <w:pPr>
              <w:autoSpaceDE w:val="0"/>
              <w:autoSpaceDN w:val="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 xml:space="preserve">  ②培养化工生产环保意识</w:t>
            </w:r>
          </w:p>
          <w:p>
            <w:pPr>
              <w:autoSpaceDE w:val="0"/>
              <w:autoSpaceDN w:val="0"/>
              <w:ind w:firstLine="210" w:firstLineChars="100"/>
              <w:rPr>
                <w:rFonts w:hint="eastAsia" w:asciiTheme="majorEastAsia" w:hAnsiTheme="majorEastAsia" w:eastAsiaTheme="majorEastAsia" w:cstheme="majorEastAsia"/>
                <w:color w:val="auto"/>
                <w:kern w:val="0"/>
                <w:highlight w:val="none"/>
              </w:rPr>
            </w:pPr>
            <w:r>
              <w:rPr>
                <w:rFonts w:hint="eastAsia" w:asciiTheme="majorEastAsia" w:hAnsiTheme="majorEastAsia" w:eastAsiaTheme="majorEastAsia" w:cstheme="majorEastAsia"/>
                <w:color w:val="auto"/>
                <w:kern w:val="0"/>
                <w:highlight w:val="none"/>
              </w:rPr>
              <w:t>③3培养分析问题，解决问题的能力</w:t>
            </w:r>
          </w:p>
        </w:tc>
      </w:tr>
    </w:tbl>
    <w:p>
      <w:pPr>
        <w:spacing w:line="360" w:lineRule="auto"/>
        <w:rPr>
          <w:rFonts w:ascii="黑体" w:hAnsi="黑体" w:eastAsia="黑体" w:cs="黑体"/>
          <w:bCs/>
          <w:color w:val="auto"/>
          <w:sz w:val="30"/>
          <w:szCs w:val="30"/>
          <w:highlight w:val="none"/>
        </w:rPr>
      </w:pPr>
    </w:p>
    <w:p>
      <w:pPr>
        <w:spacing w:line="360" w:lineRule="auto"/>
        <w:ind w:firstLine="300" w:firstLineChars="100"/>
        <w:rPr>
          <w:rFonts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（三）课程体系设置</w:t>
      </w:r>
    </w:p>
    <w:p>
      <w:pPr>
        <w:spacing w:line="360" w:lineRule="auto"/>
        <w:ind w:firstLine="493"/>
        <w:rPr>
          <w:rFonts w:ascii="宋体" w:hAnsi="宋体" w:eastAsia="宋体" w:cs="Times New Roman"/>
          <w:color w:val="auto"/>
          <w:sz w:val="24"/>
          <w:highlight w:val="none"/>
        </w:rPr>
      </w:pPr>
      <w:r>
        <w:rPr>
          <w:rFonts w:hint="eastAsia" w:ascii="宋体" w:hAnsi="宋体" w:eastAsia="宋体" w:cs="Times New Roman"/>
          <w:color w:val="auto"/>
          <w:sz w:val="24"/>
          <w:highlight w:val="none"/>
        </w:rPr>
        <w:t>依据高等职业学校煤化工专业标准、行业企业标准和职业岗位的任职需求，经过论证，煤化工技术形成了本专业的课程体系，具体如下：</w:t>
      </w:r>
    </w:p>
    <w:p>
      <w:pPr>
        <w:spacing w:before="312" w:beforeLines="100" w:after="312" w:afterLines="100"/>
        <w:ind w:firstLine="493"/>
        <w:jc w:val="center"/>
        <w:rPr>
          <w:rFonts w:ascii="宋体" w:hAnsi="宋体" w:cs="宋体"/>
          <w:b/>
          <w:bCs/>
          <w:color w:val="auto"/>
          <w:kern w:val="0"/>
          <w:sz w:val="24"/>
          <w:highlight w:val="none"/>
        </w:rPr>
      </w:pPr>
      <w:r>
        <w:rPr>
          <w:rFonts w:hint="eastAsia" w:ascii="宋体" w:hAnsi="宋体"/>
          <w:b/>
          <w:bCs/>
          <w:color w:val="auto"/>
          <w:sz w:val="24"/>
          <w:highlight w:val="none"/>
        </w:rPr>
        <w:t>煤化工技术</w:t>
      </w:r>
      <w:r>
        <w:rPr>
          <w:rFonts w:hint="eastAsia" w:ascii="宋体" w:hAnsi="宋体" w:cs="宋体"/>
          <w:b/>
          <w:bCs/>
          <w:color w:val="auto"/>
          <w:kern w:val="0"/>
          <w:sz w:val="24"/>
          <w:highlight w:val="none"/>
        </w:rPr>
        <w:t>专业的课程体系</w:t>
      </w:r>
    </w:p>
    <w:tbl>
      <w:tblPr>
        <w:tblStyle w:val="14"/>
        <w:tblW w:w="938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88"/>
        <w:gridCol w:w="524"/>
        <w:gridCol w:w="1213"/>
        <w:gridCol w:w="910"/>
        <w:gridCol w:w="440"/>
        <w:gridCol w:w="666"/>
        <w:gridCol w:w="550"/>
        <w:gridCol w:w="549"/>
        <w:gridCol w:w="615"/>
        <w:gridCol w:w="615"/>
        <w:gridCol w:w="660"/>
        <w:gridCol w:w="660"/>
        <w:gridCol w:w="129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 w:hRule="atLeast"/>
          <w:tblHeader/>
          <w:jc w:val="center"/>
        </w:trPr>
        <w:tc>
          <w:tcPr>
            <w:tcW w:w="688" w:type="dxa"/>
            <w:vMerge w:val="restart"/>
            <w:tcBorders>
              <w:top w:val="single" w:color="auto" w:sz="12" w:space="0"/>
              <w:left w:val="single" w:color="auto" w:sz="12" w:space="0"/>
              <w:bottom w:val="single" w:color="auto" w:sz="6" w:space="0"/>
              <w:right w:val="single" w:color="auto" w:sz="6" w:space="0"/>
            </w:tcBorders>
            <w:shd w:val="clear" w:color="auto" w:fill="E6E6E6"/>
            <w:noWrap/>
            <w:vAlign w:val="center"/>
          </w:tcPr>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课程类别</w:t>
            </w:r>
          </w:p>
        </w:tc>
        <w:tc>
          <w:tcPr>
            <w:tcW w:w="1737" w:type="dxa"/>
            <w:gridSpan w:val="2"/>
            <w:vMerge w:val="restart"/>
            <w:tcBorders>
              <w:top w:val="single" w:color="auto" w:sz="12" w:space="0"/>
              <w:left w:val="single" w:color="auto" w:sz="6" w:space="0"/>
              <w:bottom w:val="single" w:color="auto" w:sz="6" w:space="0"/>
              <w:right w:val="single" w:color="auto" w:sz="6" w:space="0"/>
            </w:tcBorders>
            <w:shd w:val="clear" w:color="auto" w:fill="E6E6E6"/>
            <w:noWrap/>
            <w:vAlign w:val="center"/>
          </w:tcPr>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课程名称</w:t>
            </w:r>
          </w:p>
        </w:tc>
        <w:tc>
          <w:tcPr>
            <w:tcW w:w="910" w:type="dxa"/>
            <w:vMerge w:val="restart"/>
            <w:tcBorders>
              <w:top w:val="single" w:color="auto" w:sz="12" w:space="0"/>
              <w:left w:val="single" w:color="auto" w:sz="6" w:space="0"/>
              <w:bottom w:val="single" w:color="auto" w:sz="6" w:space="0"/>
              <w:right w:val="single" w:color="auto" w:sz="6" w:space="0"/>
            </w:tcBorders>
            <w:shd w:val="clear" w:color="auto" w:fill="E6E6E6"/>
            <w:noWrap/>
            <w:vAlign w:val="center"/>
          </w:tcPr>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课程性质</w:t>
            </w:r>
          </w:p>
        </w:tc>
        <w:tc>
          <w:tcPr>
            <w:tcW w:w="440" w:type="dxa"/>
            <w:vMerge w:val="restart"/>
            <w:tcBorders>
              <w:top w:val="single" w:color="auto" w:sz="12" w:space="0"/>
              <w:left w:val="single" w:color="auto" w:sz="6" w:space="0"/>
              <w:bottom w:val="single" w:color="auto" w:sz="6" w:space="0"/>
              <w:right w:val="single" w:color="auto" w:sz="4" w:space="0"/>
            </w:tcBorders>
            <w:shd w:val="clear" w:color="auto" w:fill="E6E6E6"/>
            <w:noWrap/>
            <w:vAlign w:val="center"/>
          </w:tcPr>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课程类型</w:t>
            </w:r>
          </w:p>
        </w:tc>
        <w:tc>
          <w:tcPr>
            <w:tcW w:w="666" w:type="dxa"/>
            <w:vMerge w:val="restart"/>
            <w:tcBorders>
              <w:top w:val="single" w:color="auto" w:sz="12" w:space="0"/>
              <w:left w:val="single" w:color="auto" w:sz="4" w:space="0"/>
              <w:bottom w:val="single" w:color="auto" w:sz="6" w:space="0"/>
              <w:right w:val="single" w:color="auto" w:sz="6" w:space="0"/>
            </w:tcBorders>
            <w:shd w:val="clear" w:color="auto" w:fill="E6E6E6"/>
            <w:noWrap/>
            <w:vAlign w:val="center"/>
          </w:tcPr>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学时小计</w:t>
            </w:r>
          </w:p>
        </w:tc>
        <w:tc>
          <w:tcPr>
            <w:tcW w:w="3649" w:type="dxa"/>
            <w:gridSpan w:val="6"/>
            <w:tcBorders>
              <w:top w:val="single" w:color="auto" w:sz="12" w:space="0"/>
              <w:left w:val="single" w:color="auto" w:sz="6" w:space="0"/>
              <w:bottom w:val="single" w:color="auto" w:sz="6" w:space="0"/>
              <w:right w:val="single" w:color="auto" w:sz="6" w:space="0"/>
            </w:tcBorders>
            <w:shd w:val="clear" w:color="auto" w:fill="E6E6E6"/>
            <w:noWrap/>
            <w:vAlign w:val="center"/>
          </w:tcPr>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参考学时数（学期课时数）</w:t>
            </w:r>
          </w:p>
        </w:tc>
        <w:tc>
          <w:tcPr>
            <w:tcW w:w="1294" w:type="dxa"/>
            <w:tcBorders>
              <w:top w:val="single" w:color="auto" w:sz="12" w:space="0"/>
              <w:left w:val="single" w:color="auto" w:sz="6" w:space="0"/>
              <w:bottom w:val="single" w:color="auto" w:sz="6" w:space="0"/>
              <w:right w:val="single" w:color="auto" w:sz="12" w:space="0"/>
            </w:tcBorders>
            <w:shd w:val="clear" w:color="auto" w:fill="E6E6E6"/>
            <w:noWrap/>
            <w:vAlign w:val="center"/>
          </w:tcPr>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 w:hRule="atLeast"/>
          <w:tblHeader/>
          <w:jc w:val="center"/>
        </w:trPr>
        <w:tc>
          <w:tcPr>
            <w:tcW w:w="688" w:type="dxa"/>
            <w:vMerge w:val="continue"/>
            <w:tcBorders>
              <w:top w:val="single" w:color="auto" w:sz="12" w:space="0"/>
              <w:left w:val="single" w:color="auto" w:sz="12" w:space="0"/>
              <w:bottom w:val="single" w:color="auto" w:sz="6" w:space="0"/>
              <w:right w:val="single" w:color="auto" w:sz="6" w:space="0"/>
            </w:tcBorders>
            <w:shd w:val="clear" w:color="auto" w:fill="auto"/>
            <w:noWrap/>
            <w:vAlign w:val="center"/>
          </w:tcPr>
          <w:p>
            <w:pPr>
              <w:widowControl/>
              <w:spacing w:line="240" w:lineRule="exact"/>
              <w:jc w:val="left"/>
              <w:rPr>
                <w:rFonts w:ascii="仿宋_GB2312" w:hAnsi="仿宋_GB2312" w:eastAsia="仿宋_GB2312" w:cs="宋体"/>
                <w:b/>
                <w:bCs/>
                <w:color w:val="auto"/>
                <w:kern w:val="0"/>
                <w:szCs w:val="21"/>
                <w:highlight w:val="none"/>
              </w:rPr>
            </w:pPr>
          </w:p>
        </w:tc>
        <w:tc>
          <w:tcPr>
            <w:tcW w:w="1737" w:type="dxa"/>
            <w:gridSpan w:val="2"/>
            <w:vMerge w:val="continue"/>
            <w:tcBorders>
              <w:top w:val="single" w:color="auto" w:sz="12" w:space="0"/>
              <w:left w:val="single" w:color="auto" w:sz="6" w:space="0"/>
              <w:bottom w:val="single" w:color="auto" w:sz="6" w:space="0"/>
              <w:right w:val="single" w:color="auto" w:sz="6" w:space="0"/>
            </w:tcBorders>
            <w:shd w:val="clear" w:color="auto" w:fill="auto"/>
            <w:noWrap/>
            <w:vAlign w:val="center"/>
          </w:tcPr>
          <w:p>
            <w:pPr>
              <w:widowControl/>
              <w:spacing w:line="240" w:lineRule="exact"/>
              <w:jc w:val="left"/>
              <w:rPr>
                <w:rFonts w:ascii="仿宋_GB2312" w:hAnsi="仿宋_GB2312" w:eastAsia="仿宋_GB2312" w:cs="宋体"/>
                <w:b/>
                <w:bCs/>
                <w:color w:val="auto"/>
                <w:kern w:val="0"/>
                <w:szCs w:val="21"/>
                <w:highlight w:val="none"/>
              </w:rPr>
            </w:pPr>
          </w:p>
        </w:tc>
        <w:tc>
          <w:tcPr>
            <w:tcW w:w="910" w:type="dxa"/>
            <w:vMerge w:val="continue"/>
            <w:tcBorders>
              <w:top w:val="single" w:color="auto" w:sz="12" w:space="0"/>
              <w:left w:val="single" w:color="auto" w:sz="6" w:space="0"/>
              <w:bottom w:val="single" w:color="auto" w:sz="6" w:space="0"/>
              <w:right w:val="single" w:color="auto" w:sz="6" w:space="0"/>
            </w:tcBorders>
            <w:shd w:val="clear" w:color="auto" w:fill="auto"/>
            <w:noWrap/>
            <w:vAlign w:val="center"/>
          </w:tcPr>
          <w:p>
            <w:pPr>
              <w:widowControl/>
              <w:spacing w:line="240" w:lineRule="exact"/>
              <w:jc w:val="left"/>
              <w:rPr>
                <w:rFonts w:ascii="仿宋_GB2312" w:hAnsi="仿宋_GB2312" w:eastAsia="仿宋_GB2312" w:cs="宋体"/>
                <w:b/>
                <w:bCs/>
                <w:color w:val="auto"/>
                <w:kern w:val="0"/>
                <w:szCs w:val="21"/>
                <w:highlight w:val="none"/>
              </w:rPr>
            </w:pPr>
          </w:p>
        </w:tc>
        <w:tc>
          <w:tcPr>
            <w:tcW w:w="440" w:type="dxa"/>
            <w:vMerge w:val="continue"/>
            <w:tcBorders>
              <w:top w:val="single" w:color="auto" w:sz="12" w:space="0"/>
              <w:left w:val="single" w:color="auto" w:sz="6" w:space="0"/>
              <w:bottom w:val="single" w:color="auto" w:sz="6" w:space="0"/>
              <w:right w:val="single" w:color="auto" w:sz="4" w:space="0"/>
            </w:tcBorders>
            <w:shd w:val="clear" w:color="auto" w:fill="auto"/>
            <w:noWrap/>
            <w:vAlign w:val="center"/>
          </w:tcPr>
          <w:p>
            <w:pPr>
              <w:widowControl/>
              <w:spacing w:line="240" w:lineRule="exact"/>
              <w:jc w:val="left"/>
              <w:rPr>
                <w:rFonts w:ascii="Calibri" w:hAnsi="Calibri" w:eastAsia="仿宋_GB2312" w:cs="宋体"/>
                <w:color w:val="auto"/>
                <w:szCs w:val="21"/>
                <w:highlight w:val="none"/>
              </w:rPr>
            </w:pPr>
          </w:p>
        </w:tc>
        <w:tc>
          <w:tcPr>
            <w:tcW w:w="666" w:type="dxa"/>
            <w:vMerge w:val="continue"/>
            <w:tcBorders>
              <w:top w:val="single" w:color="auto" w:sz="12" w:space="0"/>
              <w:left w:val="single" w:color="auto" w:sz="4" w:space="0"/>
              <w:bottom w:val="single" w:color="auto" w:sz="6" w:space="0"/>
              <w:right w:val="single" w:color="auto" w:sz="6" w:space="0"/>
            </w:tcBorders>
            <w:shd w:val="clear" w:color="auto" w:fill="auto"/>
            <w:noWrap/>
            <w:vAlign w:val="center"/>
          </w:tcPr>
          <w:p>
            <w:pPr>
              <w:widowControl/>
              <w:spacing w:line="240" w:lineRule="exact"/>
              <w:jc w:val="left"/>
              <w:rPr>
                <w:rFonts w:ascii="仿宋_GB2312" w:hAnsi="仿宋_GB2312" w:eastAsia="仿宋_GB2312" w:cs="宋体"/>
                <w:b/>
                <w:bCs/>
                <w:color w:val="auto"/>
                <w:kern w:val="0"/>
                <w:szCs w:val="21"/>
                <w:highlight w:val="none"/>
              </w:rPr>
            </w:pPr>
          </w:p>
        </w:tc>
        <w:tc>
          <w:tcPr>
            <w:tcW w:w="1099" w:type="dxa"/>
            <w:gridSpan w:val="2"/>
            <w:tcBorders>
              <w:top w:val="single" w:color="auto" w:sz="6" w:space="0"/>
              <w:left w:val="single" w:color="auto" w:sz="6" w:space="0"/>
              <w:bottom w:val="single" w:color="auto" w:sz="6" w:space="0"/>
              <w:right w:val="single" w:color="auto" w:sz="6" w:space="0"/>
            </w:tcBorders>
            <w:shd w:val="clear" w:color="auto" w:fill="E6E6E6"/>
            <w:noWrap/>
            <w:vAlign w:val="center"/>
          </w:tcPr>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第一</w:t>
            </w:r>
          </w:p>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学年</w:t>
            </w:r>
          </w:p>
        </w:tc>
        <w:tc>
          <w:tcPr>
            <w:tcW w:w="1230" w:type="dxa"/>
            <w:gridSpan w:val="2"/>
            <w:tcBorders>
              <w:top w:val="single" w:color="auto" w:sz="6" w:space="0"/>
              <w:left w:val="single" w:color="auto" w:sz="6" w:space="0"/>
              <w:bottom w:val="single" w:color="auto" w:sz="6" w:space="0"/>
              <w:right w:val="single" w:color="auto" w:sz="6" w:space="0"/>
            </w:tcBorders>
            <w:shd w:val="clear" w:color="auto" w:fill="E6E6E6"/>
            <w:noWrap/>
            <w:vAlign w:val="center"/>
          </w:tcPr>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第二</w:t>
            </w:r>
          </w:p>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学年</w:t>
            </w:r>
          </w:p>
        </w:tc>
        <w:tc>
          <w:tcPr>
            <w:tcW w:w="1320" w:type="dxa"/>
            <w:gridSpan w:val="2"/>
            <w:tcBorders>
              <w:top w:val="single" w:color="auto" w:sz="6" w:space="0"/>
              <w:left w:val="single" w:color="auto" w:sz="6" w:space="0"/>
              <w:bottom w:val="single" w:color="auto" w:sz="6" w:space="0"/>
              <w:right w:val="single" w:color="auto" w:sz="6" w:space="0"/>
            </w:tcBorders>
            <w:shd w:val="clear" w:color="auto" w:fill="E6E6E6"/>
            <w:noWrap/>
            <w:vAlign w:val="center"/>
          </w:tcPr>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第三</w:t>
            </w:r>
          </w:p>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学年</w:t>
            </w:r>
          </w:p>
        </w:tc>
        <w:tc>
          <w:tcPr>
            <w:tcW w:w="1294" w:type="dxa"/>
            <w:tcBorders>
              <w:top w:val="single" w:color="auto" w:sz="12" w:space="0"/>
              <w:left w:val="single" w:color="auto" w:sz="6" w:space="0"/>
              <w:bottom w:val="single" w:color="auto" w:sz="6" w:space="0"/>
              <w:right w:val="single" w:color="auto" w:sz="12" w:space="0"/>
            </w:tcBorders>
            <w:noWrap/>
            <w:vAlign w:val="center"/>
          </w:tcPr>
          <w:p>
            <w:pPr>
              <w:widowControl/>
              <w:spacing w:line="240" w:lineRule="exact"/>
              <w:jc w:val="left"/>
              <w:rPr>
                <w:rFonts w:ascii="仿宋_GB2312" w:hAnsi="仿宋_GB2312" w:eastAsia="仿宋_GB2312" w:cs="宋体"/>
                <w:b/>
                <w:bCs/>
                <w:color w:val="auto"/>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688" w:type="dxa"/>
            <w:vMerge w:val="restart"/>
            <w:tcBorders>
              <w:top w:val="single" w:color="auto" w:sz="6" w:space="0"/>
              <w:left w:val="single" w:color="auto" w:sz="12" w:space="0"/>
              <w:bottom w:val="single" w:color="auto" w:sz="6" w:space="0"/>
              <w:right w:val="single" w:color="auto" w:sz="6" w:space="0"/>
            </w:tcBorders>
            <w:noWrap/>
            <w:textDirection w:val="tbRlV"/>
            <w:vAlign w:val="center"/>
          </w:tcPr>
          <w:p>
            <w:pPr>
              <w:widowControl/>
              <w:spacing w:line="360" w:lineRule="auto"/>
              <w:ind w:left="113" w:right="113"/>
              <w:jc w:val="center"/>
              <w:rPr>
                <w:rFonts w:ascii="宋体" w:hAnsi="宋体" w:eastAsia="宋体" w:cs="宋体"/>
                <w:b/>
                <w:color w:val="auto"/>
                <w:kern w:val="0"/>
                <w:szCs w:val="18"/>
                <w:highlight w:val="none"/>
              </w:rPr>
            </w:pPr>
            <w:r>
              <w:rPr>
                <w:rFonts w:hint="eastAsia" w:ascii="宋体" w:hAnsi="宋体" w:cs="宋体"/>
                <w:b/>
                <w:color w:val="auto"/>
                <w:kern w:val="0"/>
                <w:szCs w:val="18"/>
                <w:highlight w:val="none"/>
              </w:rPr>
              <w:t>公共基础课程</w:t>
            </w: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高职语文与中华传统文化</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68</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32</w:t>
            </w:r>
          </w:p>
        </w:tc>
        <w:tc>
          <w:tcPr>
            <w:tcW w:w="54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36</w:t>
            </w: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color w:val="auto"/>
                <w:szCs w:val="18"/>
                <w:highlight w:val="none"/>
              </w:rPr>
            </w:pPr>
            <w:r>
              <w:rPr>
                <w:rFonts w:hint="eastAsia" w:ascii="宋体" w:hAnsi="宋体"/>
                <w:color w:val="auto"/>
                <w:szCs w:val="18"/>
                <w:highlight w:val="none"/>
              </w:rPr>
              <w:t>实践20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高职数学</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100</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64</w:t>
            </w:r>
          </w:p>
        </w:tc>
        <w:tc>
          <w:tcPr>
            <w:tcW w:w="54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36</w:t>
            </w: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color w:val="auto"/>
                <w:szCs w:val="18"/>
                <w:highlight w:val="none"/>
              </w:rPr>
            </w:pPr>
            <w:r>
              <w:rPr>
                <w:rFonts w:hint="eastAsia" w:ascii="宋体" w:hAnsi="宋体"/>
                <w:color w:val="auto"/>
                <w:szCs w:val="18"/>
                <w:highlight w:val="none"/>
              </w:rPr>
              <w:t>实践33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高职英语</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100</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64</w:t>
            </w:r>
          </w:p>
        </w:tc>
        <w:tc>
          <w:tcPr>
            <w:tcW w:w="54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36</w:t>
            </w: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color w:val="auto"/>
                <w:szCs w:val="18"/>
                <w:highlight w:val="none"/>
              </w:rPr>
            </w:pPr>
            <w:r>
              <w:rPr>
                <w:rFonts w:hint="eastAsia" w:ascii="宋体" w:hAnsi="宋体"/>
                <w:color w:val="auto"/>
                <w:szCs w:val="18"/>
                <w:highlight w:val="none"/>
              </w:rPr>
              <w:t>实践33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计算机应用</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72</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72</w:t>
            </w: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color w:val="auto"/>
                <w:szCs w:val="18"/>
                <w:highlight w:val="none"/>
              </w:rPr>
            </w:pPr>
            <w:r>
              <w:rPr>
                <w:rFonts w:hint="eastAsia" w:ascii="宋体" w:hAnsi="宋体"/>
                <w:color w:val="auto"/>
                <w:szCs w:val="18"/>
                <w:highlight w:val="none"/>
              </w:rPr>
              <w:t>实践36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体育与健康</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136</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32</w:t>
            </w:r>
          </w:p>
        </w:tc>
        <w:tc>
          <w:tcPr>
            <w:tcW w:w="54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36</w:t>
            </w: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32</w:t>
            </w: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36</w:t>
            </w: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实践120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5"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思想道德修养与法律基础</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68</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32</w:t>
            </w:r>
          </w:p>
        </w:tc>
        <w:tc>
          <w:tcPr>
            <w:tcW w:w="54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36</w:t>
            </w: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实践18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5"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毛泽东思想和中国特色社会主义理论体系概论</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68</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32</w:t>
            </w: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36</w:t>
            </w: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hint="eastAsia" w:asciiTheme="majorEastAsia" w:hAnsiTheme="majorEastAsia" w:eastAsiaTheme="majorEastAsia" w:cstheme="majorEastAsia"/>
                <w:color w:val="auto"/>
                <w:kern w:val="0"/>
                <w:szCs w:val="18"/>
                <w:highlight w:val="none"/>
              </w:rPr>
            </w:pPr>
            <w:r>
              <w:rPr>
                <w:rFonts w:hint="eastAsia" w:asciiTheme="majorEastAsia" w:hAnsiTheme="majorEastAsia" w:eastAsiaTheme="majorEastAsia" w:cstheme="majorEastAsia"/>
                <w:color w:val="auto"/>
                <w:kern w:val="0"/>
                <w:szCs w:val="18"/>
                <w:highlight w:val="none"/>
              </w:rPr>
              <w:t>形势与政策</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hint="eastAsia" w:asciiTheme="majorEastAsia" w:hAnsiTheme="majorEastAsia" w:eastAsiaTheme="majorEastAsia" w:cstheme="majorEastAsia"/>
                <w:color w:val="auto"/>
                <w:kern w:val="0"/>
                <w:szCs w:val="18"/>
                <w:highlight w:val="none"/>
              </w:rPr>
            </w:pPr>
            <w:r>
              <w:rPr>
                <w:rFonts w:hint="eastAsia" w:asciiTheme="majorEastAsia" w:hAnsiTheme="majorEastAsia" w:eastAsiaTheme="majorEastAsia" w:cstheme="majorEastAsia"/>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hint="eastAsia" w:asciiTheme="majorEastAsia" w:hAnsiTheme="majorEastAsia" w:eastAsiaTheme="majorEastAsia" w:cstheme="majorEastAsia"/>
                <w:color w:val="auto"/>
                <w:szCs w:val="18"/>
                <w:highlight w:val="none"/>
              </w:rPr>
            </w:pPr>
            <w:r>
              <w:rPr>
                <w:rFonts w:hint="eastAsia" w:asciiTheme="majorEastAsia" w:hAnsiTheme="majorEastAsia" w:eastAsiaTheme="majorEastAsia" w:cstheme="majorEastAsia"/>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eastAsia" w:asciiTheme="majorEastAsia" w:hAnsiTheme="majorEastAsia" w:eastAsiaTheme="majorEastAsia" w:cstheme="majorEastAsia"/>
                <w:color w:val="auto"/>
                <w:szCs w:val="18"/>
                <w:highlight w:val="none"/>
              </w:rPr>
            </w:pPr>
            <w:r>
              <w:rPr>
                <w:rFonts w:hint="eastAsia" w:asciiTheme="majorEastAsia" w:hAnsiTheme="majorEastAsia" w:eastAsiaTheme="majorEastAsia" w:cstheme="majorEastAsia"/>
                <w:color w:val="auto"/>
                <w:szCs w:val="18"/>
                <w:highlight w:val="none"/>
              </w:rPr>
              <w:t>36</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18"/>
                <w:highlight w:val="none"/>
                <w:lang w:eastAsia="zh-CN"/>
              </w:rPr>
            </w:pPr>
            <w:r>
              <w:rPr>
                <w:rFonts w:hint="eastAsia" w:asciiTheme="majorEastAsia" w:hAnsiTheme="majorEastAsia" w:eastAsiaTheme="majorEastAsia" w:cstheme="majorEastAsia"/>
                <w:color w:val="auto"/>
                <w:szCs w:val="18"/>
                <w:highlight w:val="none"/>
                <w:lang w:val="en-US" w:eastAsia="zh-CN"/>
              </w:rPr>
              <w:t>9</w:t>
            </w:r>
          </w:p>
        </w:tc>
        <w:tc>
          <w:tcPr>
            <w:tcW w:w="549"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18"/>
                <w:highlight w:val="none"/>
                <w:lang w:eastAsia="zh-CN"/>
              </w:rPr>
            </w:pPr>
            <w:r>
              <w:rPr>
                <w:rFonts w:hint="eastAsia" w:asciiTheme="majorEastAsia" w:hAnsiTheme="majorEastAsia" w:eastAsiaTheme="majorEastAsia" w:cstheme="majorEastAsia"/>
                <w:color w:val="auto"/>
                <w:szCs w:val="18"/>
                <w:highlight w:val="none"/>
                <w:lang w:val="en-US" w:eastAsia="zh-CN"/>
              </w:rPr>
              <w:t>9</w:t>
            </w: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18"/>
                <w:highlight w:val="none"/>
                <w:lang w:eastAsia="zh-CN"/>
              </w:rPr>
            </w:pPr>
            <w:r>
              <w:rPr>
                <w:rFonts w:hint="eastAsia" w:asciiTheme="majorEastAsia" w:hAnsiTheme="majorEastAsia" w:eastAsiaTheme="majorEastAsia" w:cstheme="majorEastAsia"/>
                <w:color w:val="auto"/>
                <w:szCs w:val="18"/>
                <w:highlight w:val="none"/>
                <w:lang w:val="en-US" w:eastAsia="zh-CN"/>
              </w:rPr>
              <w:t>9</w:t>
            </w: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18"/>
                <w:highlight w:val="none"/>
                <w:lang w:eastAsia="zh-CN"/>
              </w:rPr>
            </w:pPr>
            <w:r>
              <w:rPr>
                <w:rFonts w:hint="eastAsia" w:asciiTheme="majorEastAsia" w:hAnsiTheme="majorEastAsia" w:eastAsiaTheme="majorEastAsia" w:cstheme="majorEastAsia"/>
                <w:color w:val="auto"/>
                <w:szCs w:val="18"/>
                <w:highlight w:val="none"/>
                <w:lang w:val="en-US" w:eastAsia="zh-CN"/>
              </w:rPr>
              <w:t>9</w:t>
            </w: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18"/>
                <w:highlight w:val="none"/>
              </w:rPr>
            </w:pP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hint="eastAsia" w:asciiTheme="majorEastAsia" w:hAnsiTheme="majorEastAsia" w:eastAsiaTheme="majorEastAsia" w:cstheme="majorEastAsia"/>
                <w:color w:val="auto"/>
                <w:szCs w:val="18"/>
                <w:highlight w:val="none"/>
                <w:lang w:eastAsia="zh-CN"/>
              </w:rPr>
            </w:pPr>
            <w:r>
              <w:rPr>
                <w:rFonts w:hint="eastAsia" w:asciiTheme="majorEastAsia" w:hAnsiTheme="majorEastAsia" w:eastAsiaTheme="majorEastAsia" w:cstheme="majorEastAsia"/>
                <w:color w:val="auto"/>
                <w:szCs w:val="18"/>
                <w:highlight w:val="none"/>
              </w:rPr>
              <w:t>讲座</w:t>
            </w:r>
            <w:r>
              <w:rPr>
                <w:rFonts w:hint="eastAsia" w:asciiTheme="majorEastAsia" w:hAnsiTheme="majorEastAsia" w:eastAsiaTheme="majorEastAsia" w:cstheme="majorEastAsia"/>
                <w:color w:val="auto"/>
                <w:szCs w:val="18"/>
                <w:highlight w:val="none"/>
                <w:lang w:eastAsia="zh-CN"/>
              </w:rPr>
              <w:t>、</w:t>
            </w:r>
          </w:p>
          <w:p>
            <w:pPr>
              <w:widowControl/>
              <w:spacing w:line="240" w:lineRule="exact"/>
              <w:jc w:val="center"/>
              <w:rPr>
                <w:rFonts w:hint="default" w:asciiTheme="majorEastAsia" w:hAnsiTheme="majorEastAsia" w:eastAsiaTheme="majorEastAsia" w:cstheme="majorEastAsia"/>
                <w:color w:val="auto"/>
                <w:szCs w:val="18"/>
                <w:highlight w:val="none"/>
                <w:lang w:val="en-US" w:eastAsia="zh-CN"/>
              </w:rPr>
            </w:pPr>
            <w:r>
              <w:rPr>
                <w:rFonts w:hint="eastAsia" w:asciiTheme="majorEastAsia" w:hAnsiTheme="majorEastAsia" w:eastAsiaTheme="majorEastAsia" w:cstheme="majorEastAsia"/>
                <w:color w:val="auto"/>
                <w:szCs w:val="18"/>
                <w:highlight w:val="none"/>
                <w:lang w:val="en-US" w:eastAsia="zh-CN"/>
              </w:rPr>
              <w:t>实践20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4" w:space="0"/>
              <w:right w:val="single" w:color="auto" w:sz="6" w:space="0"/>
            </w:tcBorders>
            <w:noWrap/>
            <w:vAlign w:val="center"/>
          </w:tcPr>
          <w:p>
            <w:pPr>
              <w:widowControl/>
              <w:spacing w:line="240" w:lineRule="exact"/>
              <w:jc w:val="center"/>
              <w:rPr>
                <w:rFonts w:hint="eastAsia" w:asciiTheme="majorEastAsia" w:hAnsiTheme="majorEastAsia" w:eastAsiaTheme="majorEastAsia" w:cstheme="majorEastAsia"/>
                <w:color w:val="auto"/>
                <w:kern w:val="0"/>
                <w:szCs w:val="18"/>
                <w:highlight w:val="none"/>
              </w:rPr>
            </w:pPr>
            <w:r>
              <w:rPr>
                <w:rFonts w:hint="eastAsia" w:asciiTheme="majorEastAsia" w:hAnsiTheme="majorEastAsia" w:eastAsiaTheme="majorEastAsia" w:cstheme="majorEastAsia"/>
                <w:color w:val="auto"/>
                <w:kern w:val="0"/>
                <w:szCs w:val="18"/>
                <w:highlight w:val="none"/>
              </w:rPr>
              <w:t>安全教育</w:t>
            </w:r>
          </w:p>
        </w:tc>
        <w:tc>
          <w:tcPr>
            <w:tcW w:w="910" w:type="dxa"/>
            <w:tcBorders>
              <w:top w:val="single" w:color="auto" w:sz="6" w:space="0"/>
              <w:left w:val="single" w:color="auto" w:sz="6" w:space="0"/>
              <w:bottom w:val="single" w:color="auto" w:sz="4" w:space="0"/>
              <w:right w:val="single" w:color="auto" w:sz="6" w:space="0"/>
            </w:tcBorders>
            <w:noWrap/>
            <w:vAlign w:val="center"/>
          </w:tcPr>
          <w:p>
            <w:pPr>
              <w:widowControl/>
              <w:spacing w:line="360" w:lineRule="auto"/>
              <w:rPr>
                <w:rFonts w:hint="eastAsia" w:asciiTheme="majorEastAsia" w:hAnsiTheme="majorEastAsia" w:eastAsiaTheme="majorEastAsia" w:cstheme="majorEastAsia"/>
                <w:color w:val="auto"/>
                <w:kern w:val="0"/>
                <w:szCs w:val="18"/>
                <w:highlight w:val="none"/>
              </w:rPr>
            </w:pPr>
            <w:r>
              <w:rPr>
                <w:rFonts w:hint="eastAsia" w:asciiTheme="majorEastAsia" w:hAnsiTheme="majorEastAsia" w:eastAsiaTheme="majorEastAsia" w:cstheme="majorEastAsia"/>
                <w:color w:val="auto"/>
                <w:kern w:val="0"/>
                <w:szCs w:val="18"/>
                <w:highlight w:val="none"/>
              </w:rPr>
              <w:t>必修</w:t>
            </w:r>
          </w:p>
        </w:tc>
        <w:tc>
          <w:tcPr>
            <w:tcW w:w="440" w:type="dxa"/>
            <w:tcBorders>
              <w:top w:val="single" w:color="auto" w:sz="6" w:space="0"/>
              <w:left w:val="single" w:color="auto" w:sz="6" w:space="0"/>
              <w:bottom w:val="single" w:color="auto" w:sz="4" w:space="0"/>
              <w:right w:val="single" w:color="auto" w:sz="6" w:space="0"/>
            </w:tcBorders>
            <w:noWrap/>
          </w:tcPr>
          <w:p>
            <w:pPr>
              <w:widowControl/>
              <w:spacing w:line="360" w:lineRule="auto"/>
              <w:jc w:val="center"/>
              <w:rPr>
                <w:rFonts w:hint="eastAsia" w:asciiTheme="majorEastAsia" w:hAnsiTheme="majorEastAsia" w:eastAsiaTheme="majorEastAsia" w:cstheme="majorEastAsia"/>
                <w:color w:val="auto"/>
                <w:szCs w:val="18"/>
                <w:highlight w:val="none"/>
              </w:rPr>
            </w:pPr>
            <w:r>
              <w:rPr>
                <w:rFonts w:hint="eastAsia" w:asciiTheme="majorEastAsia" w:hAnsiTheme="majorEastAsia" w:eastAsiaTheme="majorEastAsia" w:cstheme="majorEastAsia"/>
                <w:color w:val="auto"/>
                <w:szCs w:val="18"/>
                <w:highlight w:val="none"/>
              </w:rPr>
              <w:t>B</w:t>
            </w:r>
          </w:p>
        </w:tc>
        <w:tc>
          <w:tcPr>
            <w:tcW w:w="666" w:type="dxa"/>
            <w:tcBorders>
              <w:top w:val="single" w:color="auto" w:sz="6" w:space="0"/>
              <w:left w:val="single" w:color="auto" w:sz="6" w:space="0"/>
              <w:bottom w:val="single" w:color="auto" w:sz="4" w:space="0"/>
              <w:right w:val="single" w:color="auto" w:sz="6" w:space="0"/>
            </w:tcBorders>
            <w:noWrap/>
            <w:vAlign w:val="center"/>
          </w:tcPr>
          <w:p>
            <w:pPr>
              <w:widowControl/>
              <w:spacing w:line="360" w:lineRule="auto"/>
              <w:jc w:val="center"/>
              <w:rPr>
                <w:rFonts w:hint="eastAsia" w:asciiTheme="majorEastAsia" w:hAnsiTheme="majorEastAsia" w:eastAsiaTheme="majorEastAsia" w:cstheme="majorEastAsia"/>
                <w:color w:val="auto"/>
                <w:szCs w:val="18"/>
                <w:highlight w:val="none"/>
              </w:rPr>
            </w:pPr>
            <w:r>
              <w:rPr>
                <w:rFonts w:hint="eastAsia" w:asciiTheme="majorEastAsia" w:hAnsiTheme="majorEastAsia" w:eastAsiaTheme="majorEastAsia" w:cstheme="majorEastAsia"/>
                <w:color w:val="auto"/>
                <w:szCs w:val="18"/>
                <w:highlight w:val="none"/>
              </w:rPr>
              <w:t>36</w:t>
            </w:r>
          </w:p>
        </w:tc>
        <w:tc>
          <w:tcPr>
            <w:tcW w:w="550" w:type="dxa"/>
            <w:tcBorders>
              <w:top w:val="single" w:color="auto" w:sz="6" w:space="0"/>
              <w:left w:val="single" w:color="auto" w:sz="6" w:space="0"/>
              <w:bottom w:val="single" w:color="auto" w:sz="4"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18"/>
                <w:highlight w:val="none"/>
              </w:rPr>
            </w:pPr>
            <w:r>
              <w:rPr>
                <w:rFonts w:hint="eastAsia" w:asciiTheme="majorEastAsia" w:hAnsiTheme="majorEastAsia" w:eastAsiaTheme="majorEastAsia" w:cstheme="majorEastAsia"/>
                <w:color w:val="auto"/>
                <w:szCs w:val="18"/>
                <w:highlight w:val="none"/>
                <w:lang w:val="en-US" w:eastAsia="zh-CN"/>
              </w:rPr>
              <w:t>9</w:t>
            </w:r>
          </w:p>
        </w:tc>
        <w:tc>
          <w:tcPr>
            <w:tcW w:w="549" w:type="dxa"/>
            <w:tcBorders>
              <w:top w:val="single" w:color="auto" w:sz="6" w:space="0"/>
              <w:left w:val="single" w:color="auto" w:sz="6" w:space="0"/>
              <w:bottom w:val="single" w:color="auto" w:sz="4"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18"/>
                <w:highlight w:val="none"/>
              </w:rPr>
            </w:pPr>
            <w:r>
              <w:rPr>
                <w:rFonts w:hint="eastAsia" w:asciiTheme="majorEastAsia" w:hAnsiTheme="majorEastAsia" w:eastAsiaTheme="majorEastAsia" w:cstheme="majorEastAsia"/>
                <w:color w:val="auto"/>
                <w:szCs w:val="18"/>
                <w:highlight w:val="none"/>
                <w:lang w:val="en-US" w:eastAsia="zh-CN"/>
              </w:rPr>
              <w:t>9</w:t>
            </w:r>
          </w:p>
        </w:tc>
        <w:tc>
          <w:tcPr>
            <w:tcW w:w="615" w:type="dxa"/>
            <w:tcBorders>
              <w:top w:val="single" w:color="auto" w:sz="6" w:space="0"/>
              <w:left w:val="single" w:color="auto" w:sz="6" w:space="0"/>
              <w:bottom w:val="single" w:color="auto" w:sz="4"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18"/>
                <w:highlight w:val="none"/>
              </w:rPr>
            </w:pPr>
            <w:r>
              <w:rPr>
                <w:rFonts w:hint="eastAsia" w:asciiTheme="majorEastAsia" w:hAnsiTheme="majorEastAsia" w:eastAsiaTheme="majorEastAsia" w:cstheme="majorEastAsia"/>
                <w:color w:val="auto"/>
                <w:szCs w:val="18"/>
                <w:highlight w:val="none"/>
                <w:lang w:val="en-US" w:eastAsia="zh-CN"/>
              </w:rPr>
              <w:t>9</w:t>
            </w:r>
          </w:p>
        </w:tc>
        <w:tc>
          <w:tcPr>
            <w:tcW w:w="615" w:type="dxa"/>
            <w:tcBorders>
              <w:top w:val="single" w:color="auto" w:sz="6" w:space="0"/>
              <w:left w:val="single" w:color="auto" w:sz="6" w:space="0"/>
              <w:bottom w:val="single" w:color="auto" w:sz="4"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18"/>
                <w:highlight w:val="none"/>
              </w:rPr>
            </w:pPr>
            <w:r>
              <w:rPr>
                <w:rFonts w:hint="eastAsia" w:asciiTheme="majorEastAsia" w:hAnsiTheme="majorEastAsia" w:eastAsiaTheme="majorEastAsia" w:cstheme="majorEastAsia"/>
                <w:color w:val="auto"/>
                <w:szCs w:val="18"/>
                <w:highlight w:val="none"/>
                <w:lang w:val="en-US" w:eastAsia="zh-CN"/>
              </w:rPr>
              <w:t>9</w:t>
            </w:r>
          </w:p>
        </w:tc>
        <w:tc>
          <w:tcPr>
            <w:tcW w:w="660" w:type="dxa"/>
            <w:tcBorders>
              <w:top w:val="single" w:color="auto" w:sz="6" w:space="0"/>
              <w:left w:val="single" w:color="auto" w:sz="6" w:space="0"/>
              <w:bottom w:val="single" w:color="auto" w:sz="4" w:space="0"/>
              <w:right w:val="single" w:color="auto" w:sz="6" w:space="0"/>
            </w:tcBorders>
            <w:noWrap/>
            <w:vAlign w:val="center"/>
          </w:tcPr>
          <w:p>
            <w:pPr>
              <w:widowControl/>
              <w:spacing w:line="240" w:lineRule="atLeast"/>
              <w:jc w:val="both"/>
              <w:rPr>
                <w:rFonts w:hint="eastAsia" w:asciiTheme="majorEastAsia" w:hAnsiTheme="majorEastAsia" w:eastAsiaTheme="majorEastAsia" w:cstheme="majorEastAsia"/>
                <w:color w:val="auto"/>
                <w:szCs w:val="18"/>
                <w:highlight w:val="none"/>
              </w:rPr>
            </w:pPr>
          </w:p>
        </w:tc>
        <w:tc>
          <w:tcPr>
            <w:tcW w:w="660" w:type="dxa"/>
            <w:tcBorders>
              <w:top w:val="single" w:color="auto" w:sz="6" w:space="0"/>
              <w:left w:val="single" w:color="auto" w:sz="6" w:space="0"/>
              <w:bottom w:val="single" w:color="auto" w:sz="4" w:space="0"/>
              <w:right w:val="single" w:color="auto" w:sz="6" w:space="0"/>
            </w:tcBorders>
            <w:noWrap/>
            <w:vAlign w:val="center"/>
          </w:tcPr>
          <w:p>
            <w:pPr>
              <w:widowControl/>
              <w:spacing w:line="240" w:lineRule="atLeast"/>
              <w:jc w:val="both"/>
              <w:rPr>
                <w:rFonts w:hint="eastAsia" w:asciiTheme="majorEastAsia" w:hAnsiTheme="majorEastAsia" w:eastAsiaTheme="majorEastAsia" w:cstheme="majorEastAsia"/>
                <w:color w:val="auto"/>
                <w:szCs w:val="18"/>
                <w:highlight w:val="none"/>
              </w:rPr>
            </w:pPr>
          </w:p>
        </w:tc>
        <w:tc>
          <w:tcPr>
            <w:tcW w:w="1294" w:type="dxa"/>
            <w:tcBorders>
              <w:top w:val="single" w:color="auto" w:sz="6" w:space="0"/>
              <w:left w:val="single" w:color="auto" w:sz="6" w:space="0"/>
              <w:bottom w:val="single" w:color="auto" w:sz="4" w:space="0"/>
              <w:right w:val="single" w:color="auto" w:sz="12" w:space="0"/>
            </w:tcBorders>
            <w:noWrap/>
            <w:vAlign w:val="center"/>
          </w:tcPr>
          <w:p>
            <w:pPr>
              <w:widowControl/>
              <w:spacing w:line="240" w:lineRule="exact"/>
              <w:jc w:val="center"/>
              <w:rPr>
                <w:rFonts w:hint="eastAsia" w:asciiTheme="majorEastAsia" w:hAnsiTheme="majorEastAsia" w:eastAsiaTheme="majorEastAsia" w:cstheme="majorEastAsia"/>
                <w:color w:val="auto"/>
                <w:szCs w:val="18"/>
                <w:highlight w:val="none"/>
                <w:lang w:eastAsia="zh-CN"/>
              </w:rPr>
            </w:pPr>
            <w:r>
              <w:rPr>
                <w:rFonts w:hint="eastAsia" w:asciiTheme="majorEastAsia" w:hAnsiTheme="majorEastAsia" w:eastAsiaTheme="majorEastAsia" w:cstheme="majorEastAsia"/>
                <w:color w:val="auto"/>
                <w:szCs w:val="18"/>
                <w:highlight w:val="none"/>
              </w:rPr>
              <w:t>讲座</w:t>
            </w:r>
            <w:r>
              <w:rPr>
                <w:rFonts w:hint="eastAsia" w:asciiTheme="majorEastAsia" w:hAnsiTheme="majorEastAsia" w:eastAsiaTheme="majorEastAsia" w:cstheme="majorEastAsia"/>
                <w:color w:val="auto"/>
                <w:szCs w:val="18"/>
                <w:highlight w:val="none"/>
                <w:lang w:eastAsia="zh-CN"/>
              </w:rPr>
              <w:t>、</w:t>
            </w:r>
          </w:p>
          <w:p>
            <w:pPr>
              <w:widowControl/>
              <w:spacing w:line="240" w:lineRule="exact"/>
              <w:jc w:val="center"/>
              <w:rPr>
                <w:rFonts w:hint="eastAsia" w:asciiTheme="majorEastAsia" w:hAnsiTheme="majorEastAsia" w:eastAsiaTheme="majorEastAsia" w:cstheme="majorEastAsia"/>
                <w:color w:val="auto"/>
                <w:szCs w:val="18"/>
                <w:highlight w:val="none"/>
              </w:rPr>
            </w:pPr>
            <w:r>
              <w:rPr>
                <w:rFonts w:hint="eastAsia" w:asciiTheme="majorEastAsia" w:hAnsiTheme="majorEastAsia" w:eastAsiaTheme="majorEastAsia" w:cstheme="majorEastAsia"/>
                <w:color w:val="auto"/>
                <w:szCs w:val="18"/>
                <w:highlight w:val="none"/>
                <w:lang w:val="en-US" w:eastAsia="zh-CN"/>
              </w:rPr>
              <w:t>主题</w:t>
            </w:r>
            <w:r>
              <w:rPr>
                <w:rFonts w:hint="eastAsia" w:asciiTheme="majorEastAsia" w:hAnsiTheme="majorEastAsia" w:eastAsiaTheme="majorEastAsia" w:cstheme="majorEastAsia"/>
                <w:color w:val="auto"/>
                <w:szCs w:val="18"/>
                <w:highlight w:val="none"/>
              </w:rPr>
              <w:t>班会</w:t>
            </w:r>
          </w:p>
          <w:p>
            <w:pPr>
              <w:widowControl/>
              <w:spacing w:line="240" w:lineRule="exact"/>
              <w:jc w:val="center"/>
              <w:rPr>
                <w:rFonts w:hint="default" w:asciiTheme="majorEastAsia" w:hAnsiTheme="majorEastAsia" w:eastAsiaTheme="majorEastAsia" w:cstheme="majorEastAsia"/>
                <w:color w:val="auto"/>
                <w:szCs w:val="18"/>
                <w:highlight w:val="none"/>
                <w:lang w:val="en-US" w:eastAsia="zh-CN"/>
              </w:rPr>
            </w:pPr>
            <w:r>
              <w:rPr>
                <w:rFonts w:hint="eastAsia" w:asciiTheme="majorEastAsia" w:hAnsiTheme="majorEastAsia" w:eastAsiaTheme="majorEastAsia" w:cstheme="majorEastAsia"/>
                <w:color w:val="auto"/>
                <w:szCs w:val="18"/>
                <w:highlight w:val="none"/>
                <w:lang w:val="en-US" w:eastAsia="zh-CN"/>
              </w:rPr>
              <w:t>实践12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6"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4" w:space="0"/>
              <w:left w:val="single" w:color="auto" w:sz="6" w:space="0"/>
              <w:bottom w:val="single" w:color="auto" w:sz="6" w:space="0"/>
              <w:right w:val="single" w:color="auto" w:sz="6" w:space="0"/>
            </w:tcBorders>
            <w:noWrap/>
            <w:vAlign w:val="center"/>
          </w:tcPr>
          <w:p>
            <w:pPr>
              <w:widowControl/>
              <w:spacing w:line="240" w:lineRule="exact"/>
              <w:jc w:val="center"/>
              <w:rPr>
                <w:rFonts w:hint="eastAsia" w:asciiTheme="majorEastAsia" w:hAnsiTheme="majorEastAsia" w:eastAsiaTheme="majorEastAsia" w:cstheme="majorEastAsia"/>
                <w:color w:val="auto"/>
                <w:kern w:val="0"/>
                <w:szCs w:val="18"/>
                <w:highlight w:val="none"/>
                <w:lang w:val="en-US" w:eastAsia="zh-CN"/>
              </w:rPr>
            </w:pPr>
            <w:r>
              <w:rPr>
                <w:rFonts w:hint="eastAsia" w:asciiTheme="majorEastAsia" w:hAnsiTheme="majorEastAsia" w:eastAsiaTheme="majorEastAsia" w:cstheme="majorEastAsia"/>
                <w:color w:val="auto"/>
                <w:kern w:val="0"/>
                <w:szCs w:val="18"/>
                <w:highlight w:val="none"/>
                <w:lang w:val="en-US" w:eastAsia="zh-CN"/>
              </w:rPr>
              <w:t>劳动教育</w:t>
            </w:r>
          </w:p>
        </w:tc>
        <w:tc>
          <w:tcPr>
            <w:tcW w:w="910" w:type="dxa"/>
            <w:tcBorders>
              <w:top w:val="single" w:color="auto" w:sz="4" w:space="0"/>
              <w:left w:val="single" w:color="auto" w:sz="6" w:space="0"/>
              <w:bottom w:val="single" w:color="auto" w:sz="6" w:space="0"/>
              <w:right w:val="single" w:color="auto" w:sz="6" w:space="0"/>
            </w:tcBorders>
            <w:noWrap/>
            <w:vAlign w:val="center"/>
          </w:tcPr>
          <w:p>
            <w:pPr>
              <w:widowControl/>
              <w:spacing w:line="360" w:lineRule="auto"/>
              <w:rPr>
                <w:rFonts w:hint="eastAsia" w:asciiTheme="majorEastAsia" w:hAnsiTheme="majorEastAsia" w:eastAsiaTheme="majorEastAsia" w:cstheme="majorEastAsia"/>
                <w:color w:val="auto"/>
                <w:kern w:val="0"/>
                <w:szCs w:val="18"/>
                <w:highlight w:val="none"/>
              </w:rPr>
            </w:pPr>
            <w:r>
              <w:rPr>
                <w:rFonts w:hint="eastAsia" w:asciiTheme="majorEastAsia" w:hAnsiTheme="majorEastAsia" w:eastAsiaTheme="majorEastAsia" w:cstheme="majorEastAsia"/>
                <w:color w:val="auto"/>
                <w:kern w:val="0"/>
                <w:szCs w:val="18"/>
                <w:highlight w:val="none"/>
              </w:rPr>
              <w:t>必修</w:t>
            </w:r>
          </w:p>
        </w:tc>
        <w:tc>
          <w:tcPr>
            <w:tcW w:w="440" w:type="dxa"/>
            <w:tcBorders>
              <w:top w:val="single" w:color="auto" w:sz="4" w:space="0"/>
              <w:left w:val="single" w:color="auto" w:sz="6" w:space="0"/>
              <w:bottom w:val="single" w:color="auto" w:sz="6" w:space="0"/>
              <w:right w:val="single" w:color="auto" w:sz="6" w:space="0"/>
            </w:tcBorders>
            <w:noWrap/>
          </w:tcPr>
          <w:p>
            <w:pPr>
              <w:widowControl/>
              <w:spacing w:line="360" w:lineRule="auto"/>
              <w:jc w:val="center"/>
              <w:rPr>
                <w:rFonts w:hint="eastAsia" w:asciiTheme="majorEastAsia" w:hAnsiTheme="majorEastAsia" w:eastAsiaTheme="majorEastAsia" w:cstheme="majorEastAsia"/>
                <w:color w:val="auto"/>
                <w:szCs w:val="18"/>
                <w:highlight w:val="none"/>
                <w:lang w:val="en-US" w:eastAsia="zh-CN"/>
              </w:rPr>
            </w:pPr>
            <w:r>
              <w:rPr>
                <w:rFonts w:hint="eastAsia" w:asciiTheme="majorEastAsia" w:hAnsiTheme="majorEastAsia" w:eastAsiaTheme="majorEastAsia" w:cstheme="majorEastAsia"/>
                <w:color w:val="auto"/>
                <w:szCs w:val="18"/>
                <w:highlight w:val="none"/>
                <w:lang w:val="en-US" w:eastAsia="zh-CN"/>
              </w:rPr>
              <w:t>B</w:t>
            </w:r>
          </w:p>
        </w:tc>
        <w:tc>
          <w:tcPr>
            <w:tcW w:w="666" w:type="dxa"/>
            <w:tcBorders>
              <w:top w:val="single" w:color="auto" w:sz="4" w:space="0"/>
              <w:left w:val="single" w:color="auto" w:sz="6" w:space="0"/>
              <w:bottom w:val="single" w:color="auto" w:sz="6" w:space="0"/>
              <w:right w:val="single" w:color="auto" w:sz="6" w:space="0"/>
            </w:tcBorders>
            <w:noWrap/>
            <w:vAlign w:val="center"/>
          </w:tcPr>
          <w:p>
            <w:pPr>
              <w:widowControl/>
              <w:spacing w:line="360" w:lineRule="auto"/>
              <w:jc w:val="center"/>
              <w:rPr>
                <w:rFonts w:hint="eastAsia" w:asciiTheme="majorEastAsia" w:hAnsiTheme="majorEastAsia" w:eastAsiaTheme="majorEastAsia" w:cstheme="majorEastAsia"/>
                <w:color w:val="auto"/>
                <w:szCs w:val="18"/>
                <w:highlight w:val="none"/>
                <w:lang w:val="en-US" w:eastAsia="zh-CN"/>
              </w:rPr>
            </w:pPr>
            <w:r>
              <w:rPr>
                <w:rFonts w:hint="eastAsia" w:asciiTheme="majorEastAsia" w:hAnsiTheme="majorEastAsia" w:eastAsiaTheme="majorEastAsia" w:cstheme="majorEastAsia"/>
                <w:color w:val="auto"/>
                <w:szCs w:val="18"/>
                <w:highlight w:val="none"/>
                <w:lang w:val="en-US" w:eastAsia="zh-CN"/>
              </w:rPr>
              <w:t>36</w:t>
            </w:r>
          </w:p>
        </w:tc>
        <w:tc>
          <w:tcPr>
            <w:tcW w:w="550" w:type="dxa"/>
            <w:tcBorders>
              <w:top w:val="single" w:color="auto" w:sz="4" w:space="0"/>
              <w:left w:val="single" w:color="auto" w:sz="6" w:space="0"/>
              <w:bottom w:val="single" w:color="auto" w:sz="6"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18"/>
                <w:highlight w:val="none"/>
                <w:lang w:val="en-US" w:eastAsia="zh-CN"/>
              </w:rPr>
              <w:t>9</w:t>
            </w:r>
          </w:p>
        </w:tc>
        <w:tc>
          <w:tcPr>
            <w:tcW w:w="549" w:type="dxa"/>
            <w:tcBorders>
              <w:top w:val="single" w:color="auto" w:sz="4" w:space="0"/>
              <w:left w:val="single" w:color="auto" w:sz="6" w:space="0"/>
              <w:bottom w:val="single" w:color="auto" w:sz="6"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18"/>
                <w:highlight w:val="none"/>
                <w:lang w:val="en-US" w:eastAsia="zh-CN"/>
              </w:rPr>
              <w:t>9</w:t>
            </w:r>
          </w:p>
        </w:tc>
        <w:tc>
          <w:tcPr>
            <w:tcW w:w="615" w:type="dxa"/>
            <w:tcBorders>
              <w:top w:val="single" w:color="auto" w:sz="4" w:space="0"/>
              <w:left w:val="single" w:color="auto" w:sz="6" w:space="0"/>
              <w:bottom w:val="single" w:color="auto" w:sz="6"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18"/>
                <w:highlight w:val="none"/>
                <w:lang w:val="en-US" w:eastAsia="zh-CN"/>
              </w:rPr>
              <w:t>9</w:t>
            </w:r>
          </w:p>
        </w:tc>
        <w:tc>
          <w:tcPr>
            <w:tcW w:w="615" w:type="dxa"/>
            <w:tcBorders>
              <w:top w:val="single" w:color="auto" w:sz="4" w:space="0"/>
              <w:left w:val="single" w:color="auto" w:sz="6" w:space="0"/>
              <w:bottom w:val="single" w:color="auto" w:sz="6"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21"/>
                <w:highlight w:val="none"/>
              </w:rPr>
            </w:pPr>
            <w:r>
              <w:rPr>
                <w:rFonts w:hint="eastAsia" w:asciiTheme="majorEastAsia" w:hAnsiTheme="majorEastAsia" w:eastAsiaTheme="majorEastAsia" w:cstheme="majorEastAsia"/>
                <w:color w:val="auto"/>
                <w:szCs w:val="18"/>
                <w:highlight w:val="none"/>
                <w:lang w:val="en-US" w:eastAsia="zh-CN"/>
              </w:rPr>
              <w:t>9</w:t>
            </w:r>
          </w:p>
        </w:tc>
        <w:tc>
          <w:tcPr>
            <w:tcW w:w="660" w:type="dxa"/>
            <w:tcBorders>
              <w:top w:val="single" w:color="auto" w:sz="4" w:space="0"/>
              <w:left w:val="single" w:color="auto" w:sz="6" w:space="0"/>
              <w:bottom w:val="single" w:color="auto" w:sz="6"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18"/>
                <w:highlight w:val="none"/>
              </w:rPr>
            </w:pPr>
          </w:p>
        </w:tc>
        <w:tc>
          <w:tcPr>
            <w:tcW w:w="660" w:type="dxa"/>
            <w:tcBorders>
              <w:top w:val="single" w:color="auto" w:sz="4" w:space="0"/>
              <w:left w:val="single" w:color="auto" w:sz="6" w:space="0"/>
              <w:bottom w:val="single" w:color="auto" w:sz="6"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18"/>
                <w:highlight w:val="none"/>
              </w:rPr>
            </w:pPr>
          </w:p>
        </w:tc>
        <w:tc>
          <w:tcPr>
            <w:tcW w:w="1294" w:type="dxa"/>
            <w:tcBorders>
              <w:top w:val="single" w:color="auto" w:sz="4" w:space="0"/>
              <w:left w:val="single" w:color="auto" w:sz="6" w:space="0"/>
              <w:bottom w:val="single" w:color="auto" w:sz="6" w:space="0"/>
              <w:right w:val="single" w:color="auto" w:sz="12" w:space="0"/>
            </w:tcBorders>
            <w:noWrap/>
            <w:vAlign w:val="center"/>
          </w:tcPr>
          <w:p>
            <w:pPr>
              <w:widowControl/>
              <w:spacing w:line="240" w:lineRule="exact"/>
              <w:jc w:val="center"/>
              <w:rPr>
                <w:rFonts w:hint="eastAsia" w:asciiTheme="majorEastAsia" w:hAnsiTheme="majorEastAsia" w:eastAsiaTheme="majorEastAsia" w:cstheme="majorEastAsia"/>
                <w:color w:val="auto"/>
                <w:szCs w:val="18"/>
                <w:highlight w:val="none"/>
                <w:lang w:eastAsia="zh-CN"/>
              </w:rPr>
            </w:pPr>
            <w:r>
              <w:rPr>
                <w:rFonts w:hint="eastAsia" w:asciiTheme="majorEastAsia" w:hAnsiTheme="majorEastAsia" w:eastAsiaTheme="majorEastAsia" w:cstheme="majorEastAsia"/>
                <w:color w:val="auto"/>
                <w:szCs w:val="18"/>
                <w:highlight w:val="none"/>
              </w:rPr>
              <w:t>讲座</w:t>
            </w:r>
            <w:r>
              <w:rPr>
                <w:rFonts w:hint="eastAsia" w:asciiTheme="majorEastAsia" w:hAnsiTheme="majorEastAsia" w:eastAsiaTheme="majorEastAsia" w:cstheme="majorEastAsia"/>
                <w:color w:val="auto"/>
                <w:szCs w:val="18"/>
                <w:highlight w:val="none"/>
                <w:lang w:eastAsia="zh-CN"/>
              </w:rPr>
              <w:t>、</w:t>
            </w:r>
          </w:p>
          <w:p>
            <w:pPr>
              <w:widowControl/>
              <w:spacing w:line="240" w:lineRule="exact"/>
              <w:jc w:val="center"/>
              <w:rPr>
                <w:rFonts w:hint="eastAsia" w:asciiTheme="majorEastAsia" w:hAnsiTheme="majorEastAsia" w:eastAsiaTheme="majorEastAsia" w:cstheme="majorEastAsia"/>
                <w:color w:val="auto"/>
                <w:szCs w:val="18"/>
                <w:highlight w:val="none"/>
              </w:rPr>
            </w:pPr>
            <w:r>
              <w:rPr>
                <w:rFonts w:hint="eastAsia" w:asciiTheme="majorEastAsia" w:hAnsiTheme="majorEastAsia" w:eastAsiaTheme="majorEastAsia" w:cstheme="majorEastAsia"/>
                <w:color w:val="auto"/>
                <w:szCs w:val="18"/>
                <w:highlight w:val="none"/>
                <w:lang w:val="en-US" w:eastAsia="zh-CN"/>
              </w:rPr>
              <w:t>主题</w:t>
            </w:r>
            <w:r>
              <w:rPr>
                <w:rFonts w:hint="eastAsia" w:asciiTheme="majorEastAsia" w:hAnsiTheme="majorEastAsia" w:eastAsiaTheme="majorEastAsia" w:cstheme="majorEastAsia"/>
                <w:color w:val="auto"/>
                <w:szCs w:val="18"/>
                <w:highlight w:val="none"/>
              </w:rPr>
              <w:t>班会</w:t>
            </w:r>
          </w:p>
          <w:p>
            <w:pPr>
              <w:widowControl/>
              <w:spacing w:line="240" w:lineRule="exact"/>
              <w:ind w:firstLine="210" w:firstLineChars="100"/>
              <w:jc w:val="both"/>
              <w:rPr>
                <w:rFonts w:hint="default" w:asciiTheme="majorEastAsia" w:hAnsiTheme="majorEastAsia" w:eastAsiaTheme="majorEastAsia" w:cstheme="majorEastAsia"/>
                <w:color w:val="auto"/>
                <w:szCs w:val="18"/>
                <w:highlight w:val="none"/>
                <w:lang w:val="en-US" w:eastAsia="zh-CN"/>
              </w:rPr>
            </w:pPr>
            <w:r>
              <w:rPr>
                <w:rFonts w:hint="eastAsia" w:asciiTheme="majorEastAsia" w:hAnsiTheme="majorEastAsia" w:eastAsiaTheme="majorEastAsia" w:cstheme="majorEastAsia"/>
                <w:color w:val="auto"/>
                <w:szCs w:val="18"/>
                <w:highlight w:val="none"/>
                <w:lang w:val="en-US" w:eastAsia="zh-CN"/>
              </w:rPr>
              <w:t>实践 24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心理健康教育</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16</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2/8</w:t>
            </w:r>
          </w:p>
        </w:tc>
        <w:tc>
          <w:tcPr>
            <w:tcW w:w="549"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4"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4"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公共艺术</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16</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2/8</w:t>
            </w:r>
          </w:p>
        </w:tc>
        <w:tc>
          <w:tcPr>
            <w:tcW w:w="549"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职业规划与就业指导</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18</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2/9</w:t>
            </w: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创新创业教育</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18</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olor w:val="auto"/>
                <w:szCs w:val="18"/>
                <w:highlight w:val="none"/>
              </w:rPr>
            </w:pPr>
            <w:r>
              <w:rPr>
                <w:rFonts w:hint="eastAsia" w:ascii="宋体" w:hAnsi="宋体"/>
                <w:color w:val="auto"/>
                <w:szCs w:val="18"/>
                <w:highlight w:val="none"/>
              </w:rPr>
              <w:t>2/9</w:t>
            </w: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b/>
                <w:color w:val="auto"/>
                <w:szCs w:val="18"/>
                <w:highlight w:val="none"/>
              </w:rPr>
            </w:pPr>
            <w:r>
              <w:rPr>
                <w:rFonts w:hint="eastAsia" w:ascii="宋体" w:hAnsi="宋体"/>
                <w:color w:val="auto"/>
                <w:szCs w:val="18"/>
                <w:highlight w:val="none"/>
              </w:rPr>
              <w:t>实践8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9"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hint="default" w:ascii="宋体" w:hAnsi="宋体" w:eastAsiaTheme="minorEastAsia"/>
                <w:b/>
                <w:color w:val="auto"/>
                <w:szCs w:val="18"/>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color w:val="auto"/>
                <w:kern w:val="0"/>
                <w:szCs w:val="18"/>
                <w:highlight w:val="none"/>
              </w:rPr>
            </w:pPr>
            <w:r>
              <w:rPr>
                <w:rFonts w:hint="eastAsia" w:ascii="宋体" w:hAnsi="宋体" w:cs="宋体"/>
                <w:color w:val="auto"/>
                <w:kern w:val="0"/>
                <w:szCs w:val="18"/>
                <w:highlight w:val="none"/>
              </w:rPr>
              <w:t>小计</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b w:val="0"/>
                <w:bCs w:val="0"/>
                <w:color w:val="auto"/>
                <w:szCs w:val="18"/>
                <w:highlight w:val="none"/>
              </w:rPr>
            </w:pP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b w:val="0"/>
                <w:bCs w:val="0"/>
                <w:color w:val="auto"/>
                <w:szCs w:val="18"/>
                <w:highlight w:val="none"/>
                <w:lang w:val="en-US" w:eastAsia="zh-CN"/>
              </w:rPr>
            </w:pPr>
            <w:r>
              <w:rPr>
                <w:rFonts w:hint="eastAsia" w:ascii="宋体" w:hAnsi="宋体"/>
                <w:b w:val="0"/>
                <w:bCs w:val="0"/>
                <w:color w:val="auto"/>
                <w:szCs w:val="18"/>
                <w:highlight w:val="none"/>
                <w:lang w:val="en-US" w:eastAsia="zh-CN"/>
              </w:rPr>
              <w:t>788</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b w:val="0"/>
                <w:bCs w:val="0"/>
                <w:color w:val="auto"/>
                <w:szCs w:val="18"/>
                <w:highlight w:val="none"/>
                <w:lang w:val="en-US" w:eastAsia="zh-CN"/>
              </w:rPr>
            </w:pPr>
            <w:r>
              <w:rPr>
                <w:rFonts w:hint="eastAsia" w:ascii="宋体" w:hAnsi="宋体"/>
                <w:b w:val="0"/>
                <w:bCs w:val="0"/>
                <w:color w:val="auto"/>
                <w:szCs w:val="18"/>
                <w:highlight w:val="none"/>
              </w:rPr>
              <w:t>2</w:t>
            </w:r>
            <w:r>
              <w:rPr>
                <w:rFonts w:hint="eastAsia" w:ascii="宋体" w:hAnsi="宋体"/>
                <w:b w:val="0"/>
                <w:bCs w:val="0"/>
                <w:color w:val="auto"/>
                <w:szCs w:val="18"/>
                <w:highlight w:val="none"/>
                <w:lang w:val="en-US" w:eastAsia="zh-CN"/>
              </w:rPr>
              <w:t>83</w:t>
            </w:r>
          </w:p>
        </w:tc>
        <w:tc>
          <w:tcPr>
            <w:tcW w:w="54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eastAsia" w:ascii="宋体" w:hAnsi="宋体" w:eastAsiaTheme="minorEastAsia"/>
                <w:b w:val="0"/>
                <w:bCs w:val="0"/>
                <w:color w:val="auto"/>
                <w:szCs w:val="18"/>
                <w:highlight w:val="none"/>
                <w:lang w:eastAsia="zh-CN"/>
              </w:rPr>
            </w:pPr>
            <w:r>
              <w:rPr>
                <w:rFonts w:ascii="宋体" w:hAnsi="宋体"/>
                <w:b w:val="0"/>
                <w:bCs w:val="0"/>
                <w:color w:val="auto"/>
                <w:szCs w:val="18"/>
                <w:highlight w:val="none"/>
              </w:rPr>
              <w:t>27</w:t>
            </w:r>
            <w:r>
              <w:rPr>
                <w:rFonts w:hint="eastAsia" w:ascii="宋体" w:hAnsi="宋体"/>
                <w:b w:val="0"/>
                <w:bCs w:val="0"/>
                <w:color w:val="auto"/>
                <w:szCs w:val="18"/>
                <w:highlight w:val="none"/>
                <w:lang w:val="en-US" w:eastAsia="zh-CN"/>
              </w:rPr>
              <w:t>9</w:t>
            </w: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b w:val="0"/>
                <w:bCs w:val="0"/>
                <w:color w:val="auto"/>
                <w:szCs w:val="18"/>
                <w:highlight w:val="none"/>
                <w:lang w:val="en-US" w:eastAsia="zh-CN"/>
              </w:rPr>
            </w:pPr>
            <w:r>
              <w:rPr>
                <w:rFonts w:hint="eastAsia" w:ascii="宋体" w:hAnsi="宋体"/>
                <w:b w:val="0"/>
                <w:bCs w:val="0"/>
                <w:color w:val="auto"/>
                <w:szCs w:val="18"/>
                <w:highlight w:val="none"/>
                <w:lang w:val="en-US" w:eastAsia="zh-CN"/>
              </w:rPr>
              <w:t>91</w:t>
            </w: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b w:val="0"/>
                <w:bCs w:val="0"/>
                <w:color w:val="auto"/>
                <w:szCs w:val="18"/>
                <w:highlight w:val="none"/>
                <w:lang w:val="en-US" w:eastAsia="zh-CN"/>
              </w:rPr>
            </w:pPr>
            <w:r>
              <w:rPr>
                <w:rFonts w:hint="eastAsia" w:ascii="宋体" w:hAnsi="宋体"/>
                <w:b w:val="0"/>
                <w:bCs w:val="0"/>
                <w:color w:val="auto"/>
                <w:szCs w:val="18"/>
                <w:highlight w:val="none"/>
              </w:rPr>
              <w:t>1</w:t>
            </w:r>
            <w:r>
              <w:rPr>
                <w:rFonts w:hint="eastAsia" w:ascii="宋体" w:hAnsi="宋体"/>
                <w:b w:val="0"/>
                <w:bCs w:val="0"/>
                <w:color w:val="auto"/>
                <w:szCs w:val="18"/>
                <w:highlight w:val="none"/>
                <w:lang w:val="en-US" w:eastAsia="zh-CN"/>
              </w:rPr>
              <w:t>35</w:t>
            </w: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b w:val="0"/>
                <w:bCs w:val="0"/>
                <w:color w:val="auto"/>
                <w:szCs w:val="18"/>
                <w:highlight w:val="none"/>
              </w:rPr>
            </w:pP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b w:val="0"/>
                <w:bCs w:val="0"/>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hint="default" w:ascii="宋体" w:hAnsi="宋体" w:eastAsiaTheme="minorEastAsia"/>
                <w:b w:val="0"/>
                <w:bCs w:val="0"/>
                <w:color w:val="auto"/>
                <w:szCs w:val="18"/>
                <w:highlight w:val="none"/>
                <w:lang w:val="en-US" w:eastAsia="zh-CN"/>
              </w:rPr>
            </w:pPr>
            <w:r>
              <w:rPr>
                <w:rFonts w:hint="eastAsia" w:ascii="宋体" w:hAnsi="宋体"/>
                <w:b w:val="0"/>
                <w:bCs w:val="0"/>
                <w:color w:val="auto"/>
                <w:szCs w:val="18"/>
                <w:highlight w:val="none"/>
              </w:rPr>
              <w:t>实践</w:t>
            </w:r>
            <w:r>
              <w:rPr>
                <w:rFonts w:hint="eastAsia" w:ascii="宋体" w:hAnsi="宋体"/>
                <w:b w:val="0"/>
                <w:bCs w:val="0"/>
                <w:color w:val="auto"/>
                <w:szCs w:val="18"/>
                <w:highlight w:val="none"/>
                <w:lang w:val="en-US" w:eastAsia="zh-CN"/>
              </w:rPr>
              <w:t>363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restart"/>
            <w:tcBorders>
              <w:top w:val="single" w:color="auto" w:sz="6" w:space="0"/>
              <w:left w:val="single" w:color="auto" w:sz="12" w:space="0"/>
              <w:bottom w:val="single" w:color="auto" w:sz="6" w:space="0"/>
              <w:right w:val="single" w:color="auto" w:sz="6" w:space="0"/>
            </w:tcBorders>
            <w:noWrap/>
            <w:textDirection w:val="tbRlV"/>
            <w:vAlign w:val="center"/>
          </w:tcPr>
          <w:p>
            <w:pPr>
              <w:widowControl/>
              <w:ind w:left="113" w:right="113"/>
              <w:jc w:val="center"/>
              <w:rPr>
                <w:rFonts w:ascii="宋体" w:hAnsi="宋体" w:eastAsia="宋体" w:cs="宋体"/>
                <w:b/>
                <w:color w:val="auto"/>
                <w:kern w:val="0"/>
                <w:szCs w:val="18"/>
                <w:highlight w:val="none"/>
              </w:rPr>
            </w:pPr>
            <w:r>
              <w:rPr>
                <w:rFonts w:hint="eastAsia" w:ascii="宋体" w:hAnsi="宋体" w:cs="宋体"/>
                <w:b/>
                <w:color w:val="auto"/>
                <w:kern w:val="0"/>
                <w:szCs w:val="18"/>
                <w:highlight w:val="none"/>
              </w:rPr>
              <w:t>专业（技能）课程</w:t>
            </w: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r>
              <w:rPr>
                <w:color w:val="auto"/>
                <w:kern w:val="0"/>
                <w:szCs w:val="21"/>
                <w:highlight w:val="none"/>
              </w:rPr>
              <w:t>无机化学</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64</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64</w:t>
            </w:r>
          </w:p>
        </w:tc>
        <w:tc>
          <w:tcPr>
            <w:tcW w:w="54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实践48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color w:val="auto"/>
                <w:kern w:val="0"/>
                <w:szCs w:val="21"/>
                <w:highlight w:val="none"/>
              </w:rPr>
              <w:t>有机化学</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64</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64</w:t>
            </w:r>
          </w:p>
        </w:tc>
        <w:tc>
          <w:tcPr>
            <w:tcW w:w="54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实践48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color w:val="auto"/>
                <w:kern w:val="0"/>
                <w:szCs w:val="21"/>
                <w:highlight w:val="none"/>
              </w:rPr>
              <w:t>分析化学</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color w:val="auto"/>
                <w:szCs w:val="18"/>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32</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32</w:t>
            </w:r>
          </w:p>
        </w:tc>
        <w:tc>
          <w:tcPr>
            <w:tcW w:w="54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实践24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color w:val="auto"/>
                <w:kern w:val="0"/>
                <w:szCs w:val="21"/>
                <w:highlight w:val="none"/>
              </w:rPr>
            </w:pPr>
            <w:r>
              <w:rPr>
                <w:color w:val="auto"/>
                <w:szCs w:val="21"/>
                <w:highlight w:val="none"/>
              </w:rPr>
              <w:t>化工安全技术</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kern w:val="0"/>
                <w:szCs w:val="21"/>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72</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72</w:t>
            </w:r>
          </w:p>
        </w:tc>
        <w:tc>
          <w:tcPr>
            <w:tcW w:w="615"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实践42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olor w:val="auto"/>
                <w:szCs w:val="18"/>
                <w:highlight w:val="none"/>
              </w:rPr>
            </w:pPr>
            <w:r>
              <w:rPr>
                <w:bCs/>
                <w:color w:val="auto"/>
                <w:kern w:val="0"/>
                <w:szCs w:val="21"/>
                <w:highlight w:val="none"/>
              </w:rPr>
              <w:t>化工单元操作</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color w:val="auto"/>
                <w:szCs w:val="18"/>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136</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p>
        </w:tc>
        <w:tc>
          <w:tcPr>
            <w:tcW w:w="54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72</w:t>
            </w:r>
          </w:p>
        </w:tc>
        <w:tc>
          <w:tcPr>
            <w:tcW w:w="615"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64</w:t>
            </w:r>
          </w:p>
        </w:tc>
        <w:tc>
          <w:tcPr>
            <w:tcW w:w="615"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实践84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bCs/>
                <w:color w:val="auto"/>
                <w:kern w:val="0"/>
                <w:szCs w:val="18"/>
                <w:highlight w:val="none"/>
              </w:rPr>
            </w:pPr>
            <w:r>
              <w:rPr>
                <w:bCs/>
                <w:color w:val="auto"/>
                <w:kern w:val="0"/>
                <w:szCs w:val="21"/>
                <w:highlight w:val="none"/>
              </w:rPr>
              <w:t>化工仪表</w:t>
            </w:r>
            <w:r>
              <w:rPr>
                <w:rFonts w:hint="eastAsia"/>
                <w:color w:val="auto"/>
                <w:highlight w:val="none"/>
              </w:rPr>
              <w:t>及自动化</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cs="宋体"/>
                <w:bCs/>
                <w:color w:val="auto"/>
                <w:kern w:val="0"/>
                <w:szCs w:val="18"/>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72</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p>
        </w:tc>
        <w:tc>
          <w:tcPr>
            <w:tcW w:w="54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72</w:t>
            </w:r>
          </w:p>
        </w:tc>
        <w:tc>
          <w:tcPr>
            <w:tcW w:w="615"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color w:val="auto"/>
                <w:szCs w:val="18"/>
                <w:highlight w:val="none"/>
              </w:rPr>
            </w:pPr>
            <w:r>
              <w:rPr>
                <w:rFonts w:hint="eastAsia" w:ascii="宋体" w:hAnsi="宋体"/>
                <w:color w:val="auto"/>
                <w:szCs w:val="18"/>
                <w:highlight w:val="none"/>
              </w:rPr>
              <w:t>实践42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bCs/>
                <w:color w:val="auto"/>
                <w:kern w:val="0"/>
                <w:szCs w:val="21"/>
                <w:highlight w:val="none"/>
              </w:rPr>
            </w:pPr>
            <w:r>
              <w:rPr>
                <w:color w:val="auto"/>
                <w:szCs w:val="21"/>
                <w:highlight w:val="none"/>
              </w:rPr>
              <w:t>化工设备基础</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kern w:val="0"/>
                <w:szCs w:val="21"/>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64</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p>
        </w:tc>
        <w:tc>
          <w:tcPr>
            <w:tcW w:w="54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64</w:t>
            </w:r>
          </w:p>
        </w:tc>
        <w:tc>
          <w:tcPr>
            <w:tcW w:w="615"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color w:val="auto"/>
                <w:szCs w:val="18"/>
                <w:highlight w:val="none"/>
              </w:rPr>
            </w:pPr>
            <w:r>
              <w:rPr>
                <w:rFonts w:hint="eastAsia" w:ascii="宋体" w:hAnsi="宋体"/>
                <w:color w:val="auto"/>
                <w:szCs w:val="18"/>
                <w:highlight w:val="none"/>
              </w:rPr>
              <w:t>实践42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bCs/>
                <w:color w:val="auto"/>
                <w:kern w:val="0"/>
                <w:szCs w:val="21"/>
                <w:highlight w:val="none"/>
              </w:rPr>
            </w:pPr>
            <w:r>
              <w:rPr>
                <w:rFonts w:hint="eastAsia" w:ascii="宋体" w:hAnsi="宋体" w:cs="宋体"/>
                <w:color w:val="auto"/>
                <w:kern w:val="0"/>
                <w:szCs w:val="18"/>
                <w:highlight w:val="none"/>
              </w:rPr>
              <w:t>物理化学</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kern w:val="0"/>
                <w:szCs w:val="21"/>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100</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p>
        </w:tc>
        <w:tc>
          <w:tcPr>
            <w:tcW w:w="54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64</w:t>
            </w:r>
          </w:p>
        </w:tc>
        <w:tc>
          <w:tcPr>
            <w:tcW w:w="615"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36</w:t>
            </w:r>
          </w:p>
        </w:tc>
        <w:tc>
          <w:tcPr>
            <w:tcW w:w="66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color w:val="auto"/>
                <w:szCs w:val="18"/>
                <w:highlight w:val="none"/>
              </w:rPr>
            </w:pPr>
            <w:r>
              <w:rPr>
                <w:rFonts w:hint="eastAsia" w:ascii="宋体" w:hAnsi="宋体"/>
                <w:color w:val="auto"/>
                <w:szCs w:val="18"/>
                <w:highlight w:val="none"/>
              </w:rPr>
              <w:t>实践66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bCs/>
                <w:color w:val="auto"/>
                <w:kern w:val="0"/>
                <w:szCs w:val="18"/>
                <w:highlight w:val="none"/>
              </w:rPr>
            </w:pPr>
            <w:r>
              <w:rPr>
                <w:rFonts w:hint="eastAsia"/>
                <w:color w:val="auto"/>
                <w:highlight w:val="none"/>
              </w:rPr>
              <w:t xml:space="preserve">化工制图与CAD </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cs="宋体"/>
                <w:bCs/>
                <w:color w:val="auto"/>
                <w:kern w:val="0"/>
                <w:szCs w:val="18"/>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64</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64</w:t>
            </w:r>
          </w:p>
        </w:tc>
        <w:tc>
          <w:tcPr>
            <w:tcW w:w="615"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实践42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ind w:firstLine="420" w:firstLineChars="200"/>
              <w:rPr>
                <w:color w:val="auto"/>
                <w:szCs w:val="21"/>
                <w:highlight w:val="none"/>
              </w:rPr>
            </w:pPr>
            <w:r>
              <w:rPr>
                <w:rFonts w:hint="eastAsia"/>
                <w:color w:val="auto"/>
                <w:highlight w:val="none"/>
              </w:rPr>
              <w:t>煤化学</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color w:val="auto"/>
                <w:kern w:val="0"/>
                <w:szCs w:val="21"/>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64</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64</w:t>
            </w:r>
          </w:p>
        </w:tc>
        <w:tc>
          <w:tcPr>
            <w:tcW w:w="615"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实践42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bCs/>
                <w:color w:val="auto"/>
                <w:kern w:val="0"/>
                <w:szCs w:val="18"/>
                <w:highlight w:val="none"/>
              </w:rPr>
            </w:pPr>
            <w:r>
              <w:rPr>
                <w:rFonts w:hAnsi="宋体"/>
                <w:color w:val="auto"/>
                <w:szCs w:val="21"/>
                <w:highlight w:val="none"/>
              </w:rPr>
              <w:t>化工环境保护概论</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bCs/>
                <w:color w:val="auto"/>
                <w:kern w:val="0"/>
                <w:szCs w:val="18"/>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32</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32</w:t>
            </w:r>
          </w:p>
        </w:tc>
        <w:tc>
          <w:tcPr>
            <w:tcW w:w="615"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color w:val="auto"/>
                <w:szCs w:val="18"/>
                <w:highlight w:val="none"/>
              </w:rPr>
            </w:pPr>
            <w:r>
              <w:rPr>
                <w:rFonts w:hint="eastAsia" w:ascii="宋体" w:hAnsi="宋体"/>
                <w:color w:val="auto"/>
                <w:szCs w:val="18"/>
                <w:highlight w:val="none"/>
              </w:rPr>
              <w:t>实践22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hAnsi="宋体"/>
                <w:color w:val="auto"/>
                <w:szCs w:val="21"/>
                <w:highlight w:val="none"/>
              </w:rPr>
            </w:pPr>
            <w:r>
              <w:rPr>
                <w:color w:val="auto"/>
                <w:szCs w:val="21"/>
                <w:highlight w:val="none"/>
              </w:rPr>
              <w:t>无机化工生产技术</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kern w:val="0"/>
                <w:szCs w:val="21"/>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72</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72</w:t>
            </w:r>
          </w:p>
        </w:tc>
        <w:tc>
          <w:tcPr>
            <w:tcW w:w="66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实践48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olor w:val="auto"/>
                <w:sz w:val="18"/>
                <w:szCs w:val="18"/>
                <w:highlight w:val="none"/>
              </w:rPr>
            </w:pPr>
            <w:r>
              <w:rPr>
                <w:rFonts w:hint="eastAsia"/>
                <w:color w:val="auto"/>
                <w:highlight w:val="none"/>
              </w:rPr>
              <w:t>煤质分析</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color w:val="auto"/>
                <w:szCs w:val="18"/>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72</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72</w:t>
            </w:r>
          </w:p>
        </w:tc>
        <w:tc>
          <w:tcPr>
            <w:tcW w:w="66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实践48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ind w:firstLine="210" w:firstLineChars="100"/>
              <w:rPr>
                <w:rFonts w:ascii="宋体" w:hAnsi="宋体"/>
                <w:color w:val="auto"/>
                <w:sz w:val="18"/>
                <w:szCs w:val="18"/>
                <w:highlight w:val="none"/>
              </w:rPr>
            </w:pPr>
            <w:r>
              <w:rPr>
                <w:rFonts w:hint="eastAsia"/>
                <w:color w:val="auto"/>
                <w:highlight w:val="none"/>
              </w:rPr>
              <w:t>煤气化工艺</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72</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72</w:t>
            </w:r>
          </w:p>
        </w:tc>
        <w:tc>
          <w:tcPr>
            <w:tcW w:w="66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实践48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left w:val="single" w:color="auto" w:sz="12" w:space="0"/>
              <w:right w:val="single" w:color="auto" w:sz="6" w:space="0"/>
            </w:tcBorders>
            <w:noWrap/>
            <w:textDirection w:val="tbRlV"/>
            <w:vAlign w:val="center"/>
          </w:tcPr>
          <w:p>
            <w:pPr>
              <w:widowControl/>
              <w:ind w:left="113" w:right="113"/>
              <w:jc w:val="center"/>
              <w:rPr>
                <w:rFonts w:ascii="宋体" w:hAnsi="宋体"/>
                <w:b/>
                <w:color w:val="auto"/>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rPr>
                <w:rFonts w:hAnsi="宋体"/>
                <w:color w:val="auto"/>
                <w:szCs w:val="21"/>
                <w:highlight w:val="none"/>
              </w:rPr>
            </w:pPr>
            <w:r>
              <w:rPr>
                <w:rFonts w:hint="eastAsia"/>
                <w:color w:val="auto"/>
                <w:highlight w:val="none"/>
              </w:rPr>
              <w:t>化工文献检索与处理</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36</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36</w:t>
            </w:r>
          </w:p>
        </w:tc>
        <w:tc>
          <w:tcPr>
            <w:tcW w:w="660" w:type="dxa"/>
            <w:tcBorders>
              <w:top w:val="single" w:color="auto" w:sz="4" w:space="0"/>
              <w:left w:val="single" w:color="auto" w:sz="6" w:space="0"/>
              <w:bottom w:val="single" w:color="auto" w:sz="4" w:space="0"/>
              <w:right w:val="single" w:color="auto" w:sz="4" w:space="0"/>
            </w:tcBorders>
            <w:noWrap/>
            <w:vAlign w:val="center"/>
          </w:tcPr>
          <w:p>
            <w:pPr>
              <w:spacing w:line="360" w:lineRule="auto"/>
              <w:jc w:val="center"/>
              <w:rPr>
                <w:rFonts w:ascii="宋体" w:hAnsi="宋体"/>
                <w:color w:val="auto"/>
                <w:szCs w:val="18"/>
                <w:highlight w:val="none"/>
              </w:rPr>
            </w:pPr>
          </w:p>
        </w:tc>
        <w:tc>
          <w:tcPr>
            <w:tcW w:w="660"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color w:val="auto"/>
                <w:szCs w:val="18"/>
                <w:highlight w:val="none"/>
              </w:rPr>
            </w:pPr>
            <w:r>
              <w:rPr>
                <w:rFonts w:hint="eastAsia" w:ascii="宋体" w:hAnsi="宋体"/>
                <w:color w:val="auto"/>
                <w:szCs w:val="18"/>
                <w:highlight w:val="none"/>
              </w:rPr>
              <w:t>实践24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left w:val="single" w:color="auto" w:sz="12" w:space="0"/>
              <w:right w:val="single" w:color="auto" w:sz="6" w:space="0"/>
            </w:tcBorders>
            <w:noWrap/>
            <w:textDirection w:val="tbRlV"/>
            <w:vAlign w:val="center"/>
          </w:tcPr>
          <w:p>
            <w:pPr>
              <w:widowControl/>
              <w:ind w:left="113" w:right="113"/>
              <w:jc w:val="center"/>
              <w:rPr>
                <w:rFonts w:ascii="宋体" w:hAnsi="宋体"/>
                <w:b/>
                <w:color w:val="auto"/>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rPr>
                <w:rFonts w:hAnsi="宋体"/>
                <w:color w:val="auto"/>
                <w:szCs w:val="21"/>
                <w:highlight w:val="none"/>
              </w:rPr>
            </w:pPr>
            <w:r>
              <w:rPr>
                <w:rFonts w:hint="eastAsia"/>
                <w:color w:val="auto"/>
                <w:highlight w:val="none"/>
              </w:rPr>
              <w:t>现代煤化工技术</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color w:val="auto"/>
                <w:szCs w:val="18"/>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72</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72</w:t>
            </w:r>
          </w:p>
        </w:tc>
        <w:tc>
          <w:tcPr>
            <w:tcW w:w="660" w:type="dxa"/>
            <w:tcBorders>
              <w:top w:val="single" w:color="auto" w:sz="4" w:space="0"/>
              <w:left w:val="single" w:color="auto" w:sz="6" w:space="0"/>
              <w:bottom w:val="single" w:color="auto" w:sz="4" w:space="0"/>
              <w:right w:val="single" w:color="auto" w:sz="4" w:space="0"/>
            </w:tcBorders>
            <w:noWrap/>
            <w:vAlign w:val="center"/>
          </w:tcPr>
          <w:p>
            <w:pPr>
              <w:spacing w:line="360" w:lineRule="auto"/>
              <w:jc w:val="center"/>
              <w:rPr>
                <w:rFonts w:ascii="宋体" w:hAnsi="宋体"/>
                <w:color w:val="auto"/>
                <w:szCs w:val="18"/>
                <w:highlight w:val="none"/>
              </w:rPr>
            </w:pPr>
          </w:p>
        </w:tc>
        <w:tc>
          <w:tcPr>
            <w:tcW w:w="660"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实践48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rPr>
                <w:rFonts w:ascii="宋体" w:hAnsi="宋体" w:cs="宋体"/>
                <w:color w:val="auto"/>
                <w:kern w:val="0"/>
                <w:szCs w:val="18"/>
                <w:highlight w:val="none"/>
              </w:rPr>
            </w:pP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color w:val="auto"/>
                <w:szCs w:val="18"/>
                <w:highlight w:val="none"/>
              </w:rPr>
            </w:pP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4" w:space="0"/>
              <w:left w:val="single" w:color="auto" w:sz="6" w:space="0"/>
              <w:bottom w:val="single" w:color="auto" w:sz="4" w:space="0"/>
              <w:right w:val="single" w:color="auto" w:sz="4" w:space="0"/>
            </w:tcBorders>
            <w:noWrap/>
            <w:vAlign w:val="center"/>
          </w:tcPr>
          <w:p>
            <w:pPr>
              <w:spacing w:line="360" w:lineRule="auto"/>
              <w:jc w:val="center"/>
              <w:rPr>
                <w:rFonts w:ascii="宋体" w:hAnsi="宋体"/>
                <w:color w:val="auto"/>
                <w:szCs w:val="18"/>
                <w:highlight w:val="none"/>
              </w:rPr>
            </w:pPr>
          </w:p>
        </w:tc>
        <w:tc>
          <w:tcPr>
            <w:tcW w:w="660"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spacing w:line="240" w:lineRule="exact"/>
              <w:jc w:val="center"/>
              <w:rPr>
                <w:rFonts w:ascii="宋体" w:hAnsi="宋体"/>
                <w:color w:val="auto"/>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3" w:hRule="atLeast"/>
          <w:jc w:val="center"/>
        </w:trPr>
        <w:tc>
          <w:tcPr>
            <w:tcW w:w="688" w:type="dxa"/>
            <w:vMerge w:val="continue"/>
            <w:tcBorders>
              <w:top w:val="single" w:color="auto" w:sz="6" w:space="0"/>
              <w:left w:val="single" w:color="auto" w:sz="12" w:space="0"/>
              <w:bottom w:val="single" w:color="auto" w:sz="4"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6" w:space="0"/>
              <w:left w:val="single" w:color="auto" w:sz="6" w:space="0"/>
              <w:bottom w:val="single" w:color="auto" w:sz="4"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小计</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color w:val="auto"/>
                <w:kern w:val="0"/>
                <w:szCs w:val="18"/>
                <w:highlight w:val="none"/>
              </w:rPr>
            </w:pPr>
          </w:p>
        </w:tc>
        <w:tc>
          <w:tcPr>
            <w:tcW w:w="440" w:type="dxa"/>
            <w:tcBorders>
              <w:top w:val="single" w:color="auto" w:sz="6" w:space="0"/>
              <w:left w:val="single" w:color="auto" w:sz="6" w:space="0"/>
              <w:bottom w:val="single" w:color="auto" w:sz="6" w:space="0"/>
              <w:right w:val="single" w:color="auto" w:sz="6" w:space="0"/>
            </w:tcBorders>
            <w:noWrap/>
            <w:vAlign w:val="center"/>
          </w:tcPr>
          <w:p>
            <w:pPr>
              <w:spacing w:line="360" w:lineRule="auto"/>
              <w:jc w:val="center"/>
              <w:rPr>
                <w:rFonts w:ascii="宋体" w:hAnsi="宋体"/>
                <w:color w:val="auto"/>
                <w:szCs w:val="18"/>
                <w:highlight w:val="none"/>
              </w:rPr>
            </w:pPr>
          </w:p>
        </w:tc>
        <w:tc>
          <w:tcPr>
            <w:tcW w:w="666" w:type="dxa"/>
            <w:tcBorders>
              <w:top w:val="single" w:color="auto" w:sz="4" w:space="0"/>
              <w:left w:val="single" w:color="auto" w:sz="6" w:space="0"/>
              <w:bottom w:val="single" w:color="auto" w:sz="4" w:space="0"/>
              <w:right w:val="single" w:color="auto" w:sz="6" w:space="0"/>
            </w:tcBorders>
            <w:noWrap/>
            <w:vAlign w:val="center"/>
          </w:tcPr>
          <w:p>
            <w:pPr>
              <w:spacing w:line="360" w:lineRule="auto"/>
              <w:jc w:val="center"/>
              <w:rPr>
                <w:rFonts w:ascii="宋体" w:hAnsi="宋体" w:eastAsia="宋体"/>
                <w:color w:val="auto"/>
                <w:szCs w:val="18"/>
                <w:highlight w:val="none"/>
              </w:rPr>
            </w:pPr>
            <w:r>
              <w:rPr>
                <w:rFonts w:hint="eastAsia" w:ascii="宋体" w:hAnsi="宋体"/>
                <w:color w:val="auto"/>
                <w:szCs w:val="18"/>
                <w:highlight w:val="none"/>
              </w:rPr>
              <w:t>1088</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160</w:t>
            </w:r>
          </w:p>
        </w:tc>
        <w:tc>
          <w:tcPr>
            <w:tcW w:w="54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216</w:t>
            </w:r>
          </w:p>
        </w:tc>
        <w:tc>
          <w:tcPr>
            <w:tcW w:w="615"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352</w:t>
            </w:r>
          </w:p>
        </w:tc>
        <w:tc>
          <w:tcPr>
            <w:tcW w:w="615"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360</w:t>
            </w:r>
          </w:p>
        </w:tc>
        <w:tc>
          <w:tcPr>
            <w:tcW w:w="660" w:type="dxa"/>
            <w:tcBorders>
              <w:top w:val="single" w:color="auto" w:sz="4" w:space="0"/>
              <w:left w:val="single" w:color="auto" w:sz="6" w:space="0"/>
              <w:bottom w:val="single" w:color="auto" w:sz="4" w:space="0"/>
              <w:right w:val="single" w:color="auto" w:sz="4" w:space="0"/>
            </w:tcBorders>
            <w:noWrap/>
            <w:vAlign w:val="center"/>
          </w:tcPr>
          <w:p>
            <w:pPr>
              <w:spacing w:line="360" w:lineRule="auto"/>
              <w:jc w:val="center"/>
              <w:rPr>
                <w:rFonts w:ascii="宋体" w:hAnsi="宋体"/>
                <w:color w:val="auto"/>
                <w:szCs w:val="18"/>
                <w:highlight w:val="none"/>
              </w:rPr>
            </w:pPr>
          </w:p>
        </w:tc>
        <w:tc>
          <w:tcPr>
            <w:tcW w:w="660"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spacing w:line="240" w:lineRule="exact"/>
              <w:jc w:val="center"/>
              <w:rPr>
                <w:rFonts w:hint="eastAsia" w:ascii="宋体" w:hAnsi="宋体" w:eastAsiaTheme="minorEastAsia"/>
                <w:color w:val="auto"/>
                <w:szCs w:val="18"/>
                <w:highlight w:val="none"/>
                <w:lang w:eastAsia="zh-CN"/>
              </w:rPr>
            </w:pPr>
            <w:r>
              <w:rPr>
                <w:rFonts w:hint="eastAsia" w:ascii="宋体" w:hAnsi="宋体"/>
                <w:color w:val="auto"/>
                <w:szCs w:val="18"/>
                <w:highlight w:val="none"/>
              </w:rPr>
              <w:t>实践71</w:t>
            </w:r>
            <w:r>
              <w:rPr>
                <w:rFonts w:hint="eastAsia" w:ascii="宋体" w:hAnsi="宋体"/>
                <w:color w:val="auto"/>
                <w:szCs w:val="18"/>
                <w:highlight w:val="none"/>
                <w:lang w:val="en-US" w:eastAsia="zh-CN"/>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restart"/>
            <w:tcBorders>
              <w:top w:val="single" w:color="auto" w:sz="4" w:space="0"/>
              <w:left w:val="single" w:color="auto" w:sz="12" w:space="0"/>
              <w:right w:val="single" w:color="auto" w:sz="6" w:space="0"/>
            </w:tcBorders>
            <w:noWrap/>
            <w:vAlign w:val="center"/>
          </w:tcPr>
          <w:p>
            <w:pPr>
              <w:widowControl/>
              <w:jc w:val="left"/>
              <w:rPr>
                <w:rFonts w:ascii="宋体" w:hAnsi="宋体"/>
                <w:color w:val="auto"/>
                <w:szCs w:val="18"/>
                <w:highlight w:val="none"/>
              </w:rPr>
            </w:pPr>
            <w:r>
              <w:rPr>
                <w:rFonts w:hint="eastAsia" w:ascii="宋体" w:hAnsi="宋体"/>
                <w:b/>
                <w:color w:val="auto"/>
                <w:szCs w:val="18"/>
                <w:highlight w:val="none"/>
              </w:rPr>
              <w:t>专业限选课程</w:t>
            </w:r>
          </w:p>
        </w:tc>
        <w:tc>
          <w:tcPr>
            <w:tcW w:w="1737" w:type="dxa"/>
            <w:gridSpan w:val="2"/>
            <w:tcBorders>
              <w:top w:val="single" w:color="auto" w:sz="4" w:space="0"/>
              <w:left w:val="single" w:color="auto" w:sz="6"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r>
              <w:rPr>
                <w:rFonts w:hint="eastAsia" w:ascii="宋体" w:hAnsi="宋体" w:cs="宋体"/>
                <w:color w:val="auto"/>
                <w:kern w:val="0"/>
                <w:szCs w:val="18"/>
                <w:highlight w:val="none"/>
              </w:rPr>
              <w:t>艺术哲学：美是如何诞生的</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exact"/>
              <w:rPr>
                <w:rFonts w:ascii="宋体" w:hAnsi="宋体" w:cs="宋体"/>
                <w:color w:val="auto"/>
                <w:kern w:val="0"/>
                <w:szCs w:val="18"/>
                <w:highlight w:val="none"/>
              </w:rPr>
            </w:pPr>
            <w:r>
              <w:rPr>
                <w:rFonts w:hint="eastAsia" w:ascii="宋体"/>
                <w:color w:val="auto"/>
                <w:szCs w:val="18"/>
                <w:highlight w:val="none"/>
              </w:rPr>
              <w:t>选修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A</w:t>
            </w: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660"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vMerge w:val="restart"/>
            <w:tcBorders>
              <w:top w:val="single" w:color="auto" w:sz="6" w:space="0"/>
              <w:left w:val="single" w:color="auto" w:sz="6" w:space="0"/>
              <w:bottom w:val="single" w:color="auto" w:sz="6" w:space="0"/>
              <w:right w:val="single" w:color="auto" w:sz="12" w:space="0"/>
            </w:tcBorders>
            <w:noWrap/>
            <w:vAlign w:val="center"/>
          </w:tcPr>
          <w:p>
            <w:pPr>
              <w:spacing w:line="240" w:lineRule="exact"/>
              <w:jc w:val="center"/>
              <w:rPr>
                <w:rFonts w:ascii="宋体" w:hAnsi="宋体"/>
                <w:color w:val="auto"/>
                <w:szCs w:val="18"/>
                <w:highlight w:val="none"/>
              </w:rPr>
            </w:pPr>
            <w:r>
              <w:rPr>
                <w:rFonts w:hint="eastAsia" w:ascii="宋体" w:hAnsi="宋体"/>
                <w:color w:val="auto"/>
                <w:szCs w:val="18"/>
                <w:highlight w:val="none"/>
              </w:rPr>
              <w:t>任选5门课程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6"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6" w:space="0"/>
              <w:left w:val="single" w:color="auto" w:sz="6" w:space="0"/>
              <w:bottom w:val="single" w:color="auto" w:sz="4" w:space="0"/>
              <w:right w:val="single" w:color="auto" w:sz="6" w:space="0"/>
            </w:tcBorders>
            <w:noWrap/>
            <w:vAlign w:val="center"/>
          </w:tcPr>
          <w:p>
            <w:pPr>
              <w:widowControl/>
              <w:jc w:val="center"/>
              <w:rPr>
                <w:rFonts w:ascii="宋体" w:hAnsi="宋体" w:cs="宋体"/>
                <w:color w:val="auto"/>
                <w:kern w:val="0"/>
                <w:szCs w:val="18"/>
                <w:highlight w:val="none"/>
              </w:rPr>
            </w:pPr>
            <w:r>
              <w:rPr>
                <w:rFonts w:hint="eastAsia" w:ascii="宋体" w:hAnsi="宋体" w:cs="宋体"/>
                <w:color w:val="auto"/>
                <w:kern w:val="0"/>
                <w:szCs w:val="18"/>
                <w:highlight w:val="none"/>
              </w:rPr>
              <w:t>习近平新时代中国特色社会主义思想与当代中国</w:t>
            </w:r>
          </w:p>
        </w:tc>
        <w:tc>
          <w:tcPr>
            <w:tcW w:w="910" w:type="dxa"/>
            <w:tcBorders>
              <w:top w:val="single" w:color="auto" w:sz="6" w:space="0"/>
              <w:left w:val="single" w:color="auto" w:sz="6" w:space="0"/>
              <w:bottom w:val="single" w:color="auto" w:sz="4" w:space="0"/>
              <w:right w:val="single" w:color="auto" w:sz="6" w:space="0"/>
            </w:tcBorders>
            <w:noWrap/>
            <w:vAlign w:val="center"/>
          </w:tcPr>
          <w:p>
            <w:pPr>
              <w:widowControl/>
              <w:spacing w:line="360" w:lineRule="exact"/>
              <w:rPr>
                <w:rFonts w:ascii="宋体" w:hAnsi="宋体" w:cs="宋体"/>
                <w:color w:val="auto"/>
                <w:kern w:val="0"/>
                <w:szCs w:val="18"/>
                <w:highlight w:val="none"/>
              </w:rPr>
            </w:pPr>
            <w:r>
              <w:rPr>
                <w:rFonts w:hint="eastAsia" w:ascii="宋体"/>
                <w:color w:val="auto"/>
                <w:szCs w:val="18"/>
                <w:highlight w:val="none"/>
              </w:rPr>
              <w:t>选修</w:t>
            </w:r>
          </w:p>
        </w:tc>
        <w:tc>
          <w:tcPr>
            <w:tcW w:w="440" w:type="dxa"/>
            <w:tcBorders>
              <w:top w:val="single" w:color="auto" w:sz="6" w:space="0"/>
              <w:left w:val="single" w:color="auto" w:sz="6" w:space="0"/>
              <w:bottom w:val="single" w:color="auto" w:sz="4"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A</w:t>
            </w:r>
          </w:p>
        </w:tc>
        <w:tc>
          <w:tcPr>
            <w:tcW w:w="666" w:type="dxa"/>
            <w:tcBorders>
              <w:top w:val="single" w:color="auto" w:sz="6"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550" w:type="dxa"/>
            <w:tcBorders>
              <w:top w:val="single" w:color="auto" w:sz="6"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6"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660" w:type="dxa"/>
            <w:tcBorders>
              <w:top w:val="single" w:color="auto" w:sz="6"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vMerge w:val="continue"/>
            <w:tcBorders>
              <w:top w:val="single" w:color="auto" w:sz="6" w:space="0"/>
              <w:left w:val="single" w:color="auto" w:sz="6" w:space="0"/>
              <w:bottom w:val="single" w:color="auto" w:sz="4" w:space="0"/>
              <w:right w:val="single" w:color="auto" w:sz="12" w:space="0"/>
            </w:tcBorders>
            <w:noWrap/>
            <w:vAlign w:val="center"/>
          </w:tcPr>
          <w:p>
            <w:pPr>
              <w:spacing w:line="240" w:lineRule="exact"/>
              <w:jc w:val="center"/>
              <w:rPr>
                <w:rFonts w:ascii="宋体" w:hAnsi="宋体"/>
                <w:color w:val="auto"/>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3"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4" w:space="0"/>
              <w:left w:val="single" w:color="auto" w:sz="6" w:space="0"/>
              <w:bottom w:val="single" w:color="auto" w:sz="4" w:space="0"/>
              <w:right w:val="single" w:color="auto" w:sz="6" w:space="0"/>
            </w:tcBorders>
            <w:noWrap/>
            <w:vAlign w:val="center"/>
          </w:tcPr>
          <w:p>
            <w:pPr>
              <w:widowControl/>
              <w:jc w:val="center"/>
              <w:rPr>
                <w:rFonts w:ascii="宋体" w:hAnsi="宋体" w:cs="宋体"/>
                <w:color w:val="auto"/>
                <w:kern w:val="0"/>
                <w:szCs w:val="18"/>
                <w:highlight w:val="none"/>
              </w:rPr>
            </w:pPr>
            <w:r>
              <w:rPr>
                <w:rFonts w:hint="eastAsia" w:ascii="宋体" w:hAnsi="宋体" w:cs="宋体"/>
                <w:color w:val="auto"/>
                <w:kern w:val="0"/>
                <w:szCs w:val="18"/>
                <w:highlight w:val="none"/>
              </w:rPr>
              <w:t>人工智能与信息社会</w:t>
            </w:r>
          </w:p>
        </w:tc>
        <w:tc>
          <w:tcPr>
            <w:tcW w:w="910"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exact"/>
              <w:rPr>
                <w:rFonts w:ascii="宋体" w:hAnsi="宋体" w:cs="宋体"/>
                <w:color w:val="auto"/>
                <w:kern w:val="0"/>
                <w:szCs w:val="18"/>
                <w:highlight w:val="none"/>
              </w:rPr>
            </w:pPr>
            <w:r>
              <w:rPr>
                <w:rFonts w:hint="eastAsia" w:ascii="宋体"/>
                <w:color w:val="auto"/>
                <w:szCs w:val="18"/>
                <w:highlight w:val="none"/>
              </w:rPr>
              <w:t>选修</w:t>
            </w:r>
          </w:p>
        </w:tc>
        <w:tc>
          <w:tcPr>
            <w:tcW w:w="440" w:type="dxa"/>
            <w:tcBorders>
              <w:top w:val="single" w:color="auto" w:sz="4" w:space="0"/>
              <w:left w:val="single" w:color="auto" w:sz="6" w:space="0"/>
              <w:bottom w:val="single" w:color="auto" w:sz="4"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A</w:t>
            </w: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660"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vMerge w:val="continue"/>
            <w:tcBorders>
              <w:top w:val="single" w:color="auto" w:sz="4" w:space="0"/>
              <w:left w:val="single" w:color="auto" w:sz="6" w:space="0"/>
              <w:bottom w:val="single" w:color="auto" w:sz="4" w:space="0"/>
              <w:right w:val="single" w:color="auto" w:sz="12" w:space="0"/>
            </w:tcBorders>
            <w:noWrap/>
            <w:vAlign w:val="center"/>
          </w:tcPr>
          <w:p>
            <w:pPr>
              <w:spacing w:line="240" w:lineRule="exact"/>
              <w:jc w:val="center"/>
              <w:rPr>
                <w:rFonts w:ascii="宋体" w:hAnsi="宋体"/>
                <w:color w:val="auto"/>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4" w:space="0"/>
              <w:left w:val="single" w:color="auto" w:sz="6" w:space="0"/>
              <w:bottom w:val="single" w:color="auto" w:sz="4"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化学与人类</w:t>
            </w:r>
          </w:p>
        </w:tc>
        <w:tc>
          <w:tcPr>
            <w:tcW w:w="910"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color w:val="auto"/>
                <w:szCs w:val="18"/>
                <w:highlight w:val="none"/>
              </w:rPr>
              <w:t>选修</w:t>
            </w:r>
          </w:p>
        </w:tc>
        <w:tc>
          <w:tcPr>
            <w:tcW w:w="440"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A</w:t>
            </w: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660"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vMerge w:val="continue"/>
            <w:tcBorders>
              <w:top w:val="single" w:color="auto" w:sz="4" w:space="0"/>
              <w:left w:val="single" w:color="auto" w:sz="6" w:space="0"/>
              <w:bottom w:val="single" w:color="auto" w:sz="4" w:space="0"/>
              <w:right w:val="single" w:color="auto" w:sz="12" w:space="0"/>
            </w:tcBorders>
            <w:noWrap/>
            <w:vAlign w:val="center"/>
          </w:tcPr>
          <w:p>
            <w:pPr>
              <w:spacing w:line="240" w:lineRule="exact"/>
              <w:jc w:val="center"/>
              <w:rPr>
                <w:rFonts w:ascii="宋体" w:hAnsi="宋体"/>
                <w:color w:val="auto"/>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8"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4" w:space="0"/>
              <w:left w:val="single" w:color="auto" w:sz="6" w:space="0"/>
              <w:bottom w:val="single" w:color="auto" w:sz="4"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家园的治理：环境科学概论</w:t>
            </w:r>
          </w:p>
        </w:tc>
        <w:tc>
          <w:tcPr>
            <w:tcW w:w="910"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color w:val="auto"/>
                <w:szCs w:val="18"/>
                <w:highlight w:val="none"/>
              </w:rPr>
              <w:t>选修</w:t>
            </w:r>
          </w:p>
        </w:tc>
        <w:tc>
          <w:tcPr>
            <w:tcW w:w="440"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A</w:t>
            </w: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660"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vMerge w:val="continue"/>
            <w:tcBorders>
              <w:top w:val="single" w:color="auto" w:sz="4" w:space="0"/>
              <w:left w:val="single" w:color="auto" w:sz="6" w:space="0"/>
              <w:bottom w:val="single" w:color="auto" w:sz="4" w:space="0"/>
              <w:right w:val="single" w:color="auto" w:sz="12" w:space="0"/>
            </w:tcBorders>
            <w:noWrap/>
            <w:vAlign w:val="center"/>
          </w:tcPr>
          <w:p>
            <w:pPr>
              <w:spacing w:line="240" w:lineRule="exact"/>
              <w:jc w:val="center"/>
              <w:rPr>
                <w:rFonts w:ascii="宋体" w:hAnsi="宋体"/>
                <w:color w:val="auto"/>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4" w:space="0"/>
              <w:left w:val="single" w:color="auto" w:sz="6" w:space="0"/>
              <w:bottom w:val="single" w:color="auto" w:sz="4" w:space="0"/>
              <w:right w:val="single" w:color="auto" w:sz="6" w:space="0"/>
            </w:tcBorders>
            <w:noWrap/>
            <w:vAlign w:val="center"/>
          </w:tcPr>
          <w:p>
            <w:pPr>
              <w:widowControl/>
              <w:jc w:val="center"/>
              <w:rPr>
                <w:rFonts w:ascii="宋体" w:hAnsi="宋体" w:cs="宋体"/>
                <w:color w:val="auto"/>
                <w:kern w:val="0"/>
                <w:szCs w:val="18"/>
                <w:highlight w:val="none"/>
              </w:rPr>
            </w:pPr>
            <w:r>
              <w:rPr>
                <w:rFonts w:hint="eastAsia" w:ascii="宋体" w:hAnsi="宋体" w:cs="宋体"/>
                <w:color w:val="auto"/>
                <w:kern w:val="0"/>
                <w:szCs w:val="18"/>
                <w:highlight w:val="none"/>
              </w:rPr>
              <w:t>情绪管理</w:t>
            </w:r>
          </w:p>
        </w:tc>
        <w:tc>
          <w:tcPr>
            <w:tcW w:w="910"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exact"/>
              <w:rPr>
                <w:rFonts w:ascii="宋体" w:hAnsi="宋体" w:cs="宋体"/>
                <w:color w:val="auto"/>
                <w:kern w:val="0"/>
                <w:szCs w:val="18"/>
                <w:highlight w:val="none"/>
              </w:rPr>
            </w:pPr>
            <w:r>
              <w:rPr>
                <w:rFonts w:hint="eastAsia" w:ascii="宋体"/>
                <w:color w:val="auto"/>
                <w:szCs w:val="18"/>
                <w:highlight w:val="none"/>
              </w:rPr>
              <w:t>选修</w:t>
            </w:r>
          </w:p>
        </w:tc>
        <w:tc>
          <w:tcPr>
            <w:tcW w:w="440" w:type="dxa"/>
            <w:tcBorders>
              <w:top w:val="single" w:color="auto" w:sz="4" w:space="0"/>
              <w:left w:val="single" w:color="auto" w:sz="6" w:space="0"/>
              <w:bottom w:val="single" w:color="auto" w:sz="4"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A</w:t>
            </w: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660"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vMerge w:val="continue"/>
            <w:tcBorders>
              <w:top w:val="single" w:color="auto" w:sz="4" w:space="0"/>
              <w:left w:val="single" w:color="auto" w:sz="6" w:space="0"/>
              <w:bottom w:val="single" w:color="auto" w:sz="4" w:space="0"/>
              <w:right w:val="single" w:color="auto" w:sz="12" w:space="0"/>
            </w:tcBorders>
            <w:noWrap/>
            <w:vAlign w:val="center"/>
          </w:tcPr>
          <w:p>
            <w:pPr>
              <w:spacing w:line="240" w:lineRule="exact"/>
              <w:jc w:val="center"/>
              <w:rPr>
                <w:rFonts w:ascii="宋体" w:hAnsi="宋体"/>
                <w:color w:val="auto"/>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8"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4"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ascii="宋体" w:hAnsi="宋体" w:cs="宋体"/>
                <w:color w:val="auto"/>
                <w:kern w:val="0"/>
                <w:szCs w:val="18"/>
                <w:highlight w:val="none"/>
              </w:rPr>
              <w:t>突发事件及自救互救</w:t>
            </w:r>
          </w:p>
        </w:tc>
        <w:tc>
          <w:tcPr>
            <w:tcW w:w="910" w:type="dxa"/>
            <w:tcBorders>
              <w:top w:val="single" w:color="auto" w:sz="4"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color w:val="auto"/>
                <w:szCs w:val="18"/>
                <w:highlight w:val="none"/>
              </w:rPr>
              <w:t>选修</w:t>
            </w:r>
          </w:p>
        </w:tc>
        <w:tc>
          <w:tcPr>
            <w:tcW w:w="440" w:type="dxa"/>
            <w:tcBorders>
              <w:top w:val="single" w:color="auto" w:sz="4"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A</w:t>
            </w:r>
          </w:p>
        </w:tc>
        <w:tc>
          <w:tcPr>
            <w:tcW w:w="666" w:type="dxa"/>
            <w:tcBorders>
              <w:top w:val="single" w:color="auto" w:sz="4"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550" w:type="dxa"/>
            <w:tcBorders>
              <w:top w:val="single" w:color="auto" w:sz="4"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4"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4"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4"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4"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660" w:type="dxa"/>
            <w:tcBorders>
              <w:top w:val="single" w:color="auto" w:sz="4"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vMerge w:val="continue"/>
            <w:tcBorders>
              <w:top w:val="single" w:color="auto" w:sz="4" w:space="0"/>
              <w:left w:val="single" w:color="auto" w:sz="6" w:space="0"/>
              <w:bottom w:val="single" w:color="auto" w:sz="6" w:space="0"/>
              <w:right w:val="single" w:color="auto" w:sz="12" w:space="0"/>
            </w:tcBorders>
            <w:noWrap/>
            <w:vAlign w:val="center"/>
          </w:tcPr>
          <w:p>
            <w:pPr>
              <w:spacing w:line="240" w:lineRule="exact"/>
              <w:jc w:val="center"/>
              <w:rPr>
                <w:rFonts w:ascii="宋体" w:hAnsi="宋体"/>
                <w:color w:val="auto"/>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 w:hRule="atLeast"/>
          <w:jc w:val="center"/>
        </w:trPr>
        <w:tc>
          <w:tcPr>
            <w:tcW w:w="688" w:type="dxa"/>
            <w:vMerge w:val="continue"/>
            <w:tcBorders>
              <w:left w:val="single" w:color="auto" w:sz="12" w:space="0"/>
              <w:bottom w:val="single" w:color="auto" w:sz="6"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6" w:space="0"/>
              <w:left w:val="single" w:color="auto" w:sz="6" w:space="0"/>
              <w:bottom w:val="single" w:color="auto" w:sz="4" w:space="0"/>
              <w:right w:val="single" w:color="auto" w:sz="6" w:space="0"/>
            </w:tcBorders>
            <w:noWrap/>
            <w:vAlign w:val="center"/>
          </w:tcPr>
          <w:p>
            <w:pPr>
              <w:widowControl/>
              <w:jc w:val="center"/>
              <w:rPr>
                <w:rFonts w:ascii="宋体" w:hAnsi="宋体" w:cs="宋体"/>
                <w:color w:val="auto"/>
                <w:kern w:val="0"/>
                <w:szCs w:val="18"/>
                <w:highlight w:val="none"/>
              </w:rPr>
            </w:pPr>
            <w:r>
              <w:rPr>
                <w:rFonts w:hint="eastAsia" w:ascii="宋体" w:hAnsi="宋体" w:cs="宋体"/>
                <w:color w:val="auto"/>
                <w:kern w:val="0"/>
                <w:szCs w:val="18"/>
                <w:highlight w:val="none"/>
              </w:rPr>
              <w:t>大学生恋爱与性教育</w:t>
            </w:r>
          </w:p>
        </w:tc>
        <w:tc>
          <w:tcPr>
            <w:tcW w:w="910" w:type="dxa"/>
            <w:tcBorders>
              <w:top w:val="single" w:color="auto" w:sz="6" w:space="0"/>
              <w:left w:val="single" w:color="auto" w:sz="6" w:space="0"/>
              <w:bottom w:val="single" w:color="auto" w:sz="4" w:space="0"/>
              <w:right w:val="single" w:color="auto" w:sz="6" w:space="0"/>
            </w:tcBorders>
            <w:noWrap/>
            <w:vAlign w:val="center"/>
          </w:tcPr>
          <w:p>
            <w:pPr>
              <w:widowControl/>
              <w:spacing w:line="360" w:lineRule="exact"/>
              <w:rPr>
                <w:rFonts w:ascii="宋体" w:hAnsi="宋体" w:cs="宋体"/>
                <w:color w:val="auto"/>
                <w:kern w:val="0"/>
                <w:szCs w:val="18"/>
                <w:highlight w:val="none"/>
              </w:rPr>
            </w:pPr>
            <w:r>
              <w:rPr>
                <w:rFonts w:hint="eastAsia" w:ascii="宋体"/>
                <w:color w:val="auto"/>
                <w:szCs w:val="18"/>
                <w:highlight w:val="none"/>
              </w:rPr>
              <w:t>选修</w:t>
            </w:r>
          </w:p>
        </w:tc>
        <w:tc>
          <w:tcPr>
            <w:tcW w:w="440" w:type="dxa"/>
            <w:tcBorders>
              <w:top w:val="single" w:color="auto" w:sz="6" w:space="0"/>
              <w:left w:val="single" w:color="auto" w:sz="6" w:space="0"/>
              <w:bottom w:val="single" w:color="auto" w:sz="4"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A</w:t>
            </w:r>
          </w:p>
        </w:tc>
        <w:tc>
          <w:tcPr>
            <w:tcW w:w="666" w:type="dxa"/>
            <w:tcBorders>
              <w:top w:val="single" w:color="auto" w:sz="6"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550" w:type="dxa"/>
            <w:tcBorders>
              <w:top w:val="single" w:color="auto" w:sz="6"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6"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4" w:space="0"/>
              <w:right w:val="single" w:color="auto" w:sz="4" w:space="0"/>
            </w:tcBorders>
            <w:noWrap/>
            <w:vAlign w:val="center"/>
          </w:tcPr>
          <w:p>
            <w:pPr>
              <w:widowControl/>
              <w:spacing w:line="360" w:lineRule="auto"/>
              <w:rPr>
                <w:rFonts w:ascii="宋体" w:hAnsi="宋体"/>
                <w:color w:val="auto"/>
                <w:szCs w:val="18"/>
                <w:highlight w:val="none"/>
              </w:rPr>
            </w:pPr>
          </w:p>
        </w:tc>
        <w:tc>
          <w:tcPr>
            <w:tcW w:w="660" w:type="dxa"/>
            <w:tcBorders>
              <w:top w:val="single" w:color="auto" w:sz="6"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660" w:type="dxa"/>
            <w:tcBorders>
              <w:top w:val="single" w:color="auto" w:sz="6"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vMerge w:val="continue"/>
            <w:tcBorders>
              <w:top w:val="single" w:color="auto" w:sz="6" w:space="0"/>
              <w:left w:val="single" w:color="auto" w:sz="6" w:space="0"/>
              <w:bottom w:val="single" w:color="auto" w:sz="4" w:space="0"/>
              <w:right w:val="single" w:color="auto" w:sz="12" w:space="0"/>
            </w:tcBorders>
            <w:noWrap/>
            <w:vAlign w:val="center"/>
          </w:tcPr>
          <w:p>
            <w:pPr>
              <w:spacing w:line="240" w:lineRule="exact"/>
              <w:jc w:val="center"/>
              <w:rPr>
                <w:rFonts w:ascii="宋体" w:hAnsi="宋体"/>
                <w:color w:val="auto"/>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8" w:hRule="atLeast"/>
          <w:jc w:val="center"/>
        </w:trPr>
        <w:tc>
          <w:tcPr>
            <w:tcW w:w="688" w:type="dxa"/>
            <w:vMerge w:val="continue"/>
            <w:tcBorders>
              <w:left w:val="single" w:color="auto" w:sz="12" w:space="0"/>
              <w:bottom w:val="single" w:color="auto" w:sz="6"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4" w:space="0"/>
              <w:left w:val="single" w:color="auto" w:sz="6" w:space="0"/>
              <w:bottom w:val="single" w:color="auto" w:sz="4"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p>
        </w:tc>
        <w:tc>
          <w:tcPr>
            <w:tcW w:w="910"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s="宋体"/>
                <w:color w:val="auto"/>
                <w:kern w:val="0"/>
                <w:szCs w:val="18"/>
                <w:highlight w:val="none"/>
              </w:rPr>
            </w:pPr>
          </w:p>
        </w:tc>
        <w:tc>
          <w:tcPr>
            <w:tcW w:w="440" w:type="dxa"/>
            <w:tcBorders>
              <w:top w:val="single" w:color="auto" w:sz="4" w:space="0"/>
              <w:left w:val="single" w:color="auto" w:sz="6" w:space="0"/>
              <w:bottom w:val="single" w:color="auto" w:sz="4" w:space="0"/>
              <w:right w:val="single" w:color="auto" w:sz="6" w:space="0"/>
            </w:tcBorders>
            <w:noWrap/>
            <w:vAlign w:val="center"/>
          </w:tcPr>
          <w:p>
            <w:pPr>
              <w:spacing w:line="360" w:lineRule="auto"/>
              <w:jc w:val="center"/>
              <w:rPr>
                <w:rFonts w:ascii="宋体" w:hAnsi="宋体"/>
                <w:color w:val="auto"/>
                <w:szCs w:val="18"/>
                <w:highlight w:val="none"/>
              </w:rPr>
            </w:pPr>
          </w:p>
        </w:tc>
        <w:tc>
          <w:tcPr>
            <w:tcW w:w="666" w:type="dxa"/>
            <w:tcBorders>
              <w:top w:val="single" w:color="auto" w:sz="4" w:space="0"/>
              <w:left w:val="single" w:color="auto" w:sz="6" w:space="0"/>
              <w:bottom w:val="single" w:color="auto" w:sz="4" w:space="0"/>
              <w:right w:val="single" w:color="auto" w:sz="6" w:space="0"/>
            </w:tcBorders>
            <w:noWrap/>
            <w:vAlign w:val="center"/>
          </w:tcPr>
          <w:p>
            <w:pPr>
              <w:spacing w:line="360" w:lineRule="auto"/>
              <w:jc w:val="center"/>
              <w:rPr>
                <w:rFonts w:ascii="宋体" w:hAnsi="宋体"/>
                <w:color w:val="auto"/>
                <w:szCs w:val="18"/>
                <w:highlight w:val="none"/>
              </w:rPr>
            </w:pP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4" w:space="0"/>
              <w:left w:val="single" w:color="auto" w:sz="6" w:space="0"/>
              <w:bottom w:val="single" w:color="auto" w:sz="4" w:space="0"/>
              <w:right w:val="single" w:color="auto" w:sz="4" w:space="0"/>
            </w:tcBorders>
            <w:noWrap/>
            <w:vAlign w:val="center"/>
          </w:tcPr>
          <w:p>
            <w:pPr>
              <w:spacing w:line="360" w:lineRule="auto"/>
              <w:jc w:val="center"/>
              <w:rPr>
                <w:rFonts w:ascii="宋体" w:hAnsi="宋体"/>
                <w:color w:val="auto"/>
                <w:szCs w:val="18"/>
                <w:highlight w:val="none"/>
              </w:rPr>
            </w:pPr>
          </w:p>
        </w:tc>
        <w:tc>
          <w:tcPr>
            <w:tcW w:w="660"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4" w:space="0"/>
              <w:left w:val="single" w:color="auto" w:sz="6" w:space="0"/>
              <w:bottom w:val="single" w:color="auto" w:sz="4" w:space="0"/>
              <w:right w:val="single" w:color="auto" w:sz="12" w:space="0"/>
            </w:tcBorders>
            <w:noWrap/>
            <w:vAlign w:val="center"/>
          </w:tcPr>
          <w:p>
            <w:pPr>
              <w:spacing w:line="240" w:lineRule="exact"/>
              <w:jc w:val="center"/>
              <w:rPr>
                <w:rFonts w:ascii="宋体" w:hAnsi="宋体"/>
                <w:color w:val="auto"/>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8" w:hRule="atLeast"/>
          <w:jc w:val="center"/>
        </w:trPr>
        <w:tc>
          <w:tcPr>
            <w:tcW w:w="688" w:type="dxa"/>
            <w:vMerge w:val="continue"/>
            <w:tcBorders>
              <w:left w:val="single" w:color="auto" w:sz="12" w:space="0"/>
              <w:bottom w:val="single" w:color="auto" w:sz="6" w:space="0"/>
              <w:right w:val="single" w:color="auto" w:sz="6" w:space="0"/>
            </w:tcBorders>
            <w:noWrap/>
            <w:vAlign w:val="center"/>
          </w:tcPr>
          <w:p>
            <w:pPr>
              <w:widowControl/>
              <w:jc w:val="left"/>
              <w:rPr>
                <w:rFonts w:ascii="宋体" w:hAnsi="宋体"/>
                <w:color w:val="auto"/>
                <w:szCs w:val="18"/>
                <w:highlight w:val="none"/>
              </w:rPr>
            </w:pPr>
          </w:p>
        </w:tc>
        <w:tc>
          <w:tcPr>
            <w:tcW w:w="3087" w:type="dxa"/>
            <w:gridSpan w:val="4"/>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s="宋体"/>
                <w:color w:val="auto"/>
                <w:kern w:val="0"/>
                <w:szCs w:val="18"/>
                <w:highlight w:val="none"/>
              </w:rPr>
              <w:t>小计</w:t>
            </w: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ascii="宋体"/>
                <w:color w:val="auto"/>
                <w:szCs w:val="18"/>
                <w:highlight w:val="none"/>
              </w:rPr>
              <w:t>360</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ascii="宋体" w:hAnsi="宋体" w:eastAsia="宋体"/>
                <w:color w:val="auto"/>
                <w:szCs w:val="18"/>
                <w:highlight w:val="none"/>
              </w:rPr>
              <w:t>360</w:t>
            </w:r>
          </w:p>
        </w:tc>
        <w:tc>
          <w:tcPr>
            <w:tcW w:w="660"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4" w:space="0"/>
              <w:left w:val="single" w:color="auto" w:sz="6" w:space="0"/>
              <w:bottom w:val="single" w:color="auto" w:sz="4" w:space="0"/>
              <w:right w:val="single" w:color="auto" w:sz="12" w:space="0"/>
            </w:tcBorders>
            <w:noWrap/>
            <w:vAlign w:val="center"/>
          </w:tcPr>
          <w:p>
            <w:pPr>
              <w:widowControl/>
              <w:spacing w:line="240" w:lineRule="exact"/>
              <w:jc w:val="center"/>
              <w:rPr>
                <w:rFonts w:ascii="宋体" w:hAnsi="宋体"/>
                <w:color w:val="auto"/>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restart"/>
            <w:tcBorders>
              <w:top w:val="single" w:color="auto" w:sz="6" w:space="0"/>
              <w:left w:val="single" w:color="auto" w:sz="12" w:space="0"/>
              <w:right w:val="single" w:color="auto" w:sz="6" w:space="0"/>
            </w:tcBorders>
            <w:noWrap/>
            <w:textDirection w:val="tbRlV"/>
            <w:vAlign w:val="center"/>
          </w:tcPr>
          <w:p>
            <w:pPr>
              <w:widowControl/>
              <w:ind w:left="113" w:right="113"/>
              <w:jc w:val="center"/>
              <w:rPr>
                <w:rFonts w:ascii="宋体" w:hAnsi="宋体"/>
                <w:b/>
                <w:color w:val="auto"/>
                <w:szCs w:val="18"/>
                <w:highlight w:val="none"/>
              </w:rPr>
            </w:pPr>
            <w:r>
              <w:rPr>
                <w:rFonts w:hint="eastAsia" w:ascii="宋体" w:hAnsi="宋体"/>
                <w:b/>
                <w:color w:val="auto"/>
                <w:szCs w:val="18"/>
                <w:highlight w:val="none"/>
              </w:rPr>
              <w:t>实习实训</w:t>
            </w: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入学教育</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C</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18</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18</w:t>
            </w:r>
          </w:p>
        </w:tc>
        <w:tc>
          <w:tcPr>
            <w:tcW w:w="54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新生入学第1周进行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军事教育</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C</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36</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36</w:t>
            </w:r>
          </w:p>
        </w:tc>
        <w:tc>
          <w:tcPr>
            <w:tcW w:w="54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入学第1—2周进行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hint="eastAsia" w:ascii="宋体" w:hAnsi="宋体" w:cs="宋体" w:eastAsiaTheme="minorEastAsia"/>
                <w:color w:val="auto"/>
                <w:kern w:val="0"/>
                <w:szCs w:val="18"/>
                <w:highlight w:val="none"/>
                <w:lang w:eastAsia="zh-CN"/>
              </w:rPr>
            </w:pPr>
            <w:r>
              <w:rPr>
                <w:rFonts w:hint="eastAsia" w:ascii="宋体" w:hAnsi="宋体" w:cs="宋体"/>
                <w:color w:val="auto"/>
                <w:kern w:val="0"/>
                <w:szCs w:val="18"/>
                <w:highlight w:val="none"/>
              </w:rPr>
              <w:t>社会实践</w:t>
            </w:r>
            <w:r>
              <w:rPr>
                <w:rFonts w:hint="eastAsia" w:ascii="宋体" w:hAnsi="宋体" w:cs="宋体"/>
                <w:color w:val="auto"/>
                <w:kern w:val="0"/>
                <w:szCs w:val="18"/>
                <w:highlight w:val="none"/>
                <w:lang w:eastAsia="zh-CN"/>
              </w:rPr>
              <w:t>（</w:t>
            </w:r>
            <w:r>
              <w:rPr>
                <w:rFonts w:hint="eastAsia" w:ascii="宋体" w:hAnsi="宋体" w:cs="宋体"/>
                <w:color w:val="auto"/>
                <w:kern w:val="0"/>
                <w:szCs w:val="18"/>
                <w:highlight w:val="none"/>
                <w:lang w:val="en-US" w:eastAsia="zh-CN"/>
              </w:rPr>
              <w:t>校内</w:t>
            </w:r>
            <w:r>
              <w:rPr>
                <w:rFonts w:hint="eastAsia" w:ascii="宋体" w:hAnsi="宋体" w:cs="宋体"/>
                <w:color w:val="auto"/>
                <w:kern w:val="0"/>
                <w:szCs w:val="18"/>
                <w:highlight w:val="none"/>
                <w:lang w:eastAsia="zh-CN"/>
              </w:rPr>
              <w:t>）</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C</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36</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36</w:t>
            </w:r>
          </w:p>
        </w:tc>
        <w:tc>
          <w:tcPr>
            <w:tcW w:w="615"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21"/>
                <w:highlight w:val="none"/>
              </w:rPr>
            </w:pPr>
            <w:r>
              <w:rPr>
                <w:rFonts w:hint="eastAsia" w:ascii="宋体" w:hAnsi="宋体"/>
                <w:bCs/>
                <w:color w:val="auto"/>
                <w:szCs w:val="21"/>
                <w:highlight w:val="none"/>
              </w:rPr>
              <w:t>融入勤工助学、社会调查等活动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假期社会实践</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C</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36</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p>
        </w:tc>
        <w:tc>
          <w:tcPr>
            <w:tcW w:w="615"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both"/>
              <w:rPr>
                <w:rFonts w:ascii="宋体" w:hAnsi="宋体"/>
                <w:color w:val="auto"/>
                <w:szCs w:val="18"/>
                <w:highlight w:val="none"/>
              </w:rPr>
            </w:pPr>
          </w:p>
        </w:tc>
        <w:tc>
          <w:tcPr>
            <w:tcW w:w="615"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both"/>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hint="eastAsia" w:ascii="宋体" w:hAnsi="宋体"/>
                <w:color w:val="auto"/>
                <w:szCs w:val="18"/>
                <w:highlight w:val="none"/>
              </w:rPr>
            </w:pPr>
            <w:r>
              <w:rPr>
                <w:rFonts w:hint="eastAsia" w:ascii="宋体" w:hAnsi="宋体"/>
                <w:color w:val="auto"/>
                <w:szCs w:val="18"/>
                <w:highlight w:val="none"/>
              </w:rPr>
              <w:t>假期</w:t>
            </w:r>
          </w:p>
          <w:p>
            <w:pPr>
              <w:widowControl/>
              <w:spacing w:line="240" w:lineRule="exact"/>
              <w:jc w:val="center"/>
              <w:rPr>
                <w:rFonts w:hint="eastAsia" w:ascii="宋体" w:hAnsi="宋体" w:eastAsiaTheme="minorEastAsia"/>
                <w:color w:val="auto"/>
                <w:szCs w:val="18"/>
                <w:highlight w:val="none"/>
                <w:lang w:eastAsia="zh-CN"/>
              </w:rPr>
            </w:pPr>
            <w:r>
              <w:rPr>
                <w:rFonts w:hint="eastAsia" w:ascii="宋体" w:hAnsi="宋体"/>
                <w:color w:val="auto"/>
                <w:szCs w:val="18"/>
                <w:highlight w:val="none"/>
                <w:lang w:val="en-US" w:eastAsia="zh-CN"/>
              </w:rPr>
              <w:t>实践36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顶岗实习</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C</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288</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p>
        </w:tc>
        <w:tc>
          <w:tcPr>
            <w:tcW w:w="660"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21"/>
                <w:highlight w:val="none"/>
                <w:lang w:val="en-US" w:eastAsia="zh-CN"/>
              </w:rPr>
              <w:t>288</w:t>
            </w: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毕业设计</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18"/>
                <w:highlight w:val="none"/>
                <w:lang w:val="en-US" w:eastAsia="zh-CN"/>
              </w:rPr>
              <w:t>36</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60"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36</w:t>
            </w: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rPr>
              <w:t>实践</w:t>
            </w:r>
            <w:r>
              <w:rPr>
                <w:rFonts w:hint="eastAsia" w:ascii="宋体" w:hAnsi="宋体"/>
                <w:color w:val="auto"/>
                <w:szCs w:val="18"/>
                <w:highlight w:val="none"/>
                <w:lang w:val="en-US" w:eastAsia="zh-CN"/>
              </w:rPr>
              <w:t>24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color w:val="auto"/>
                <w:kern w:val="0"/>
                <w:szCs w:val="18"/>
                <w:highlight w:val="none"/>
              </w:rPr>
            </w:pP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15"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60"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left w:val="single" w:color="auto" w:sz="12"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737" w:type="dxa"/>
            <w:gridSpan w:val="2"/>
            <w:tcBorders>
              <w:top w:val="single" w:color="auto" w:sz="6" w:space="0"/>
              <w:left w:val="single" w:color="auto" w:sz="12" w:space="0"/>
              <w:bottom w:val="single" w:color="auto" w:sz="6" w:space="0"/>
              <w:right w:val="single" w:color="auto" w:sz="6" w:space="0"/>
            </w:tcBorders>
            <w:noWrap/>
            <w:vAlign w:val="center"/>
          </w:tcPr>
          <w:p>
            <w:pPr>
              <w:widowControl/>
              <w:spacing w:line="240" w:lineRule="exact"/>
              <w:jc w:val="center"/>
              <w:rPr>
                <w:color w:val="auto"/>
                <w:highlight w:val="none"/>
              </w:rPr>
            </w:pPr>
            <w:r>
              <w:rPr>
                <w:rFonts w:hint="eastAsia" w:ascii="宋体" w:hAnsi="宋体" w:cs="宋体"/>
                <w:color w:val="auto"/>
                <w:kern w:val="0"/>
                <w:szCs w:val="18"/>
                <w:highlight w:val="none"/>
              </w:rPr>
              <w:t>小计</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450</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54</w:t>
            </w:r>
          </w:p>
        </w:tc>
        <w:tc>
          <w:tcPr>
            <w:tcW w:w="54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both"/>
              <w:rPr>
                <w:rFonts w:ascii="宋体" w:hAnsi="宋体"/>
                <w:color w:val="auto"/>
                <w:szCs w:val="18"/>
                <w:highlight w:val="none"/>
              </w:rPr>
            </w:pP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36</w:t>
            </w:r>
          </w:p>
        </w:tc>
        <w:tc>
          <w:tcPr>
            <w:tcW w:w="615"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both"/>
              <w:rPr>
                <w:rFonts w:ascii="宋体" w:hAnsi="宋体"/>
                <w:color w:val="auto"/>
                <w:szCs w:val="18"/>
                <w:highlight w:val="none"/>
              </w:rPr>
            </w:pP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p>
        </w:tc>
        <w:tc>
          <w:tcPr>
            <w:tcW w:w="66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324</w:t>
            </w:r>
          </w:p>
        </w:tc>
        <w:tc>
          <w:tcPr>
            <w:tcW w:w="1294"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rPr>
              <w:t>实践</w:t>
            </w:r>
            <w:r>
              <w:rPr>
                <w:rFonts w:hint="eastAsia" w:ascii="宋体" w:hAnsi="宋体"/>
                <w:color w:val="auto"/>
                <w:szCs w:val="18"/>
                <w:highlight w:val="none"/>
                <w:lang w:val="en-US" w:eastAsia="zh-CN"/>
              </w:rPr>
              <w:t>438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2425" w:type="dxa"/>
            <w:gridSpan w:val="3"/>
            <w:tcBorders>
              <w:top w:val="single" w:color="auto" w:sz="6" w:space="0"/>
              <w:left w:val="single" w:color="auto" w:sz="12" w:space="0"/>
              <w:bottom w:val="single" w:color="auto" w:sz="6" w:space="0"/>
              <w:right w:val="single" w:color="auto" w:sz="6" w:space="0"/>
            </w:tcBorders>
            <w:noWrap/>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合   计</w:t>
            </w:r>
          </w:p>
        </w:tc>
        <w:tc>
          <w:tcPr>
            <w:tcW w:w="910" w:type="dxa"/>
            <w:noWrap/>
            <w:vAlign w:val="center"/>
          </w:tcPr>
          <w:p>
            <w:pPr>
              <w:widowControl/>
              <w:spacing w:line="360" w:lineRule="auto"/>
              <w:jc w:val="center"/>
              <w:rPr>
                <w:color w:val="auto"/>
                <w:highlight w:val="none"/>
              </w:rPr>
            </w:pPr>
          </w:p>
        </w:tc>
        <w:tc>
          <w:tcPr>
            <w:tcW w:w="440" w:type="dxa"/>
            <w:noWrap/>
            <w:vAlign w:val="center"/>
          </w:tcPr>
          <w:p>
            <w:pPr>
              <w:widowControl/>
              <w:spacing w:line="360" w:lineRule="auto"/>
              <w:jc w:val="center"/>
              <w:rPr>
                <w:color w:val="auto"/>
                <w:highlight w:val="none"/>
              </w:rPr>
            </w:pPr>
          </w:p>
        </w:tc>
        <w:tc>
          <w:tcPr>
            <w:tcW w:w="666" w:type="dxa"/>
            <w:noWrap/>
            <w:vAlign w:val="center"/>
          </w:tcPr>
          <w:p>
            <w:pPr>
              <w:widowControl/>
              <w:spacing w:line="360" w:lineRule="auto"/>
              <w:jc w:val="center"/>
              <w:rPr>
                <w:rFonts w:hint="default" w:eastAsiaTheme="minorEastAsia"/>
                <w:color w:val="auto"/>
                <w:highlight w:val="none"/>
                <w:lang w:val="en-US" w:eastAsia="zh-CN"/>
              </w:rPr>
            </w:pPr>
            <w:r>
              <w:rPr>
                <w:rFonts w:hint="eastAsia" w:ascii="宋体" w:hAnsi="宋体"/>
                <w:color w:val="auto"/>
                <w:szCs w:val="18"/>
                <w:highlight w:val="none"/>
                <w:lang w:val="en-US" w:eastAsia="zh-CN"/>
              </w:rPr>
              <w:t>2686</w:t>
            </w:r>
          </w:p>
        </w:tc>
        <w:tc>
          <w:tcPr>
            <w:tcW w:w="550" w:type="dxa"/>
            <w:noWrap/>
            <w:vAlign w:val="center"/>
          </w:tcPr>
          <w:p>
            <w:pPr>
              <w:widowControl/>
              <w:spacing w:line="360" w:lineRule="auto"/>
              <w:jc w:val="center"/>
              <w:rPr>
                <w:rFonts w:hint="default" w:eastAsiaTheme="minorEastAsia"/>
                <w:color w:val="auto"/>
                <w:highlight w:val="none"/>
                <w:lang w:val="en-US" w:eastAsia="zh-CN"/>
              </w:rPr>
            </w:pPr>
            <w:r>
              <w:rPr>
                <w:rFonts w:hint="eastAsia" w:ascii="宋体" w:hAnsi="宋体"/>
                <w:color w:val="auto"/>
                <w:szCs w:val="18"/>
                <w:highlight w:val="none"/>
                <w:lang w:val="en-US" w:eastAsia="zh-CN"/>
              </w:rPr>
              <w:t>497</w:t>
            </w:r>
          </w:p>
        </w:tc>
        <w:tc>
          <w:tcPr>
            <w:tcW w:w="549" w:type="dxa"/>
            <w:noWrap/>
            <w:vAlign w:val="center"/>
          </w:tcPr>
          <w:p>
            <w:pPr>
              <w:widowControl/>
              <w:spacing w:line="360" w:lineRule="auto"/>
              <w:jc w:val="center"/>
              <w:rPr>
                <w:rFonts w:hint="default" w:eastAsiaTheme="minorEastAsia"/>
                <w:color w:val="auto"/>
                <w:highlight w:val="none"/>
                <w:lang w:val="en-US" w:eastAsia="zh-CN"/>
              </w:rPr>
            </w:pPr>
            <w:r>
              <w:rPr>
                <w:rFonts w:hint="eastAsia" w:ascii="宋体" w:hAnsi="宋体"/>
                <w:color w:val="auto"/>
                <w:szCs w:val="18"/>
                <w:highlight w:val="none"/>
                <w:lang w:val="en-US" w:eastAsia="zh-CN"/>
              </w:rPr>
              <w:t>495</w:t>
            </w:r>
          </w:p>
        </w:tc>
        <w:tc>
          <w:tcPr>
            <w:tcW w:w="615" w:type="dxa"/>
            <w:noWrap/>
            <w:vAlign w:val="center"/>
          </w:tcPr>
          <w:p>
            <w:pPr>
              <w:widowControl/>
              <w:spacing w:line="360" w:lineRule="auto"/>
              <w:jc w:val="center"/>
              <w:rPr>
                <w:rFonts w:hint="default" w:eastAsiaTheme="minorEastAsia"/>
                <w:color w:val="auto"/>
                <w:highlight w:val="none"/>
                <w:lang w:val="en-US" w:eastAsia="zh-CN"/>
              </w:rPr>
            </w:pPr>
            <w:r>
              <w:rPr>
                <w:rFonts w:hint="eastAsia" w:ascii="宋体" w:hAnsi="宋体"/>
                <w:color w:val="auto"/>
                <w:szCs w:val="18"/>
                <w:highlight w:val="none"/>
                <w:lang w:val="en-US" w:eastAsia="zh-CN"/>
              </w:rPr>
              <w:t>479</w:t>
            </w:r>
          </w:p>
        </w:tc>
        <w:tc>
          <w:tcPr>
            <w:tcW w:w="615" w:type="dxa"/>
            <w:noWrap/>
            <w:vAlign w:val="center"/>
          </w:tcPr>
          <w:p>
            <w:pPr>
              <w:widowControl/>
              <w:spacing w:line="360" w:lineRule="auto"/>
              <w:jc w:val="center"/>
              <w:rPr>
                <w:rFonts w:hint="default" w:eastAsiaTheme="minorEastAsia"/>
                <w:color w:val="auto"/>
                <w:highlight w:val="none"/>
                <w:lang w:val="en-US" w:eastAsia="zh-CN"/>
              </w:rPr>
            </w:pPr>
            <w:r>
              <w:rPr>
                <w:rFonts w:hint="eastAsia" w:ascii="宋体" w:hAnsi="宋体"/>
                <w:color w:val="auto"/>
                <w:szCs w:val="18"/>
                <w:highlight w:val="none"/>
                <w:lang w:val="en-US" w:eastAsia="zh-CN"/>
              </w:rPr>
              <w:t>495</w:t>
            </w:r>
          </w:p>
        </w:tc>
        <w:tc>
          <w:tcPr>
            <w:tcW w:w="660" w:type="dxa"/>
            <w:noWrap/>
            <w:vAlign w:val="center"/>
          </w:tcPr>
          <w:p>
            <w:pPr>
              <w:widowControl/>
              <w:spacing w:line="360" w:lineRule="auto"/>
              <w:jc w:val="center"/>
              <w:rPr>
                <w:rFonts w:hint="default" w:eastAsiaTheme="minorEastAsia"/>
                <w:color w:val="auto"/>
                <w:highlight w:val="none"/>
                <w:lang w:val="en-US" w:eastAsia="zh-CN"/>
              </w:rPr>
            </w:pPr>
            <w:r>
              <w:rPr>
                <w:rFonts w:hint="eastAsia" w:ascii="宋体" w:hAnsi="宋体"/>
                <w:color w:val="auto"/>
                <w:szCs w:val="18"/>
                <w:highlight w:val="none"/>
                <w:lang w:val="en-US" w:eastAsia="zh-CN"/>
              </w:rPr>
              <w:t>360</w:t>
            </w:r>
          </w:p>
        </w:tc>
        <w:tc>
          <w:tcPr>
            <w:tcW w:w="660" w:type="dxa"/>
            <w:noWrap/>
            <w:vAlign w:val="center"/>
          </w:tcPr>
          <w:p>
            <w:pPr>
              <w:widowControl/>
              <w:spacing w:line="360" w:lineRule="auto"/>
              <w:jc w:val="center"/>
              <w:rPr>
                <w:rFonts w:hint="default" w:eastAsiaTheme="minorEastAsia"/>
                <w:color w:val="auto"/>
                <w:highlight w:val="none"/>
                <w:lang w:val="en-US" w:eastAsia="zh-CN"/>
              </w:rPr>
            </w:pPr>
            <w:r>
              <w:rPr>
                <w:rFonts w:hint="eastAsia" w:ascii="宋体" w:hAnsi="宋体"/>
                <w:color w:val="auto"/>
                <w:szCs w:val="18"/>
                <w:highlight w:val="none"/>
                <w:lang w:val="en-US" w:eastAsia="zh-CN"/>
              </w:rPr>
              <w:t>324</w:t>
            </w:r>
          </w:p>
        </w:tc>
        <w:tc>
          <w:tcPr>
            <w:tcW w:w="1294" w:type="dxa"/>
            <w:noWrap/>
            <w:vAlign w:val="center"/>
          </w:tcPr>
          <w:p>
            <w:pPr>
              <w:widowControl/>
              <w:spacing w:line="240" w:lineRule="exact"/>
              <w:jc w:val="center"/>
              <w:rPr>
                <w:rFonts w:hint="default" w:eastAsiaTheme="minorEastAsia"/>
                <w:color w:val="auto"/>
                <w:highlight w:val="none"/>
                <w:lang w:val="en-US" w:eastAsia="zh-CN"/>
              </w:rPr>
            </w:pPr>
            <w:r>
              <w:rPr>
                <w:rFonts w:hint="eastAsia" w:ascii="宋体" w:hAnsi="宋体"/>
                <w:color w:val="auto"/>
                <w:szCs w:val="18"/>
                <w:highlight w:val="none"/>
              </w:rPr>
              <w:t>实践</w:t>
            </w:r>
            <w:r>
              <w:rPr>
                <w:rFonts w:hint="eastAsia" w:ascii="宋体" w:hAnsi="宋体"/>
                <w:color w:val="auto"/>
                <w:szCs w:val="18"/>
                <w:highlight w:val="none"/>
                <w:lang w:val="en-US" w:eastAsia="zh-CN"/>
              </w:rPr>
              <w:t>1519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5" w:hRule="atLeast"/>
          <w:jc w:val="center"/>
        </w:trPr>
        <w:tc>
          <w:tcPr>
            <w:tcW w:w="1212" w:type="dxa"/>
            <w:gridSpan w:val="2"/>
            <w:tcBorders>
              <w:top w:val="single" w:color="auto" w:sz="6" w:space="0"/>
              <w:left w:val="single" w:color="auto" w:sz="12" w:space="0"/>
              <w:right w:val="single" w:color="auto" w:sz="6" w:space="0"/>
            </w:tcBorders>
            <w:noWrap/>
          </w:tcPr>
          <w:p>
            <w:pPr>
              <w:widowControl/>
              <w:spacing w:line="240" w:lineRule="exact"/>
              <w:jc w:val="center"/>
              <w:rPr>
                <w:rFonts w:ascii="宋体" w:hAnsi="宋体"/>
                <w:color w:val="auto"/>
                <w:szCs w:val="18"/>
                <w:highlight w:val="none"/>
              </w:rPr>
            </w:pPr>
          </w:p>
        </w:tc>
        <w:tc>
          <w:tcPr>
            <w:tcW w:w="8172" w:type="dxa"/>
            <w:gridSpan w:val="11"/>
            <w:tcBorders>
              <w:top w:val="single" w:color="auto" w:sz="6" w:space="0"/>
              <w:left w:val="single" w:color="auto" w:sz="12" w:space="0"/>
            </w:tcBorders>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总课时：</w:t>
            </w:r>
            <w:r>
              <w:rPr>
                <w:rFonts w:hint="eastAsia" w:ascii="宋体" w:hAnsi="宋体"/>
                <w:color w:val="auto"/>
                <w:szCs w:val="18"/>
                <w:highlight w:val="none"/>
                <w:lang w:val="en-US" w:eastAsia="zh-CN"/>
              </w:rPr>
              <w:t>2686</w:t>
            </w:r>
            <w:r>
              <w:rPr>
                <w:rFonts w:hint="eastAsia" w:ascii="宋体" w:hAnsi="宋体"/>
                <w:color w:val="auto"/>
                <w:szCs w:val="18"/>
                <w:highlight w:val="none"/>
              </w:rPr>
              <w:t xml:space="preserve">  实践课时：</w:t>
            </w:r>
            <w:r>
              <w:rPr>
                <w:rFonts w:hint="eastAsia" w:ascii="宋体" w:hAnsi="宋体"/>
                <w:color w:val="auto"/>
                <w:szCs w:val="18"/>
                <w:highlight w:val="none"/>
                <w:lang w:val="en-US" w:eastAsia="zh-CN"/>
              </w:rPr>
              <w:t>1519</w:t>
            </w:r>
            <w:r>
              <w:rPr>
                <w:rFonts w:hint="eastAsia" w:ascii="宋体" w:hAnsi="宋体"/>
                <w:color w:val="auto"/>
                <w:szCs w:val="18"/>
                <w:highlight w:val="none"/>
              </w:rPr>
              <w:t xml:space="preserve">  理论课时：116</w:t>
            </w:r>
            <w:r>
              <w:rPr>
                <w:rFonts w:hint="eastAsia" w:ascii="宋体" w:hAnsi="宋体"/>
                <w:color w:val="auto"/>
                <w:szCs w:val="18"/>
                <w:highlight w:val="none"/>
                <w:lang w:val="en-US" w:eastAsia="zh-CN"/>
              </w:rPr>
              <w:t>7</w:t>
            </w:r>
            <w:r>
              <w:rPr>
                <w:rFonts w:hint="eastAsia" w:ascii="宋体" w:hAnsi="宋体"/>
                <w:color w:val="auto"/>
                <w:szCs w:val="18"/>
                <w:highlight w:val="none"/>
              </w:rPr>
              <w:t xml:space="preserve">  实践教学占总学时比例：</w:t>
            </w:r>
            <w:r>
              <w:rPr>
                <w:rFonts w:hint="eastAsia" w:ascii="宋体" w:hAnsi="宋体"/>
                <w:color w:val="auto"/>
                <w:szCs w:val="18"/>
                <w:highlight w:val="none"/>
                <w:lang w:val="en-US" w:eastAsia="zh-CN"/>
              </w:rPr>
              <w:t>56.6</w:t>
            </w:r>
            <w:r>
              <w:rPr>
                <w:rFonts w:hint="eastAsia" w:ascii="宋体" w:hAnsi="宋体"/>
                <w:color w:val="auto"/>
                <w:szCs w:val="18"/>
                <w:highlight w:val="none"/>
              </w:rPr>
              <w:t>%</w:t>
            </w:r>
          </w:p>
        </w:tc>
      </w:tr>
    </w:tbl>
    <w:p>
      <w:pPr>
        <w:widowControl/>
        <w:spacing w:line="360" w:lineRule="auto"/>
        <w:rPr>
          <w:rFonts w:ascii="黑体" w:hAnsi="黑体" w:eastAsia="黑体" w:cs="黑体"/>
          <w:bCs/>
          <w:color w:val="auto"/>
          <w:szCs w:val="18"/>
          <w:highlight w:val="none"/>
        </w:rPr>
      </w:pPr>
      <w:r>
        <w:rPr>
          <w:rFonts w:hint="eastAsia" w:ascii="黑体" w:hAnsi="黑体" w:eastAsia="黑体" w:cs="黑体"/>
          <w:bCs/>
          <w:color w:val="auto"/>
          <w:szCs w:val="18"/>
          <w:highlight w:val="none"/>
        </w:rPr>
        <w:t>注：1.课程类型分为A、B、C三种类型，A类课程为纯理论课程，B类课程为既有理论又有实践的课程，C类课程为纯实践课程。</w:t>
      </w:r>
    </w:p>
    <w:p>
      <w:pPr>
        <w:widowControl/>
        <w:numPr>
          <w:ilvl w:val="0"/>
          <w:numId w:val="2"/>
        </w:numPr>
        <w:spacing w:line="360" w:lineRule="auto"/>
        <w:ind w:firstLine="420" w:firstLineChars="200"/>
        <w:rPr>
          <w:rFonts w:ascii="黑体" w:hAnsi="黑体" w:eastAsia="黑体" w:cs="黑体"/>
          <w:bCs/>
          <w:color w:val="auto"/>
          <w:szCs w:val="18"/>
          <w:highlight w:val="none"/>
        </w:rPr>
      </w:pPr>
      <w:r>
        <w:rPr>
          <w:rFonts w:hint="eastAsia" w:ascii="黑体" w:hAnsi="黑体" w:eastAsia="黑体" w:cs="黑体"/>
          <w:bCs/>
          <w:color w:val="auto"/>
          <w:szCs w:val="18"/>
          <w:highlight w:val="none"/>
        </w:rPr>
        <w:t>实践教学要占到总课时</w:t>
      </w:r>
      <w:r>
        <w:rPr>
          <w:rFonts w:ascii="黑体" w:hAnsi="黑体" w:eastAsia="黑体" w:cs="黑体"/>
          <w:bCs/>
          <w:color w:val="auto"/>
          <w:szCs w:val="18"/>
          <w:highlight w:val="none"/>
        </w:rPr>
        <w:t>5</w:t>
      </w:r>
      <w:r>
        <w:rPr>
          <w:rFonts w:hint="eastAsia" w:ascii="黑体" w:hAnsi="黑体" w:eastAsia="黑体" w:cs="黑体"/>
          <w:bCs/>
          <w:color w:val="auto"/>
          <w:szCs w:val="18"/>
          <w:highlight w:val="none"/>
        </w:rPr>
        <w:t>0%以上。</w:t>
      </w:r>
    </w:p>
    <w:p>
      <w:pPr>
        <w:widowControl/>
        <w:spacing w:line="360" w:lineRule="auto"/>
        <w:rPr>
          <w:rFonts w:ascii="黑体" w:hAnsi="黑体" w:eastAsia="黑体" w:cs="黑体"/>
          <w:bCs/>
          <w:color w:val="auto"/>
          <w:szCs w:val="18"/>
          <w:highlight w:val="none"/>
        </w:rPr>
      </w:pPr>
    </w:p>
    <w:p>
      <w:pPr>
        <w:widowControl/>
        <w:spacing w:line="360" w:lineRule="auto"/>
        <w:rPr>
          <w:rFonts w:ascii="宋体" w:hAnsi="宋体"/>
          <w:b/>
          <w:color w:val="auto"/>
          <w:szCs w:val="18"/>
          <w:highlight w:val="none"/>
        </w:rPr>
        <w:sectPr>
          <w:footerReference r:id="rId4" w:type="default"/>
          <w:pgSz w:w="11906" w:h="16838"/>
          <w:pgMar w:top="1440" w:right="1800" w:bottom="1440" w:left="1800" w:header="851" w:footer="992" w:gutter="0"/>
          <w:pgNumType w:start="1"/>
          <w:cols w:space="425" w:num="1"/>
          <w:docGrid w:type="lines" w:linePitch="312" w:charSpace="0"/>
        </w:sectPr>
      </w:pPr>
    </w:p>
    <w:p>
      <w:pPr>
        <w:numPr>
          <w:ilvl w:val="0"/>
          <w:numId w:val="0"/>
        </w:numPr>
        <w:spacing w:line="360" w:lineRule="auto"/>
        <w:ind w:firstLine="300" w:firstLineChars="100"/>
        <w:rPr>
          <w:rFonts w:ascii="黑体" w:hAnsi="黑体" w:eastAsia="黑体" w:cs="黑体"/>
          <w:bCs/>
          <w:color w:val="auto"/>
          <w:sz w:val="30"/>
          <w:szCs w:val="30"/>
          <w:highlight w:val="none"/>
        </w:rPr>
      </w:pPr>
      <w:r>
        <w:rPr>
          <w:rFonts w:hint="eastAsia" w:ascii="黑体" w:hAnsi="黑体" w:eastAsia="黑体" w:cs="黑体"/>
          <w:bCs/>
          <w:color w:val="auto"/>
          <w:sz w:val="30"/>
          <w:szCs w:val="30"/>
          <w:highlight w:val="none"/>
          <w:lang w:eastAsia="zh-CN"/>
        </w:rPr>
        <w:t>（</w:t>
      </w:r>
      <w:r>
        <w:rPr>
          <w:rFonts w:hint="eastAsia" w:ascii="黑体" w:hAnsi="黑体" w:eastAsia="黑体" w:cs="黑体"/>
          <w:bCs/>
          <w:color w:val="auto"/>
          <w:sz w:val="30"/>
          <w:szCs w:val="30"/>
          <w:highlight w:val="none"/>
          <w:lang w:val="en-US" w:eastAsia="zh-CN"/>
        </w:rPr>
        <w:t>二</w:t>
      </w:r>
      <w:r>
        <w:rPr>
          <w:rFonts w:hint="eastAsia" w:ascii="黑体" w:hAnsi="黑体" w:eastAsia="黑体" w:cs="黑体"/>
          <w:bCs/>
          <w:color w:val="auto"/>
          <w:sz w:val="30"/>
          <w:szCs w:val="30"/>
          <w:highlight w:val="none"/>
          <w:lang w:eastAsia="zh-CN"/>
        </w:rPr>
        <w:t>）</w:t>
      </w:r>
      <w:r>
        <w:rPr>
          <w:rFonts w:hint="eastAsia" w:ascii="黑体" w:hAnsi="黑体" w:eastAsia="黑体" w:cs="黑体"/>
          <w:bCs/>
          <w:color w:val="auto"/>
          <w:sz w:val="30"/>
          <w:szCs w:val="30"/>
          <w:highlight w:val="none"/>
        </w:rPr>
        <w:t>进程安排</w:t>
      </w:r>
    </w:p>
    <w:p>
      <w:pPr>
        <w:spacing w:line="360" w:lineRule="auto"/>
        <w:ind w:left="420" w:leftChars="200"/>
        <w:rPr>
          <w:rFonts w:ascii="黑体" w:hAnsi="黑体" w:eastAsia="黑体" w:cs="黑体"/>
          <w:bCs/>
          <w:color w:val="auto"/>
          <w:sz w:val="30"/>
          <w:szCs w:val="30"/>
          <w:highlight w:val="none"/>
        </w:rPr>
      </w:pPr>
    </w:p>
    <w:tbl>
      <w:tblPr>
        <w:tblStyle w:val="14"/>
        <w:tblW w:w="142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9"/>
        <w:gridCol w:w="547"/>
        <w:gridCol w:w="1219"/>
        <w:gridCol w:w="1227"/>
        <w:gridCol w:w="538"/>
        <w:gridCol w:w="913"/>
        <w:gridCol w:w="678"/>
        <w:gridCol w:w="402"/>
        <w:gridCol w:w="550"/>
        <w:gridCol w:w="700"/>
        <w:gridCol w:w="576"/>
        <w:gridCol w:w="584"/>
        <w:gridCol w:w="800"/>
        <w:gridCol w:w="533"/>
        <w:gridCol w:w="567"/>
        <w:gridCol w:w="600"/>
        <w:gridCol w:w="583"/>
        <w:gridCol w:w="533"/>
        <w:gridCol w:w="650"/>
        <w:gridCol w:w="812"/>
        <w:gridCol w:w="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blHeader/>
          <w:jc w:val="center"/>
        </w:trPr>
        <w:tc>
          <w:tcPr>
            <w:tcW w:w="14295" w:type="dxa"/>
            <w:gridSpan w:val="21"/>
            <w:tcBorders>
              <w:top w:val="single" w:color="auto" w:sz="4" w:space="0"/>
              <w:left w:val="single" w:color="auto" w:sz="4" w:space="0"/>
              <w:bottom w:val="single" w:color="auto" w:sz="4" w:space="0"/>
              <w:right w:val="single" w:color="auto" w:sz="4" w:space="0"/>
            </w:tcBorders>
            <w:shd w:val="clear" w:color="auto" w:fill="E0E0E0"/>
            <w:noWrap/>
            <w:vAlign w:val="center"/>
          </w:tcPr>
          <w:p>
            <w:pPr>
              <w:spacing w:line="360" w:lineRule="exact"/>
              <w:jc w:val="center"/>
              <w:rPr>
                <w:rFonts w:ascii="黑体" w:hAnsi="黑体" w:eastAsia="黑体"/>
                <w:color w:val="auto"/>
                <w:sz w:val="24"/>
                <w:highlight w:val="none"/>
              </w:rPr>
            </w:pPr>
            <w:r>
              <w:rPr>
                <w:rFonts w:hint="eastAsia" w:ascii="黑体" w:hAnsi="黑体" w:eastAsia="黑体"/>
                <w:color w:val="auto"/>
                <w:sz w:val="24"/>
                <w:highlight w:val="none"/>
              </w:rPr>
              <w:t>教学进程安排表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blHeader/>
          <w:jc w:val="center"/>
        </w:trPr>
        <w:tc>
          <w:tcPr>
            <w:tcW w:w="3542" w:type="dxa"/>
            <w:gridSpan w:val="4"/>
            <w:tcBorders>
              <w:top w:val="single" w:color="auto" w:sz="4" w:space="0"/>
              <w:left w:val="single" w:color="auto" w:sz="4" w:space="0"/>
              <w:bottom w:val="single" w:color="auto" w:sz="4" w:space="0"/>
              <w:right w:val="single" w:color="auto" w:sz="4" w:space="0"/>
            </w:tcBorders>
            <w:shd w:val="clear" w:color="auto" w:fill="E0E0E0"/>
            <w:noWrap/>
          </w:tcPr>
          <w:p>
            <w:pPr>
              <w:widowControl/>
              <w:spacing w:line="360" w:lineRule="exact"/>
              <w:rPr>
                <w:rFonts w:ascii="黑体" w:hAnsi="黑体" w:eastAsia="黑体"/>
                <w:color w:val="auto"/>
                <w:szCs w:val="21"/>
                <w:highlight w:val="none"/>
              </w:rPr>
            </w:pPr>
            <w:r>
              <w:rPr>
                <w:rFonts w:hint="eastAsia" w:ascii="黑体" w:hAnsi="黑体" w:eastAsia="黑体"/>
                <w:color w:val="auto"/>
                <w:szCs w:val="21"/>
                <w:highlight w:val="none"/>
              </w:rPr>
              <w:t>专业：煤化工技术</w:t>
            </w:r>
          </w:p>
        </w:tc>
        <w:tc>
          <w:tcPr>
            <w:tcW w:w="538" w:type="dxa"/>
            <w:tcBorders>
              <w:top w:val="single" w:color="auto" w:sz="4" w:space="0"/>
              <w:left w:val="single" w:color="auto" w:sz="4" w:space="0"/>
              <w:bottom w:val="single" w:color="auto" w:sz="4" w:space="0"/>
              <w:right w:val="single" w:color="auto" w:sz="4" w:space="0"/>
            </w:tcBorders>
            <w:shd w:val="clear" w:color="auto" w:fill="E0E0E0"/>
            <w:noWrap/>
          </w:tcPr>
          <w:p>
            <w:pPr>
              <w:widowControl/>
              <w:spacing w:line="360" w:lineRule="exact"/>
              <w:rPr>
                <w:rFonts w:ascii="黑体" w:hAnsi="黑体" w:eastAsia="黑体"/>
                <w:color w:val="auto"/>
                <w:szCs w:val="21"/>
                <w:highlight w:val="none"/>
              </w:rPr>
            </w:pPr>
          </w:p>
        </w:tc>
        <w:tc>
          <w:tcPr>
            <w:tcW w:w="3243" w:type="dxa"/>
            <w:gridSpan w:val="5"/>
            <w:tcBorders>
              <w:top w:val="single" w:color="auto" w:sz="4" w:space="0"/>
              <w:left w:val="single" w:color="auto" w:sz="4" w:space="0"/>
              <w:bottom w:val="single" w:color="auto" w:sz="4" w:space="0"/>
              <w:right w:val="single" w:color="auto" w:sz="4" w:space="0"/>
            </w:tcBorders>
            <w:shd w:val="clear" w:color="auto" w:fill="E0E0E0"/>
            <w:noWrap/>
          </w:tcPr>
          <w:p>
            <w:pPr>
              <w:widowControl/>
              <w:spacing w:line="360" w:lineRule="exact"/>
              <w:rPr>
                <w:rFonts w:ascii="黑体" w:hAnsi="黑体" w:eastAsia="黑体"/>
                <w:color w:val="auto"/>
                <w:szCs w:val="21"/>
                <w:highlight w:val="none"/>
              </w:rPr>
            </w:pPr>
            <w:r>
              <w:rPr>
                <w:rFonts w:hint="eastAsia" w:ascii="黑体" w:hAnsi="黑体" w:eastAsia="黑体"/>
                <w:color w:val="auto"/>
                <w:szCs w:val="21"/>
                <w:highlight w:val="none"/>
              </w:rPr>
              <w:t>起点：高中</w:t>
            </w:r>
          </w:p>
        </w:tc>
        <w:tc>
          <w:tcPr>
            <w:tcW w:w="1960" w:type="dxa"/>
            <w:gridSpan w:val="3"/>
            <w:tcBorders>
              <w:top w:val="single" w:color="auto" w:sz="4" w:space="0"/>
              <w:left w:val="single" w:color="auto" w:sz="4" w:space="0"/>
              <w:bottom w:val="single" w:color="auto" w:sz="4" w:space="0"/>
              <w:right w:val="single" w:color="auto" w:sz="4" w:space="0"/>
            </w:tcBorders>
            <w:shd w:val="clear" w:color="auto" w:fill="E0E0E0"/>
            <w:noWrap/>
          </w:tcPr>
          <w:p>
            <w:pPr>
              <w:widowControl/>
              <w:spacing w:line="360" w:lineRule="exact"/>
              <w:rPr>
                <w:rFonts w:ascii="黑体" w:hAnsi="黑体" w:eastAsia="黑体"/>
                <w:color w:val="auto"/>
                <w:szCs w:val="21"/>
                <w:highlight w:val="none"/>
              </w:rPr>
            </w:pPr>
            <w:r>
              <w:rPr>
                <w:rFonts w:hint="eastAsia" w:ascii="黑体" w:hAnsi="黑体" w:eastAsia="黑体"/>
                <w:color w:val="auto"/>
                <w:szCs w:val="21"/>
                <w:highlight w:val="none"/>
              </w:rPr>
              <w:t>学制：三年</w:t>
            </w:r>
          </w:p>
        </w:tc>
        <w:tc>
          <w:tcPr>
            <w:tcW w:w="3466" w:type="dxa"/>
            <w:gridSpan w:val="6"/>
            <w:tcBorders>
              <w:top w:val="single" w:color="auto" w:sz="4" w:space="0"/>
              <w:left w:val="single" w:color="auto" w:sz="4" w:space="0"/>
              <w:bottom w:val="single" w:color="auto" w:sz="4" w:space="0"/>
              <w:right w:val="single" w:color="auto" w:sz="4" w:space="0"/>
            </w:tcBorders>
            <w:shd w:val="clear" w:color="auto" w:fill="E0E0E0"/>
            <w:noWrap/>
          </w:tcPr>
          <w:p>
            <w:pPr>
              <w:widowControl/>
              <w:spacing w:line="360" w:lineRule="exact"/>
              <w:rPr>
                <w:rFonts w:ascii="黑体" w:hAnsi="黑体" w:eastAsia="黑体"/>
                <w:color w:val="auto"/>
                <w:szCs w:val="21"/>
                <w:highlight w:val="none"/>
              </w:rPr>
            </w:pPr>
            <w:r>
              <w:rPr>
                <w:rFonts w:hint="eastAsia" w:ascii="黑体" w:hAnsi="黑体" w:eastAsia="黑体"/>
                <w:color w:val="auto"/>
                <w:szCs w:val="21"/>
                <w:highlight w:val="none"/>
              </w:rPr>
              <w:t>层次：专科</w:t>
            </w:r>
          </w:p>
        </w:tc>
        <w:tc>
          <w:tcPr>
            <w:tcW w:w="1546" w:type="dxa"/>
            <w:gridSpan w:val="2"/>
            <w:tcBorders>
              <w:top w:val="single" w:color="auto" w:sz="4" w:space="0"/>
              <w:left w:val="single" w:color="auto" w:sz="4" w:space="0"/>
              <w:bottom w:val="single" w:color="auto" w:sz="4" w:space="0"/>
              <w:right w:val="single" w:color="auto" w:sz="4" w:space="0"/>
            </w:tcBorders>
            <w:shd w:val="clear" w:color="auto" w:fill="E0E0E0"/>
            <w:noWrap/>
          </w:tcPr>
          <w:p>
            <w:pPr>
              <w:widowControl/>
              <w:spacing w:line="360" w:lineRule="exact"/>
              <w:rPr>
                <w:rFonts w:ascii="黑体" w:hAnsi="黑体" w:eastAsia="黑体"/>
                <w:color w:val="auto"/>
                <w:szCs w:val="21"/>
                <w:highlight w:val="none"/>
              </w:rPr>
            </w:pPr>
            <w:r>
              <w:rPr>
                <w:rFonts w:hint="eastAsia" w:ascii="黑体" w:hAnsi="黑体" w:eastAsia="黑体"/>
                <w:color w:val="auto"/>
                <w:szCs w:val="21"/>
                <w:highlight w:val="none"/>
              </w:rPr>
              <w:t>类别：</w:t>
            </w:r>
            <w:r>
              <w:rPr>
                <w:rFonts w:hint="eastAsia" w:ascii="宋体" w:hAnsi="宋体"/>
                <w:b/>
                <w:bCs/>
                <w:color w:val="auto"/>
                <w:szCs w:val="21"/>
                <w:highlight w:val="none"/>
              </w:rPr>
              <w:t>职业技术类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tblHeader/>
          <w:jc w:val="center"/>
        </w:trPr>
        <w:tc>
          <w:tcPr>
            <w:tcW w:w="549" w:type="dxa"/>
            <w:vMerge w:val="restart"/>
            <w:tcBorders>
              <w:top w:val="single" w:color="auto" w:sz="4" w:space="0"/>
              <w:left w:val="single" w:color="auto" w:sz="4" w:space="0"/>
              <w:bottom w:val="single" w:color="auto" w:sz="4" w:space="0"/>
              <w:right w:val="single" w:color="auto" w:sz="4" w:space="0"/>
            </w:tcBorders>
            <w:shd w:val="clear" w:color="auto" w:fill="E0E0E0"/>
            <w:noWrap/>
            <w:textDirection w:val="tbRlV"/>
            <w:vAlign w:val="center"/>
          </w:tcPr>
          <w:p>
            <w:pPr>
              <w:widowControl/>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课程类别</w:t>
            </w:r>
          </w:p>
        </w:tc>
        <w:tc>
          <w:tcPr>
            <w:tcW w:w="547" w:type="dxa"/>
            <w:vMerge w:val="restart"/>
            <w:tcBorders>
              <w:top w:val="single" w:color="auto" w:sz="4" w:space="0"/>
              <w:left w:val="single" w:color="auto" w:sz="4" w:space="0"/>
              <w:bottom w:val="single" w:color="auto" w:sz="4" w:space="0"/>
              <w:right w:val="single" w:color="auto" w:sz="4" w:space="0"/>
            </w:tcBorders>
            <w:shd w:val="clear" w:color="auto" w:fill="E0E0E0"/>
            <w:noWrap/>
            <w:textDirection w:val="tbRlV"/>
            <w:vAlign w:val="center"/>
          </w:tcPr>
          <w:p>
            <w:pPr>
              <w:widowControl/>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序号</w:t>
            </w:r>
          </w:p>
        </w:tc>
        <w:tc>
          <w:tcPr>
            <w:tcW w:w="1219" w:type="dxa"/>
            <w:vMerge w:val="restart"/>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课程编号</w:t>
            </w:r>
          </w:p>
        </w:tc>
        <w:tc>
          <w:tcPr>
            <w:tcW w:w="2678" w:type="dxa"/>
            <w:gridSpan w:val="3"/>
            <w:vMerge w:val="restart"/>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课程名称</w:t>
            </w:r>
          </w:p>
        </w:tc>
        <w:tc>
          <w:tcPr>
            <w:tcW w:w="678" w:type="dxa"/>
            <w:vMerge w:val="restart"/>
            <w:tcBorders>
              <w:top w:val="single" w:color="auto" w:sz="4" w:space="0"/>
              <w:left w:val="single" w:color="auto" w:sz="4" w:space="0"/>
              <w:bottom w:val="single" w:color="auto" w:sz="4" w:space="0"/>
              <w:right w:val="single" w:color="auto" w:sz="4" w:space="0"/>
            </w:tcBorders>
            <w:shd w:val="clear" w:color="auto" w:fill="E0E0E0"/>
            <w:noWrap/>
            <w:textDirection w:val="tbRlV"/>
            <w:vAlign w:val="center"/>
          </w:tcPr>
          <w:p>
            <w:pPr>
              <w:widowControl/>
              <w:spacing w:line="240" w:lineRule="exact"/>
              <w:ind w:left="113" w:right="113"/>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课程性质</w:t>
            </w:r>
          </w:p>
        </w:tc>
        <w:tc>
          <w:tcPr>
            <w:tcW w:w="402" w:type="dxa"/>
            <w:vMerge w:val="restart"/>
            <w:tcBorders>
              <w:top w:val="single" w:color="auto" w:sz="4" w:space="0"/>
              <w:left w:val="single" w:color="auto" w:sz="4" w:space="0"/>
              <w:bottom w:val="single" w:color="auto" w:sz="4" w:space="0"/>
              <w:right w:val="single" w:color="auto" w:sz="4" w:space="0"/>
            </w:tcBorders>
            <w:shd w:val="clear" w:color="auto" w:fill="E0E0E0"/>
            <w:noWrap/>
            <w:textDirection w:val="tbRlV"/>
            <w:vAlign w:val="center"/>
          </w:tcPr>
          <w:p>
            <w:pPr>
              <w:widowControl/>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课程类型</w:t>
            </w:r>
          </w:p>
        </w:tc>
        <w:tc>
          <w:tcPr>
            <w:tcW w:w="550" w:type="dxa"/>
            <w:vMerge w:val="restart"/>
            <w:tcBorders>
              <w:top w:val="single" w:color="auto" w:sz="4" w:space="0"/>
              <w:left w:val="single" w:color="auto" w:sz="4" w:space="0"/>
              <w:bottom w:val="single" w:color="auto" w:sz="4" w:space="0"/>
              <w:right w:val="single" w:color="auto" w:sz="4" w:space="0"/>
            </w:tcBorders>
            <w:shd w:val="clear" w:color="auto" w:fill="E0E0E0"/>
            <w:noWrap/>
            <w:textDirection w:val="tbRlV"/>
            <w:vAlign w:val="center"/>
          </w:tcPr>
          <w:p>
            <w:pPr>
              <w:widowControl/>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学分</w:t>
            </w:r>
          </w:p>
        </w:tc>
        <w:tc>
          <w:tcPr>
            <w:tcW w:w="700" w:type="dxa"/>
            <w:vMerge w:val="restart"/>
            <w:tcBorders>
              <w:top w:val="single" w:color="auto" w:sz="4" w:space="0"/>
              <w:left w:val="single" w:color="auto" w:sz="4" w:space="0"/>
              <w:bottom w:val="single" w:color="auto" w:sz="4" w:space="0"/>
              <w:right w:val="single" w:color="auto" w:sz="4" w:space="0"/>
            </w:tcBorders>
            <w:shd w:val="clear" w:color="auto" w:fill="E0E0E0"/>
            <w:noWrap/>
            <w:textDirection w:val="tbRlV"/>
            <w:vAlign w:val="center"/>
          </w:tcPr>
          <w:p>
            <w:pPr>
              <w:widowControl/>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总课时</w:t>
            </w:r>
          </w:p>
        </w:tc>
        <w:tc>
          <w:tcPr>
            <w:tcW w:w="1160" w:type="dxa"/>
            <w:gridSpan w:val="2"/>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课时</w:t>
            </w:r>
          </w:p>
          <w:p>
            <w:pPr>
              <w:widowControl/>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分配</w:t>
            </w:r>
          </w:p>
        </w:tc>
        <w:tc>
          <w:tcPr>
            <w:tcW w:w="800" w:type="dxa"/>
            <w:vMerge w:val="restart"/>
            <w:tcBorders>
              <w:top w:val="single" w:color="auto" w:sz="4" w:space="0"/>
              <w:left w:val="single" w:color="auto" w:sz="4" w:space="0"/>
              <w:bottom w:val="single" w:color="auto" w:sz="4" w:space="0"/>
              <w:right w:val="single" w:color="auto" w:sz="4" w:space="0"/>
            </w:tcBorders>
            <w:shd w:val="clear" w:color="auto" w:fill="E0E0E0"/>
            <w:noWrap/>
            <w:vAlign w:val="center"/>
          </w:tcPr>
          <w:p>
            <w:pPr>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授课</w:t>
            </w:r>
          </w:p>
          <w:p>
            <w:pPr>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方式</w:t>
            </w:r>
          </w:p>
        </w:tc>
        <w:tc>
          <w:tcPr>
            <w:tcW w:w="3466" w:type="dxa"/>
            <w:gridSpan w:val="6"/>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开课学期和</w:t>
            </w:r>
            <w:r>
              <w:rPr>
                <w:rFonts w:hint="eastAsia" w:ascii="黑体" w:hAnsi="黑体" w:eastAsia="黑体" w:cs="宋体"/>
                <w:color w:val="auto"/>
                <w:kern w:val="0"/>
                <w:szCs w:val="21"/>
                <w:highlight w:val="none"/>
                <w:lang w:val="en-US" w:eastAsia="zh-CN"/>
              </w:rPr>
              <w:t>周</w:t>
            </w:r>
            <w:r>
              <w:rPr>
                <w:rFonts w:hint="eastAsia" w:ascii="黑体" w:hAnsi="黑体" w:eastAsia="黑体" w:cs="宋体"/>
                <w:color w:val="auto"/>
                <w:kern w:val="0"/>
                <w:szCs w:val="21"/>
                <w:highlight w:val="none"/>
              </w:rPr>
              <w:t>课时数</w:t>
            </w:r>
          </w:p>
        </w:tc>
        <w:tc>
          <w:tcPr>
            <w:tcW w:w="812" w:type="dxa"/>
            <w:vMerge w:val="restart"/>
            <w:tcBorders>
              <w:top w:val="single" w:color="auto" w:sz="4" w:space="0"/>
              <w:left w:val="single" w:color="auto" w:sz="4" w:space="0"/>
              <w:bottom w:val="single" w:color="auto" w:sz="4" w:space="0"/>
              <w:right w:val="single" w:color="auto" w:sz="4" w:space="0"/>
            </w:tcBorders>
            <w:shd w:val="clear" w:color="auto" w:fill="E0E0E0"/>
            <w:noWrap/>
            <w:vAlign w:val="center"/>
          </w:tcPr>
          <w:p>
            <w:pPr>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考核</w:t>
            </w:r>
          </w:p>
          <w:p>
            <w:pPr>
              <w:spacing w:line="240" w:lineRule="exact"/>
              <w:jc w:val="center"/>
              <w:rPr>
                <w:rFonts w:ascii="黑体" w:hAnsi="黑体" w:eastAsia="黑体" w:cs="宋体"/>
                <w:b/>
                <w:color w:val="auto"/>
                <w:kern w:val="0"/>
                <w:sz w:val="20"/>
                <w:szCs w:val="20"/>
                <w:highlight w:val="none"/>
              </w:rPr>
            </w:pPr>
            <w:r>
              <w:rPr>
                <w:rFonts w:hint="eastAsia" w:ascii="黑体" w:hAnsi="黑体" w:eastAsia="黑体" w:cs="宋体"/>
                <w:color w:val="auto"/>
                <w:kern w:val="0"/>
                <w:szCs w:val="21"/>
                <w:highlight w:val="none"/>
              </w:rPr>
              <w:t>方式</w:t>
            </w:r>
          </w:p>
        </w:tc>
        <w:tc>
          <w:tcPr>
            <w:tcW w:w="734" w:type="dxa"/>
            <w:vMerge w:val="restart"/>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宋体" w:hAnsi="宋体" w:cs="宋体"/>
                <w:b/>
                <w:color w:val="auto"/>
                <w:kern w:val="0"/>
                <w:sz w:val="20"/>
                <w:szCs w:val="20"/>
                <w:highlight w:val="none"/>
              </w:rPr>
            </w:pPr>
            <w:r>
              <w:rPr>
                <w:rFonts w:hint="eastAsia" w:ascii="黑体" w:hAnsi="黑体" w:eastAsia="黑体" w:cs="宋体"/>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blHeader/>
          <w:jc w:val="center"/>
        </w:trPr>
        <w:tc>
          <w:tcPr>
            <w:tcW w:w="549"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547"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1219"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2678" w:type="dxa"/>
            <w:gridSpan w:val="3"/>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67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40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55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70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576" w:type="dxa"/>
            <w:vMerge w:val="restart"/>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黑体" w:hAnsi="黑体" w:eastAsia="黑体" w:cs="宋体"/>
                <w:color w:val="auto"/>
                <w:kern w:val="0"/>
                <w:szCs w:val="21"/>
                <w:highlight w:val="none"/>
              </w:rPr>
            </w:pPr>
            <w:r>
              <w:rPr>
                <w:rFonts w:hint="eastAsia" w:ascii="宋体" w:hAnsi="宋体"/>
                <w:color w:val="auto"/>
                <w:szCs w:val="21"/>
                <w:highlight w:val="none"/>
              </w:rPr>
              <w:t>讲授</w:t>
            </w:r>
          </w:p>
        </w:tc>
        <w:tc>
          <w:tcPr>
            <w:tcW w:w="584" w:type="dxa"/>
            <w:vMerge w:val="restart"/>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实践</w:t>
            </w:r>
          </w:p>
        </w:tc>
        <w:tc>
          <w:tcPr>
            <w:tcW w:w="80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1100" w:type="dxa"/>
            <w:gridSpan w:val="2"/>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color w:val="auto"/>
                <w:kern w:val="0"/>
                <w:sz w:val="18"/>
                <w:szCs w:val="18"/>
                <w:highlight w:val="none"/>
              </w:rPr>
            </w:pPr>
            <w:r>
              <w:rPr>
                <w:rFonts w:hint="eastAsia" w:ascii="黑体" w:hAnsi="黑体" w:eastAsia="黑体" w:cs="宋体"/>
                <w:color w:val="auto"/>
                <w:kern w:val="0"/>
                <w:sz w:val="18"/>
                <w:szCs w:val="18"/>
                <w:highlight w:val="none"/>
              </w:rPr>
              <w:t>第一学年</w:t>
            </w:r>
          </w:p>
        </w:tc>
        <w:tc>
          <w:tcPr>
            <w:tcW w:w="1183" w:type="dxa"/>
            <w:gridSpan w:val="2"/>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color w:val="auto"/>
                <w:kern w:val="0"/>
                <w:sz w:val="18"/>
                <w:szCs w:val="18"/>
                <w:highlight w:val="none"/>
              </w:rPr>
            </w:pPr>
            <w:r>
              <w:rPr>
                <w:rFonts w:hint="eastAsia" w:ascii="黑体" w:hAnsi="黑体" w:eastAsia="黑体" w:cs="宋体"/>
                <w:color w:val="auto"/>
                <w:kern w:val="0"/>
                <w:sz w:val="18"/>
                <w:szCs w:val="18"/>
                <w:highlight w:val="none"/>
              </w:rPr>
              <w:t>第二学年</w:t>
            </w:r>
          </w:p>
        </w:tc>
        <w:tc>
          <w:tcPr>
            <w:tcW w:w="1183" w:type="dxa"/>
            <w:gridSpan w:val="2"/>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color w:val="auto"/>
                <w:kern w:val="0"/>
                <w:sz w:val="18"/>
                <w:szCs w:val="18"/>
                <w:highlight w:val="none"/>
              </w:rPr>
            </w:pPr>
            <w:r>
              <w:rPr>
                <w:rFonts w:hint="eastAsia" w:ascii="黑体" w:hAnsi="黑体" w:eastAsia="黑体" w:cs="宋体"/>
                <w:color w:val="auto"/>
                <w:kern w:val="0"/>
                <w:sz w:val="18"/>
                <w:szCs w:val="18"/>
                <w:highlight w:val="none"/>
              </w:rPr>
              <w:t>第三学年</w:t>
            </w:r>
          </w:p>
        </w:tc>
        <w:tc>
          <w:tcPr>
            <w:tcW w:w="812"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黑体" w:eastAsia="黑体" w:cs="宋体"/>
                <w:b/>
                <w:color w:val="auto"/>
                <w:kern w:val="0"/>
                <w:sz w:val="20"/>
                <w:szCs w:val="20"/>
                <w:highlight w:val="none"/>
              </w:rPr>
            </w:pPr>
          </w:p>
        </w:tc>
        <w:tc>
          <w:tcPr>
            <w:tcW w:w="734"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tblHeader/>
          <w:jc w:val="center"/>
        </w:trPr>
        <w:tc>
          <w:tcPr>
            <w:tcW w:w="549"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547"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1219"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2678" w:type="dxa"/>
            <w:gridSpan w:val="3"/>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67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40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55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70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57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58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80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533" w:type="dxa"/>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color w:val="auto"/>
                <w:kern w:val="0"/>
                <w:sz w:val="20"/>
                <w:szCs w:val="20"/>
                <w:highlight w:val="none"/>
              </w:rPr>
            </w:pPr>
            <w:r>
              <w:rPr>
                <w:rFonts w:hint="eastAsia" w:ascii="黑体" w:hAnsi="黑体" w:eastAsia="黑体" w:cs="宋体"/>
                <w:color w:val="auto"/>
                <w:kern w:val="0"/>
                <w:sz w:val="20"/>
                <w:szCs w:val="20"/>
                <w:highlight w:val="none"/>
              </w:rPr>
              <w:t>1</w:t>
            </w:r>
          </w:p>
        </w:tc>
        <w:tc>
          <w:tcPr>
            <w:tcW w:w="567" w:type="dxa"/>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color w:val="auto"/>
                <w:kern w:val="0"/>
                <w:sz w:val="20"/>
                <w:szCs w:val="20"/>
                <w:highlight w:val="none"/>
              </w:rPr>
            </w:pPr>
            <w:r>
              <w:rPr>
                <w:rFonts w:hint="eastAsia" w:ascii="黑体" w:hAnsi="黑体" w:eastAsia="黑体" w:cs="宋体"/>
                <w:color w:val="auto"/>
                <w:kern w:val="0"/>
                <w:sz w:val="20"/>
                <w:szCs w:val="20"/>
                <w:highlight w:val="none"/>
              </w:rPr>
              <w:t>2</w:t>
            </w:r>
          </w:p>
        </w:tc>
        <w:tc>
          <w:tcPr>
            <w:tcW w:w="600" w:type="dxa"/>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color w:val="auto"/>
                <w:kern w:val="0"/>
                <w:sz w:val="20"/>
                <w:szCs w:val="20"/>
                <w:highlight w:val="none"/>
              </w:rPr>
            </w:pPr>
            <w:r>
              <w:rPr>
                <w:rFonts w:hint="eastAsia" w:ascii="黑体" w:hAnsi="黑体" w:eastAsia="黑体" w:cs="宋体"/>
                <w:color w:val="auto"/>
                <w:kern w:val="0"/>
                <w:sz w:val="20"/>
                <w:szCs w:val="20"/>
                <w:highlight w:val="none"/>
              </w:rPr>
              <w:t>3</w:t>
            </w:r>
          </w:p>
        </w:tc>
        <w:tc>
          <w:tcPr>
            <w:tcW w:w="583" w:type="dxa"/>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color w:val="auto"/>
                <w:kern w:val="0"/>
                <w:sz w:val="20"/>
                <w:szCs w:val="20"/>
                <w:highlight w:val="none"/>
              </w:rPr>
            </w:pPr>
            <w:r>
              <w:rPr>
                <w:rFonts w:hint="eastAsia" w:ascii="黑体" w:hAnsi="黑体" w:eastAsia="黑体" w:cs="宋体"/>
                <w:color w:val="auto"/>
                <w:kern w:val="0"/>
                <w:sz w:val="20"/>
                <w:szCs w:val="20"/>
                <w:highlight w:val="none"/>
              </w:rPr>
              <w:t>4</w:t>
            </w:r>
          </w:p>
        </w:tc>
        <w:tc>
          <w:tcPr>
            <w:tcW w:w="533" w:type="dxa"/>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color w:val="auto"/>
                <w:kern w:val="0"/>
                <w:sz w:val="20"/>
                <w:szCs w:val="20"/>
                <w:highlight w:val="none"/>
              </w:rPr>
            </w:pPr>
            <w:r>
              <w:rPr>
                <w:rFonts w:hint="eastAsia" w:ascii="黑体" w:hAnsi="黑体" w:eastAsia="黑体" w:cs="宋体"/>
                <w:color w:val="auto"/>
                <w:kern w:val="0"/>
                <w:sz w:val="20"/>
                <w:szCs w:val="20"/>
                <w:highlight w:val="none"/>
              </w:rPr>
              <w:t>5</w:t>
            </w:r>
          </w:p>
        </w:tc>
        <w:tc>
          <w:tcPr>
            <w:tcW w:w="650" w:type="dxa"/>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color w:val="auto"/>
                <w:kern w:val="0"/>
                <w:sz w:val="20"/>
                <w:szCs w:val="20"/>
                <w:highlight w:val="none"/>
              </w:rPr>
            </w:pPr>
            <w:r>
              <w:rPr>
                <w:rFonts w:hint="eastAsia" w:ascii="黑体" w:hAnsi="黑体" w:eastAsia="黑体" w:cs="宋体"/>
                <w:color w:val="auto"/>
                <w:kern w:val="0"/>
                <w:sz w:val="20"/>
                <w:szCs w:val="20"/>
                <w:highlight w:val="none"/>
              </w:rPr>
              <w:t>6</w:t>
            </w:r>
          </w:p>
        </w:tc>
        <w:tc>
          <w:tcPr>
            <w:tcW w:w="812"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黑体" w:eastAsia="黑体" w:cs="宋体"/>
                <w:b/>
                <w:color w:val="auto"/>
                <w:kern w:val="0"/>
                <w:sz w:val="20"/>
                <w:szCs w:val="20"/>
                <w:highlight w:val="none"/>
              </w:rPr>
            </w:pPr>
          </w:p>
        </w:tc>
        <w:tc>
          <w:tcPr>
            <w:tcW w:w="734"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549" w:type="dxa"/>
            <w:vMerge w:val="restart"/>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360" w:lineRule="exact"/>
              <w:jc w:val="center"/>
              <w:rPr>
                <w:rFonts w:ascii="宋体" w:hAnsi="宋体" w:eastAsia="宋体" w:cs="宋体"/>
                <w:b/>
                <w:color w:val="auto"/>
                <w:kern w:val="0"/>
                <w:szCs w:val="21"/>
                <w:highlight w:val="none"/>
              </w:rPr>
            </w:pPr>
            <w:r>
              <w:rPr>
                <w:rFonts w:hint="eastAsia" w:ascii="宋体" w:hAnsi="宋体" w:cs="宋体"/>
                <w:b/>
                <w:color w:val="auto"/>
                <w:kern w:val="0"/>
                <w:szCs w:val="21"/>
                <w:highlight w:val="none"/>
              </w:rPr>
              <w:t>公共基础课程</w:t>
            </w:r>
          </w:p>
        </w:tc>
        <w:tc>
          <w:tcPr>
            <w:tcW w:w="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1</w:t>
            </w: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0105025</w:t>
            </w:r>
          </w:p>
        </w:tc>
        <w:tc>
          <w:tcPr>
            <w:tcW w:w="267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rPr>
                <w:rFonts w:ascii="宋体" w:hAnsi="宋体"/>
                <w:color w:val="auto"/>
                <w:szCs w:val="21"/>
                <w:highlight w:val="none"/>
              </w:rPr>
            </w:pPr>
            <w:r>
              <w:rPr>
                <w:rFonts w:hint="eastAsia" w:ascii="宋体" w:hAnsi="宋体" w:cs="宋体"/>
                <w:color w:val="auto"/>
                <w:kern w:val="0"/>
                <w:szCs w:val="18"/>
                <w:highlight w:val="none"/>
              </w:rPr>
              <w:t>高职语文与中华传统文化（1）</w:t>
            </w:r>
          </w:p>
        </w:tc>
        <w:tc>
          <w:tcPr>
            <w:tcW w:w="67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exac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exac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32</w:t>
            </w:r>
          </w:p>
        </w:tc>
        <w:tc>
          <w:tcPr>
            <w:tcW w:w="576" w:type="dxa"/>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22</w:t>
            </w:r>
          </w:p>
        </w:tc>
        <w:tc>
          <w:tcPr>
            <w:tcW w:w="584" w:type="dxa"/>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10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r>
              <w:rPr>
                <w:rFonts w:hint="eastAsia" w:ascii="宋体" w:hAnsi="宋体"/>
                <w:color w:val="auto"/>
                <w:szCs w:val="21"/>
                <w:highlight w:val="none"/>
              </w:rPr>
              <w:t>考试</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2</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lang w:val="en-US" w:eastAsia="zh-CN"/>
              </w:rPr>
              <w:t>0105026</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s="宋体"/>
                <w:color w:val="auto"/>
                <w:kern w:val="0"/>
                <w:szCs w:val="18"/>
                <w:highlight w:val="none"/>
              </w:rPr>
              <w:t>高职语文与中华传统文化</w:t>
            </w:r>
            <w:r>
              <w:rPr>
                <w:rFonts w:hint="eastAsia" w:ascii="宋体" w:hAnsi="宋体"/>
                <w:color w:val="auto"/>
                <w:szCs w:val="21"/>
                <w:highlight w:val="none"/>
              </w:rPr>
              <w:t>（2）</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26</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10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r>
              <w:rPr>
                <w:rFonts w:hint="eastAsia" w:ascii="宋体" w:hAnsi="宋体"/>
                <w:color w:val="auto"/>
                <w:szCs w:val="21"/>
                <w:highlight w:val="none"/>
              </w:rPr>
              <w:t>考试</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3</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0201038</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高职数学（1）</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42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22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both"/>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r>
              <w:rPr>
                <w:rFonts w:hint="eastAsia" w:ascii="宋体" w:hAnsi="宋体"/>
                <w:color w:val="auto"/>
                <w:szCs w:val="21"/>
                <w:highlight w:val="none"/>
              </w:rPr>
              <w:t>考试</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 w:val="20"/>
                <w:szCs w:val="20"/>
                <w:highlight w:val="none"/>
              </w:rPr>
            </w:pPr>
            <w:r>
              <w:rPr>
                <w:rFonts w:hint="eastAsia" w:ascii="宋体" w:hAnsi="宋体"/>
                <w:color w:val="auto"/>
                <w:szCs w:val="18"/>
                <w:highlight w:val="none"/>
              </w:rPr>
              <w:t>理工类专业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4</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lang w:val="en-US" w:eastAsia="zh-CN"/>
              </w:rPr>
              <w:t>0201039</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高职数学（2）</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eastAsia="宋体"/>
                <w:color w:val="auto"/>
                <w:szCs w:val="21"/>
                <w:highlight w:val="none"/>
              </w:rPr>
            </w:pPr>
            <w:r>
              <w:rPr>
                <w:rFonts w:hint="eastAsia" w:ascii="宋体" w:hAnsi="宋体"/>
                <w:color w:val="auto"/>
                <w:szCs w:val="21"/>
                <w:highlight w:val="none"/>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eastAsia="宋体"/>
                <w:color w:val="auto"/>
                <w:szCs w:val="21"/>
                <w:highlight w:val="none"/>
              </w:rPr>
            </w:pPr>
            <w:r>
              <w:rPr>
                <w:rFonts w:hint="eastAsia" w:ascii="宋体" w:hAnsi="宋体"/>
                <w:color w:val="auto"/>
                <w:szCs w:val="21"/>
                <w:highlight w:val="none"/>
              </w:rPr>
              <w:t>25</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eastAsia="宋体"/>
                <w:color w:val="auto"/>
                <w:szCs w:val="21"/>
                <w:highlight w:val="none"/>
              </w:rPr>
            </w:pPr>
            <w:r>
              <w:rPr>
                <w:rFonts w:hint="eastAsia" w:ascii="宋体" w:hAnsi="宋体"/>
                <w:color w:val="auto"/>
                <w:szCs w:val="21"/>
                <w:highlight w:val="none"/>
              </w:rPr>
              <w:t>11</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2</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r>
              <w:rPr>
                <w:rFonts w:hint="eastAsia" w:ascii="宋体" w:hAnsi="宋体"/>
                <w:color w:val="auto"/>
                <w:szCs w:val="21"/>
                <w:highlight w:val="none"/>
              </w:rPr>
              <w:t>考试</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理工类专业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5</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0304001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高职英语（1）</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42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22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r>
              <w:rPr>
                <w:rFonts w:hint="eastAsia" w:ascii="宋体" w:hAnsi="宋体"/>
                <w:color w:val="auto"/>
                <w:szCs w:val="21"/>
                <w:highlight w:val="none"/>
              </w:rPr>
              <w:t>考试</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6</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lang w:val="en-US" w:eastAsia="zh-CN"/>
              </w:rPr>
              <w:t>0304002</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高职英语（2）</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eastAsia="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eastAsia="宋体"/>
                <w:color w:val="auto"/>
                <w:szCs w:val="21"/>
                <w:highlight w:val="none"/>
              </w:rPr>
            </w:pPr>
            <w:r>
              <w:rPr>
                <w:rFonts w:hint="eastAsia" w:ascii="宋体" w:hAnsi="宋体"/>
                <w:color w:val="auto"/>
                <w:szCs w:val="21"/>
                <w:highlight w:val="none"/>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eastAsia="宋体"/>
                <w:color w:val="auto"/>
                <w:szCs w:val="21"/>
                <w:highlight w:val="none"/>
              </w:rPr>
            </w:pPr>
            <w:r>
              <w:rPr>
                <w:rFonts w:hint="eastAsia" w:ascii="宋体" w:hAnsi="宋体"/>
                <w:color w:val="auto"/>
                <w:szCs w:val="21"/>
                <w:highlight w:val="none"/>
              </w:rPr>
              <w:t>25</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eastAsia="宋体"/>
                <w:color w:val="auto"/>
                <w:szCs w:val="21"/>
                <w:highlight w:val="none"/>
              </w:rPr>
            </w:pPr>
            <w:r>
              <w:rPr>
                <w:rFonts w:hint="eastAsia" w:ascii="宋体" w:hAnsi="宋体"/>
                <w:color w:val="auto"/>
                <w:szCs w:val="21"/>
                <w:highlight w:val="none"/>
              </w:rPr>
              <w:t>11</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2</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r>
              <w:rPr>
                <w:rFonts w:hint="eastAsia" w:ascii="宋体" w:hAnsi="宋体"/>
                <w:color w:val="auto"/>
                <w:szCs w:val="21"/>
                <w:highlight w:val="none"/>
              </w:rPr>
              <w:t>考试</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eastAsia="宋体" w:cs="宋体"/>
                <w:color w:val="auto"/>
                <w:kern w:val="0"/>
                <w:sz w:val="20"/>
                <w:szCs w:val="20"/>
                <w:highlight w:val="none"/>
              </w:rPr>
            </w:pPr>
            <w:r>
              <w:rPr>
                <w:rFonts w:hint="eastAsia" w:ascii="宋体" w:hAnsi="宋体" w:cs="宋体"/>
                <w:color w:val="auto"/>
                <w:kern w:val="0"/>
                <w:sz w:val="20"/>
                <w:szCs w:val="20"/>
                <w:highlight w:val="none"/>
              </w:rPr>
              <w:t>辅以专业英语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7</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0401001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计算机应用</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36</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36</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4</w:t>
            </w:r>
          </w:p>
        </w:tc>
        <w:tc>
          <w:tcPr>
            <w:tcW w:w="600" w:type="dxa"/>
            <w:tcBorders>
              <w:top w:val="single" w:color="auto" w:sz="4" w:space="0"/>
              <w:left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83" w:type="dxa"/>
            <w:tcBorders>
              <w:top w:val="single" w:color="auto" w:sz="4" w:space="0"/>
              <w:left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考查</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8</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0803001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r>
              <w:rPr>
                <w:rFonts w:hint="eastAsia" w:ascii="宋体" w:hAnsi="宋体"/>
                <w:color w:val="auto"/>
                <w:szCs w:val="21"/>
                <w:highlight w:val="none"/>
              </w:rPr>
              <w:t>体育（1）</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32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30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考查</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9</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080300</w:t>
            </w:r>
            <w:r>
              <w:rPr>
                <w:rFonts w:hint="eastAsia" w:ascii="宋体" w:hAnsi="宋体"/>
                <w:color w:val="auto"/>
                <w:szCs w:val="21"/>
                <w:highlight w:val="none"/>
                <w:lang w:val="en-US" w:eastAsia="zh-CN"/>
              </w:rPr>
              <w:t>2</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r>
              <w:rPr>
                <w:rFonts w:hint="eastAsia" w:ascii="宋体" w:hAnsi="宋体"/>
                <w:color w:val="auto"/>
                <w:szCs w:val="21"/>
                <w:highlight w:val="none"/>
              </w:rPr>
              <w:t>体育（2）</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6</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30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考查</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10</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080300</w:t>
            </w:r>
            <w:r>
              <w:rPr>
                <w:rFonts w:hint="eastAsia" w:ascii="宋体" w:hAnsi="宋体"/>
                <w:color w:val="auto"/>
                <w:szCs w:val="21"/>
                <w:highlight w:val="none"/>
                <w:lang w:val="en-US" w:eastAsia="zh-CN"/>
              </w:rPr>
              <w:t>3</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r>
              <w:rPr>
                <w:rFonts w:hint="eastAsia" w:ascii="宋体" w:hAnsi="宋体"/>
                <w:color w:val="auto"/>
                <w:szCs w:val="21"/>
                <w:highlight w:val="none"/>
              </w:rPr>
              <w:t>体育（3）</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18"/>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32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30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考查</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11</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080300</w:t>
            </w:r>
            <w:r>
              <w:rPr>
                <w:rFonts w:hint="eastAsia" w:ascii="宋体" w:hAnsi="宋体"/>
                <w:color w:val="auto"/>
                <w:szCs w:val="21"/>
                <w:highlight w:val="none"/>
                <w:lang w:val="en-US" w:eastAsia="zh-CN"/>
              </w:rPr>
              <w:t>4</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r>
              <w:rPr>
                <w:rFonts w:hint="eastAsia" w:ascii="宋体" w:hAnsi="宋体"/>
                <w:color w:val="auto"/>
                <w:szCs w:val="21"/>
                <w:highlight w:val="none"/>
              </w:rPr>
              <w:t>体育（4）</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6</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30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考查</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12</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0801035</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s="宋体"/>
                <w:color w:val="auto"/>
                <w:kern w:val="0"/>
                <w:szCs w:val="18"/>
                <w:highlight w:val="none"/>
              </w:rPr>
            </w:pPr>
            <w:r>
              <w:rPr>
                <w:rFonts w:hint="eastAsia" w:ascii="宋体" w:hAnsi="宋体" w:cs="宋体"/>
                <w:color w:val="auto"/>
                <w:kern w:val="0"/>
                <w:szCs w:val="18"/>
                <w:highlight w:val="none"/>
              </w:rPr>
              <w:t>思想道德修养与法律基础（1）</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32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23</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9</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考查</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13</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0801038</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宋体" w:hAnsi="宋体" w:cs="宋体"/>
                <w:color w:val="auto"/>
                <w:kern w:val="0"/>
                <w:szCs w:val="18"/>
                <w:highlight w:val="none"/>
              </w:rPr>
            </w:pPr>
            <w:r>
              <w:rPr>
                <w:rFonts w:hint="eastAsia" w:ascii="宋体" w:hAnsi="宋体" w:cs="宋体"/>
                <w:color w:val="auto"/>
                <w:kern w:val="0"/>
                <w:szCs w:val="18"/>
                <w:highlight w:val="none"/>
              </w:rPr>
              <w:t>思想道德修养与法律基础（2）</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27</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9</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考查</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14</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0801048</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宋体" w:hAnsi="宋体"/>
                <w:color w:val="auto"/>
                <w:szCs w:val="21"/>
                <w:highlight w:val="none"/>
              </w:rPr>
            </w:pPr>
            <w:r>
              <w:rPr>
                <w:rFonts w:hint="eastAsia" w:ascii="宋体" w:hAnsi="宋体" w:cs="宋体"/>
                <w:color w:val="auto"/>
                <w:kern w:val="0"/>
                <w:szCs w:val="18"/>
                <w:highlight w:val="none"/>
              </w:rPr>
              <w:t>毛泽东思想和中国特色社会主义理论体系概论（1）</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32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23</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9</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考查</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15</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eastAsia" w:ascii="宋体" w:hAnsi="宋体" w:eastAsiaTheme="minorEastAsia"/>
                <w:color w:val="auto"/>
                <w:szCs w:val="21"/>
                <w:highlight w:val="none"/>
                <w:lang w:eastAsia="zh-CN"/>
              </w:rPr>
            </w:pPr>
            <w:r>
              <w:rPr>
                <w:rFonts w:hint="eastAsia" w:ascii="宋体" w:hAnsi="宋体"/>
                <w:color w:val="auto"/>
                <w:szCs w:val="21"/>
                <w:highlight w:val="none"/>
              </w:rPr>
              <w:t>0801049</w:t>
            </w:r>
            <w:r>
              <w:rPr>
                <w:rFonts w:hint="eastAsia" w:ascii="宋体" w:hAnsi="宋体"/>
                <w:color w:val="auto"/>
                <w:szCs w:val="21"/>
                <w:highlight w:val="none"/>
                <w:lang w:val="en-US" w:eastAsia="zh-CN"/>
              </w:rPr>
              <w:t xml:space="preserve"> </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宋体" w:hAnsi="宋体"/>
                <w:color w:val="auto"/>
                <w:szCs w:val="21"/>
                <w:highlight w:val="none"/>
              </w:rPr>
            </w:pPr>
            <w:r>
              <w:rPr>
                <w:rFonts w:hint="eastAsia" w:ascii="宋体" w:hAnsi="宋体" w:cs="宋体"/>
                <w:color w:val="auto"/>
                <w:kern w:val="0"/>
                <w:szCs w:val="18"/>
                <w:highlight w:val="none"/>
              </w:rPr>
              <w:t>毛泽东思想和中国特色社会主义理论体系概论（2）</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360" w:lineRule="exac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360" w:lineRule="exac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26</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10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s="宋体"/>
                <w:color w:val="auto"/>
                <w:kern w:val="0"/>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考查</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16</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0499016</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r>
              <w:rPr>
                <w:rFonts w:hint="eastAsia" w:ascii="宋体" w:hAnsi="宋体" w:cs="宋体"/>
                <w:color w:val="auto"/>
                <w:kern w:val="0"/>
                <w:szCs w:val="18"/>
                <w:highlight w:val="none"/>
              </w:rPr>
              <w:t>形势与政策</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18"/>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ascii="宋体" w:hAnsi="宋体"/>
                <w:color w:val="auto"/>
                <w:szCs w:val="21"/>
                <w:highlight w:val="none"/>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ascii="宋体" w:hAnsi="宋体"/>
                <w:color w:val="auto"/>
                <w:szCs w:val="21"/>
                <w:highlight w:val="none"/>
              </w:rPr>
              <w:t>16</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20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default" w:ascii="Arial" w:hAnsi="Arial" w:cs="Arial"/>
                <w:color w:val="auto"/>
                <w:szCs w:val="21"/>
                <w:highlight w:val="none"/>
              </w:rPr>
              <w:t>∆</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default" w:ascii="Arial" w:hAnsi="Arial" w:cs="Arial"/>
                <w:color w:val="auto"/>
                <w:szCs w:val="21"/>
                <w:highlight w:val="none"/>
              </w:rPr>
              <w:t>∆</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default" w:ascii="Arial" w:hAnsi="Arial" w:cs="Arial"/>
                <w:color w:val="auto"/>
                <w:szCs w:val="21"/>
                <w:highlight w:val="none"/>
              </w:rPr>
              <w:t>∆</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default" w:ascii="Arial" w:hAnsi="Arial" w:cs="Arial"/>
                <w:color w:val="auto"/>
                <w:szCs w:val="21"/>
                <w:highlight w:val="none"/>
              </w:rPr>
              <w:t>∆</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考查</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 w:val="20"/>
                <w:szCs w:val="20"/>
                <w:highlight w:val="none"/>
              </w:rPr>
            </w:pPr>
            <w:r>
              <w:rPr>
                <w:rFonts w:hint="eastAsia" w:ascii="宋体" w:hAnsi="宋体"/>
                <w:color w:val="auto"/>
                <w:szCs w:val="18"/>
                <w:highlight w:val="none"/>
              </w:rPr>
              <w:t>讲座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17</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lang w:val="en-US" w:eastAsia="zh-CN"/>
              </w:rPr>
              <w:t>0804007</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s="宋体"/>
                <w:color w:val="auto"/>
                <w:kern w:val="0"/>
                <w:szCs w:val="18"/>
                <w:highlight w:val="none"/>
              </w:rPr>
              <w:t>安全教育</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ascii="宋体" w:hAnsi="宋体"/>
                <w:color w:val="auto"/>
                <w:szCs w:val="21"/>
                <w:highlight w:val="none"/>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ascii="宋体" w:hAnsi="宋体"/>
                <w:color w:val="auto"/>
                <w:szCs w:val="21"/>
                <w:highlight w:val="none"/>
              </w:rPr>
              <w:t>24</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12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default" w:ascii="Arial" w:hAnsi="Arial" w:cs="Arial"/>
                <w:color w:val="auto"/>
                <w:szCs w:val="21"/>
                <w:highlight w:val="none"/>
              </w:rPr>
              <w:t>∆</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default" w:ascii="Arial" w:hAnsi="Arial" w:cs="Arial"/>
                <w:color w:val="auto"/>
                <w:szCs w:val="21"/>
                <w:highlight w:val="none"/>
              </w:rPr>
              <w:t>∆</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default" w:ascii="Arial" w:hAnsi="Arial" w:cs="Arial"/>
                <w:color w:val="auto"/>
                <w:szCs w:val="21"/>
                <w:highlight w:val="none"/>
              </w:rPr>
              <w:t>∆</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default" w:ascii="Arial" w:hAnsi="Arial" w:cs="Arial"/>
                <w:color w:val="auto"/>
                <w:szCs w:val="21"/>
                <w:highlight w:val="none"/>
              </w:rPr>
              <w:t>∆</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考查</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 w:val="20"/>
                <w:szCs w:val="20"/>
                <w:highlight w:val="none"/>
              </w:rPr>
            </w:pPr>
            <w:r>
              <w:rPr>
                <w:rFonts w:hint="eastAsia" w:ascii="宋体" w:hAnsi="宋体"/>
                <w:color w:val="auto"/>
                <w:szCs w:val="18"/>
                <w:highlight w:val="none"/>
              </w:rPr>
              <w:t>讲座与</w:t>
            </w:r>
            <w:r>
              <w:rPr>
                <w:rFonts w:hint="eastAsia" w:ascii="宋体" w:hAnsi="宋体"/>
                <w:color w:val="auto"/>
                <w:szCs w:val="18"/>
                <w:highlight w:val="none"/>
                <w:lang w:val="en-US" w:eastAsia="zh-CN"/>
              </w:rPr>
              <w:t>主题</w:t>
            </w:r>
            <w:r>
              <w:rPr>
                <w:rFonts w:hint="eastAsia" w:ascii="宋体" w:hAnsi="宋体"/>
                <w:color w:val="auto"/>
                <w:szCs w:val="18"/>
                <w:highlight w:val="none"/>
              </w:rPr>
              <w:t>班会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楷体_GB2312" w:hAnsi="宋体" w:eastAsia="楷体_GB2312"/>
                <w:color w:val="auto"/>
                <w:sz w:val="18"/>
                <w:szCs w:val="18"/>
                <w:highlight w:val="none"/>
                <w:lang w:val="en-US" w:eastAsia="zh-CN"/>
              </w:rPr>
            </w:pPr>
            <w:r>
              <w:rPr>
                <w:rFonts w:hint="eastAsia" w:ascii="楷体_GB2312" w:hAnsi="宋体" w:eastAsia="楷体_GB2312"/>
                <w:color w:val="auto"/>
                <w:sz w:val="18"/>
                <w:szCs w:val="18"/>
                <w:highlight w:val="none"/>
                <w:lang w:val="en-US" w:eastAsia="zh-CN"/>
              </w:rPr>
              <w:t>18</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0804009</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eastAsia" w:ascii="宋体" w:hAnsi="宋体" w:cs="宋体" w:eastAsiaTheme="minorEastAsia"/>
                <w:color w:val="auto"/>
                <w:kern w:val="0"/>
                <w:szCs w:val="18"/>
                <w:highlight w:val="none"/>
                <w:lang w:val="en-US" w:eastAsia="zh-CN"/>
              </w:rPr>
            </w:pPr>
            <w:r>
              <w:rPr>
                <w:rFonts w:hint="eastAsia" w:ascii="宋体" w:hAnsi="宋体" w:cs="宋体"/>
                <w:color w:val="auto"/>
                <w:kern w:val="0"/>
                <w:szCs w:val="18"/>
                <w:highlight w:val="none"/>
                <w:lang w:val="en-US" w:eastAsia="zh-CN"/>
              </w:rPr>
              <w:t>劳动教育</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eastAsia"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hint="eastAsia"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12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both"/>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24</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val="en-US" w:eastAsia="zh-CN"/>
              </w:rPr>
            </w:pPr>
            <w:r>
              <w:rPr>
                <w:rFonts w:hint="default" w:ascii="Arial" w:hAnsi="Arial" w:cs="Arial" w:eastAsiaTheme="minorEastAsia"/>
                <w:color w:val="auto"/>
                <w:szCs w:val="21"/>
                <w:highlight w:val="none"/>
                <w:lang w:val="en-US" w:eastAsia="zh-CN"/>
              </w:rPr>
              <w:t>∆</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val="en-US" w:eastAsia="zh-CN"/>
              </w:rPr>
            </w:pPr>
            <w:r>
              <w:rPr>
                <w:rFonts w:hint="default" w:ascii="Arial" w:hAnsi="Arial" w:cs="Arial" w:eastAsiaTheme="minorEastAsia"/>
                <w:color w:val="auto"/>
                <w:szCs w:val="21"/>
                <w:highlight w:val="none"/>
                <w:lang w:val="en-US" w:eastAsia="zh-CN"/>
              </w:rPr>
              <w:t>∆</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val="en-US" w:eastAsia="zh-CN"/>
              </w:rPr>
            </w:pPr>
            <w:r>
              <w:rPr>
                <w:rFonts w:hint="default" w:ascii="Arial" w:hAnsi="Arial" w:cs="Arial" w:eastAsiaTheme="minorEastAsia"/>
                <w:color w:val="auto"/>
                <w:szCs w:val="21"/>
                <w:highlight w:val="none"/>
                <w:lang w:val="en-US" w:eastAsia="zh-CN"/>
              </w:rPr>
              <w:t>∆</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val="en-US" w:eastAsia="zh-CN"/>
              </w:rPr>
            </w:pPr>
            <w:r>
              <w:rPr>
                <w:rFonts w:hint="default" w:ascii="Arial" w:hAnsi="Arial" w:cs="Arial" w:eastAsiaTheme="minorEastAsia"/>
                <w:color w:val="auto"/>
                <w:szCs w:val="21"/>
                <w:highlight w:val="none"/>
                <w:lang w:val="en-US" w:eastAsia="zh-CN"/>
              </w:rPr>
              <w:t>∆</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考</w:t>
            </w:r>
            <w:r>
              <w:rPr>
                <w:rFonts w:hint="eastAsia" w:ascii="宋体" w:hAnsi="宋体"/>
                <w:color w:val="auto"/>
                <w:szCs w:val="21"/>
                <w:highlight w:val="none"/>
              </w:rPr>
              <w:t>查</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color w:val="auto"/>
                <w:szCs w:val="18"/>
                <w:highlight w:val="none"/>
              </w:rPr>
            </w:pPr>
            <w:r>
              <w:rPr>
                <w:rFonts w:hint="eastAsia" w:ascii="宋体" w:hAnsi="宋体"/>
                <w:color w:val="auto"/>
                <w:szCs w:val="18"/>
                <w:highlight w:val="none"/>
              </w:rPr>
              <w:t>讲座</w:t>
            </w:r>
            <w:r>
              <w:rPr>
                <w:rFonts w:hint="eastAsia" w:ascii="宋体" w:hAnsi="宋体"/>
                <w:color w:val="auto"/>
                <w:szCs w:val="18"/>
                <w:highlight w:val="none"/>
                <w:lang w:val="en-US" w:eastAsia="zh-CN"/>
              </w:rPr>
              <w:t>与主题</w:t>
            </w:r>
            <w:r>
              <w:rPr>
                <w:rFonts w:hint="eastAsia" w:ascii="宋体" w:hAnsi="宋体"/>
                <w:color w:val="auto"/>
                <w:szCs w:val="18"/>
                <w:highlight w:val="none"/>
              </w:rPr>
              <w:t>班会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eastAsia" w:ascii="楷体_GB2312" w:hAnsi="宋体" w:eastAsia="楷体_GB2312"/>
                <w:color w:val="auto"/>
                <w:sz w:val="18"/>
                <w:szCs w:val="18"/>
                <w:highlight w:val="none"/>
                <w:lang w:eastAsia="zh-CN"/>
              </w:rPr>
            </w:pPr>
            <w:r>
              <w:rPr>
                <w:rFonts w:hint="eastAsia" w:ascii="楷体_GB2312" w:hAnsi="宋体" w:eastAsia="楷体_GB2312"/>
                <w:color w:val="auto"/>
                <w:sz w:val="18"/>
                <w:szCs w:val="18"/>
                <w:highlight w:val="none"/>
              </w:rPr>
              <w:t>1</w:t>
            </w:r>
            <w:r>
              <w:rPr>
                <w:rFonts w:hint="eastAsia" w:ascii="楷体_GB2312" w:hAnsi="宋体" w:eastAsia="楷体_GB2312"/>
                <w:color w:val="auto"/>
                <w:sz w:val="18"/>
                <w:szCs w:val="18"/>
                <w:highlight w:val="none"/>
                <w:lang w:val="en-US" w:eastAsia="zh-CN"/>
              </w:rPr>
              <w:t>9</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0802015</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eastAsia="宋体"/>
                <w:color w:val="auto"/>
                <w:szCs w:val="21"/>
                <w:highlight w:val="none"/>
              </w:rPr>
            </w:pPr>
            <w:r>
              <w:rPr>
                <w:rFonts w:hint="eastAsia" w:ascii="宋体" w:hAnsi="宋体" w:cs="宋体"/>
                <w:color w:val="auto"/>
                <w:kern w:val="0"/>
                <w:szCs w:val="18"/>
                <w:highlight w:val="none"/>
              </w:rPr>
              <w:t>心理健康教育</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eastAsia="宋体"/>
                <w:color w:val="auto"/>
                <w:szCs w:val="21"/>
                <w:highlight w:val="none"/>
              </w:rPr>
            </w:pPr>
            <w:r>
              <w:rPr>
                <w:rFonts w:hint="eastAsia" w:ascii="宋体" w:hAnsi="宋体"/>
                <w:color w:val="auto"/>
                <w:szCs w:val="21"/>
                <w:highlight w:val="none"/>
              </w:rPr>
              <w:t>1</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16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10</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6</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2</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sz w:val="21"/>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sz w:val="21"/>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sz w:val="21"/>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kern w:val="0"/>
                <w:sz w:val="21"/>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kern w:val="0"/>
                <w:sz w:val="21"/>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考查</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kern w:val="0"/>
                <w:sz w:val="21"/>
                <w:szCs w:val="21"/>
                <w:highlight w:val="none"/>
                <w:lang w:val="en-US" w:eastAsia="zh-CN"/>
              </w:rPr>
            </w:pPr>
            <w:r>
              <w:rPr>
                <w:rFonts w:hint="eastAsia" w:asciiTheme="majorEastAsia" w:hAnsiTheme="majorEastAsia" w:eastAsiaTheme="majorEastAsia" w:cstheme="majorEastAsia"/>
                <w:color w:val="auto"/>
                <w:kern w:val="0"/>
                <w:sz w:val="21"/>
                <w:szCs w:val="21"/>
                <w:highlight w:val="none"/>
                <w:lang w:val="en-US" w:eastAsia="zh-CN"/>
              </w:rPr>
              <w:t>开设8周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楷体_GB2312" w:hAnsi="宋体" w:eastAsia="楷体_GB2312"/>
                <w:color w:val="auto"/>
                <w:sz w:val="18"/>
                <w:szCs w:val="18"/>
                <w:highlight w:val="none"/>
                <w:lang w:val="en-US" w:eastAsia="zh-CN"/>
              </w:rPr>
            </w:pPr>
            <w:r>
              <w:rPr>
                <w:rFonts w:hint="eastAsia" w:ascii="楷体_GB2312" w:hAnsi="宋体" w:eastAsia="楷体_GB2312"/>
                <w:color w:val="auto"/>
                <w:sz w:val="18"/>
                <w:szCs w:val="18"/>
                <w:highlight w:val="none"/>
                <w:lang w:val="en-US" w:eastAsia="zh-CN"/>
              </w:rPr>
              <w:t>20</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0706001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r>
              <w:rPr>
                <w:rFonts w:hint="eastAsia" w:ascii="宋体" w:hAnsi="宋体" w:cs="宋体"/>
                <w:color w:val="auto"/>
                <w:kern w:val="0"/>
                <w:szCs w:val="18"/>
                <w:highlight w:val="none"/>
              </w:rPr>
              <w:t>公共艺术</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eastAsia="宋体"/>
                <w:color w:val="auto"/>
                <w:szCs w:val="21"/>
                <w:highlight w:val="none"/>
              </w:rPr>
            </w:pPr>
            <w:r>
              <w:rPr>
                <w:rFonts w:hint="eastAsia" w:ascii="宋体" w:hAnsi="宋体"/>
                <w:color w:val="auto"/>
                <w:szCs w:val="21"/>
                <w:highlight w:val="none"/>
              </w:rPr>
              <w:t>1</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16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10</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6</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2</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sz w:val="21"/>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sz w:val="21"/>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sz w:val="21"/>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kern w:val="0"/>
                <w:sz w:val="21"/>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kern w:val="0"/>
                <w:sz w:val="21"/>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考查</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kern w:val="0"/>
                <w:sz w:val="21"/>
                <w:szCs w:val="21"/>
                <w:highlight w:val="none"/>
                <w:lang w:val="en-US" w:eastAsia="zh-CN"/>
              </w:rPr>
            </w:pPr>
            <w:r>
              <w:rPr>
                <w:rFonts w:hint="eastAsia" w:asciiTheme="majorEastAsia" w:hAnsiTheme="majorEastAsia" w:eastAsiaTheme="majorEastAsia" w:cstheme="majorEastAsia"/>
                <w:color w:val="auto"/>
                <w:kern w:val="0"/>
                <w:sz w:val="21"/>
                <w:szCs w:val="21"/>
                <w:highlight w:val="none"/>
                <w:lang w:val="en-US" w:eastAsia="zh-CN"/>
              </w:rPr>
              <w:t>开设8周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eastAsia" w:ascii="楷体_GB2312" w:hAnsi="宋体" w:eastAsia="楷体_GB2312"/>
                <w:color w:val="auto"/>
                <w:sz w:val="18"/>
                <w:szCs w:val="18"/>
                <w:highlight w:val="none"/>
                <w:lang w:eastAsia="zh-CN"/>
              </w:rPr>
            </w:pPr>
            <w:r>
              <w:rPr>
                <w:rFonts w:hint="eastAsia" w:ascii="楷体_GB2312" w:hAnsi="宋体" w:eastAsia="楷体_GB2312"/>
                <w:color w:val="auto"/>
                <w:sz w:val="18"/>
                <w:szCs w:val="18"/>
                <w:highlight w:val="none"/>
              </w:rPr>
              <w:t>2</w:t>
            </w:r>
            <w:r>
              <w:rPr>
                <w:rFonts w:hint="eastAsia" w:ascii="楷体_GB2312" w:hAnsi="宋体" w:eastAsia="楷体_GB2312"/>
                <w:color w:val="auto"/>
                <w:sz w:val="18"/>
                <w:szCs w:val="18"/>
                <w:highlight w:val="none"/>
                <w:lang w:val="en-US" w:eastAsia="zh-CN"/>
              </w:rPr>
              <w:t>1</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ind w:firstLine="210" w:firstLineChars="100"/>
              <w:jc w:val="both"/>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0801050</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r>
              <w:rPr>
                <w:rFonts w:hint="eastAsia" w:ascii="宋体" w:hAnsi="宋体" w:cs="宋体"/>
                <w:color w:val="auto"/>
                <w:kern w:val="0"/>
                <w:szCs w:val="18"/>
                <w:highlight w:val="none"/>
              </w:rPr>
              <w:t>职业规划与就业指导</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eastAsia="宋体"/>
                <w:color w:val="auto"/>
                <w:szCs w:val="21"/>
                <w:highlight w:val="none"/>
              </w:rPr>
            </w:pPr>
            <w:r>
              <w:rPr>
                <w:rFonts w:hint="eastAsia" w:ascii="宋体" w:hAnsi="宋体"/>
                <w:color w:val="auto"/>
                <w:szCs w:val="21"/>
                <w:highlight w:val="none"/>
              </w:rPr>
              <w:t>1</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18</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10</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sz w:val="21"/>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sz w:val="21"/>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sz w:val="21"/>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2</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kern w:val="0"/>
                <w:sz w:val="21"/>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kern w:val="0"/>
                <w:sz w:val="21"/>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考查</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kern w:val="0"/>
                <w:sz w:val="21"/>
                <w:szCs w:val="21"/>
                <w:highlight w:val="none"/>
                <w:lang w:val="en-US" w:eastAsia="zh-CN"/>
              </w:rPr>
            </w:pPr>
            <w:r>
              <w:rPr>
                <w:rFonts w:hint="eastAsia" w:asciiTheme="majorEastAsia" w:hAnsiTheme="majorEastAsia" w:eastAsiaTheme="majorEastAsia" w:cstheme="majorEastAsia"/>
                <w:color w:val="auto"/>
                <w:kern w:val="0"/>
                <w:sz w:val="21"/>
                <w:szCs w:val="21"/>
                <w:highlight w:val="none"/>
                <w:lang w:val="en-US" w:eastAsia="zh-CN"/>
              </w:rPr>
              <w:t>开设9周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eastAsia" w:ascii="楷体_GB2312" w:hAnsi="宋体" w:eastAsia="楷体_GB2312"/>
                <w:color w:val="auto"/>
                <w:sz w:val="18"/>
                <w:szCs w:val="18"/>
                <w:highlight w:val="none"/>
                <w:lang w:eastAsia="zh-CN"/>
              </w:rPr>
            </w:pPr>
            <w:r>
              <w:rPr>
                <w:rFonts w:hint="eastAsia" w:ascii="楷体_GB2312" w:hAnsi="宋体" w:eastAsia="楷体_GB2312"/>
                <w:color w:val="auto"/>
                <w:sz w:val="18"/>
                <w:szCs w:val="18"/>
                <w:highlight w:val="none"/>
              </w:rPr>
              <w:t>2</w:t>
            </w:r>
            <w:r>
              <w:rPr>
                <w:rFonts w:hint="eastAsia" w:ascii="楷体_GB2312" w:hAnsi="宋体" w:eastAsia="楷体_GB2312"/>
                <w:color w:val="auto"/>
                <w:sz w:val="18"/>
                <w:szCs w:val="18"/>
                <w:highlight w:val="none"/>
                <w:lang w:val="en-US" w:eastAsia="zh-CN"/>
              </w:rPr>
              <w:t>2</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0801051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r>
              <w:rPr>
                <w:rFonts w:hint="eastAsia" w:ascii="宋体" w:hAnsi="宋体" w:cs="宋体"/>
                <w:color w:val="auto"/>
                <w:kern w:val="0"/>
                <w:szCs w:val="18"/>
                <w:highlight w:val="none"/>
              </w:rPr>
              <w:t>创新创业教育</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eastAsia="宋体"/>
                <w:color w:val="auto"/>
                <w:szCs w:val="21"/>
                <w:highlight w:val="none"/>
              </w:rPr>
            </w:pPr>
            <w:r>
              <w:rPr>
                <w:rFonts w:hint="eastAsia" w:ascii="宋体" w:hAnsi="宋体"/>
                <w:color w:val="auto"/>
                <w:szCs w:val="21"/>
                <w:highlight w:val="none"/>
              </w:rPr>
              <w:t>1</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18</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10</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sz w:val="21"/>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sz w:val="21"/>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sz w:val="21"/>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2</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kern w:val="0"/>
                <w:sz w:val="21"/>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kern w:val="0"/>
                <w:sz w:val="21"/>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考查</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kern w:val="0"/>
                <w:sz w:val="21"/>
                <w:szCs w:val="21"/>
                <w:highlight w:val="none"/>
                <w:lang w:val="en-US" w:eastAsia="zh-CN"/>
              </w:rPr>
            </w:pPr>
            <w:r>
              <w:rPr>
                <w:rFonts w:hint="eastAsia" w:asciiTheme="majorEastAsia" w:hAnsiTheme="majorEastAsia" w:eastAsiaTheme="majorEastAsia" w:cstheme="majorEastAsia"/>
                <w:color w:val="auto"/>
                <w:kern w:val="0"/>
                <w:sz w:val="21"/>
                <w:szCs w:val="21"/>
                <w:highlight w:val="none"/>
                <w:lang w:val="en-US" w:eastAsia="zh-CN"/>
              </w:rPr>
              <w:t>开设9周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eastAsia" w:ascii="楷体_GB2312" w:hAnsi="宋体" w:eastAsia="楷体_GB2312"/>
                <w:color w:val="auto"/>
                <w:sz w:val="18"/>
                <w:szCs w:val="18"/>
                <w:highlight w:val="none"/>
                <w:lang w:eastAsia="zh-CN"/>
              </w:rPr>
            </w:pP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122" w:type="dxa"/>
            <w:gridSpan w:val="6"/>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s="宋体"/>
                <w:color w:val="auto"/>
                <w:kern w:val="0"/>
                <w:szCs w:val="18"/>
                <w:highlight w:val="none"/>
              </w:rPr>
              <w:t>小计</w:t>
            </w:r>
          </w:p>
        </w:tc>
        <w:tc>
          <w:tcPr>
            <w:tcW w:w="402" w:type="dxa"/>
            <w:tcBorders>
              <w:top w:val="single" w:color="auto" w:sz="4" w:space="0"/>
              <w:left w:val="single" w:color="auto" w:sz="4" w:space="0"/>
              <w:bottom w:val="single" w:color="auto" w:sz="4" w:space="0"/>
              <w:right w:val="single" w:color="auto" w:sz="4" w:space="0"/>
            </w:tcBorders>
            <w:noWrap/>
          </w:tcPr>
          <w:p>
            <w:pPr>
              <w:widowControl/>
              <w:spacing w:line="240" w:lineRule="atLeast"/>
              <w:jc w:val="center"/>
              <w:rPr>
                <w:rFonts w:ascii="宋体" w:hAnsi="宋体"/>
                <w:color w:val="auto"/>
                <w:szCs w:val="21"/>
                <w:highlight w:val="none"/>
              </w:rPr>
            </w:pP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eastAsia="zh-CN"/>
              </w:rPr>
            </w:pPr>
            <w:r>
              <w:rPr>
                <w:rFonts w:hint="eastAsia" w:ascii="宋体" w:hAnsi="宋体"/>
                <w:color w:val="auto"/>
                <w:szCs w:val="21"/>
                <w:highlight w:val="none"/>
              </w:rPr>
              <w:t>4</w:t>
            </w:r>
            <w:r>
              <w:rPr>
                <w:rFonts w:hint="eastAsia" w:ascii="宋体" w:hAnsi="宋体"/>
                <w:color w:val="auto"/>
                <w:szCs w:val="21"/>
                <w:highlight w:val="none"/>
                <w:lang w:val="en-US" w:eastAsia="zh-CN"/>
              </w:rPr>
              <w:t>6</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788</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425</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363</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both"/>
              <w:rPr>
                <w:rFonts w:hint="default"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16</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both"/>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14</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ind w:firstLine="210" w:firstLineChars="100"/>
              <w:jc w:val="both"/>
              <w:rPr>
                <w:rFonts w:hint="default"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4</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6</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b/>
                <w:color w:val="auto"/>
                <w:kern w:val="0"/>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b/>
                <w:color w:val="auto"/>
                <w:kern w:val="0"/>
                <w:szCs w:val="21"/>
                <w:highlight w:val="none"/>
              </w:rPr>
            </w:pP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549" w:type="dxa"/>
            <w:vMerge w:val="restart"/>
            <w:tcBorders>
              <w:top w:val="single" w:color="auto" w:sz="4" w:space="0"/>
              <w:left w:val="single" w:color="auto" w:sz="4" w:space="0"/>
              <w:bottom w:val="single" w:color="auto" w:sz="4" w:space="0"/>
              <w:right w:val="single" w:color="auto" w:sz="4" w:space="0"/>
            </w:tcBorders>
            <w:noWrap/>
            <w:textDirection w:val="tbRlV"/>
            <w:vAlign w:val="center"/>
          </w:tcPr>
          <w:p>
            <w:pPr>
              <w:spacing w:line="360" w:lineRule="exact"/>
              <w:jc w:val="center"/>
              <w:rPr>
                <w:rFonts w:ascii="宋体" w:hAnsi="宋体" w:cs="宋体"/>
                <w:b/>
                <w:color w:val="auto"/>
                <w:kern w:val="0"/>
                <w:szCs w:val="21"/>
                <w:highlight w:val="none"/>
              </w:rPr>
            </w:pPr>
            <w:r>
              <w:rPr>
                <w:rFonts w:hint="eastAsia" w:ascii="宋体" w:hAnsi="宋体" w:cs="宋体"/>
                <w:b/>
                <w:color w:val="auto"/>
                <w:kern w:val="0"/>
                <w:szCs w:val="21"/>
                <w:highlight w:val="none"/>
              </w:rPr>
              <w:t>专业（</w:t>
            </w:r>
            <w:r>
              <w:rPr>
                <w:rFonts w:hint="eastAsia" w:ascii="宋体" w:hAnsi="宋体" w:cs="宋体"/>
                <w:b/>
                <w:color w:val="auto"/>
                <w:kern w:val="0"/>
                <w:szCs w:val="18"/>
                <w:highlight w:val="none"/>
              </w:rPr>
              <w:t>技能）课程</w:t>
            </w: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1</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rPr>
              <w:t>1002016</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rPr>
                <w:rFonts w:ascii="宋体" w:hAnsi="宋体"/>
                <w:color w:val="auto"/>
                <w:szCs w:val="21"/>
                <w:highlight w:val="none"/>
              </w:rPr>
            </w:pPr>
            <w:r>
              <w:rPr>
                <w:color w:val="auto"/>
                <w:kern w:val="0"/>
                <w:szCs w:val="21"/>
                <w:highlight w:val="none"/>
              </w:rPr>
              <w:t>无机化学</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auto"/>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16</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ascii="宋体" w:hAnsi="宋体"/>
                <w:color w:val="auto"/>
                <w:szCs w:val="21"/>
                <w:highlight w:val="none"/>
              </w:rPr>
              <w:t>48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4</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2</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rPr>
              <w:t>1002013</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color w:val="auto"/>
                <w:kern w:val="0"/>
                <w:szCs w:val="21"/>
                <w:highlight w:val="none"/>
              </w:rPr>
              <w:t>有机化学</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auto"/>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eastAsia="宋体"/>
                <w:color w:val="auto"/>
                <w:szCs w:val="21"/>
                <w:highlight w:val="none"/>
              </w:rPr>
            </w:pPr>
            <w:r>
              <w:rPr>
                <w:rFonts w:hint="eastAsia" w:ascii="宋体" w:hAnsi="宋体"/>
                <w:color w:val="auto"/>
                <w:szCs w:val="18"/>
                <w:highlight w:val="none"/>
              </w:rPr>
              <w:t>16</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ascii="宋体" w:hAnsi="宋体"/>
                <w:color w:val="auto"/>
                <w:szCs w:val="21"/>
                <w:highlight w:val="none"/>
              </w:rPr>
              <w:t>48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4</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3</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rPr>
              <w:t>10020</w:t>
            </w:r>
            <w:r>
              <w:rPr>
                <w:rFonts w:hint="eastAsia" w:ascii="宋体" w:hAnsi="宋体"/>
                <w:color w:val="auto"/>
                <w:szCs w:val="21"/>
                <w:highlight w:val="none"/>
                <w:lang w:val="en-US" w:eastAsia="zh-CN"/>
              </w:rPr>
              <w:t>22</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color w:val="auto"/>
                <w:kern w:val="0"/>
                <w:szCs w:val="21"/>
                <w:highlight w:val="none"/>
              </w:rPr>
              <w:t>分析化学</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auto"/>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rPr>
              <w:t>32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8</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ascii="宋体" w:hAnsi="宋体"/>
                <w:color w:val="auto"/>
                <w:szCs w:val="21"/>
                <w:highlight w:val="none"/>
              </w:rPr>
              <w:t>24</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2</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4</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rPr>
              <w:t>1003053</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r>
              <w:rPr>
                <w:rFonts w:hint="eastAsia" w:ascii="宋体" w:hAnsi="宋体" w:cs="宋体"/>
                <w:color w:val="auto"/>
                <w:kern w:val="0"/>
                <w:szCs w:val="18"/>
                <w:highlight w:val="none"/>
              </w:rPr>
              <w:t>化工安全技术</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s="宋体"/>
                <w:color w:val="auto"/>
                <w:kern w:val="0"/>
                <w:szCs w:val="18"/>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30</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4</w:t>
            </w:r>
            <w:r>
              <w:rPr>
                <w:rFonts w:ascii="宋体" w:hAnsi="宋体"/>
                <w:color w:val="auto"/>
                <w:szCs w:val="21"/>
                <w:highlight w:val="none"/>
              </w:rPr>
              <w:t>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4</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5</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rPr>
              <w:t>10030</w:t>
            </w:r>
            <w:r>
              <w:rPr>
                <w:rFonts w:hint="eastAsia" w:ascii="宋体" w:hAnsi="宋体"/>
                <w:color w:val="auto"/>
                <w:szCs w:val="21"/>
                <w:highlight w:val="none"/>
                <w:lang w:val="en-US" w:eastAsia="zh-CN"/>
              </w:rPr>
              <w:t>62</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hint="eastAsia" w:ascii="宋体" w:hAnsi="宋体" w:eastAsiaTheme="minorEastAsia"/>
                <w:color w:val="auto"/>
                <w:szCs w:val="21"/>
                <w:highlight w:val="none"/>
                <w:lang w:eastAsia="zh-CN"/>
              </w:rPr>
            </w:pPr>
            <w:r>
              <w:rPr>
                <w:rFonts w:hint="eastAsia" w:ascii="宋体" w:hAnsi="宋体"/>
                <w:color w:val="auto"/>
                <w:szCs w:val="21"/>
                <w:highlight w:val="none"/>
              </w:rPr>
              <w:t>化工单元操作</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一</w:t>
            </w:r>
            <w:r>
              <w:rPr>
                <w:rFonts w:hint="eastAsia" w:ascii="宋体" w:hAnsi="宋体"/>
                <w:color w:val="auto"/>
                <w:szCs w:val="21"/>
                <w:highlight w:val="none"/>
                <w:lang w:eastAsia="zh-CN"/>
              </w:rPr>
              <w:t>）</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s="宋体"/>
                <w:color w:val="auto"/>
                <w:kern w:val="0"/>
                <w:szCs w:val="18"/>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hint="eastAsia" w:ascii="宋体" w:hAnsi="宋体" w:eastAsiaTheme="minorEastAsia"/>
                <w:color w:val="auto"/>
                <w:szCs w:val="21"/>
                <w:highlight w:val="none"/>
                <w:lang w:eastAsia="zh-CN"/>
              </w:rPr>
            </w:pPr>
            <w:r>
              <w:rPr>
                <w:rFonts w:hint="eastAsia" w:ascii="宋体" w:hAnsi="宋体"/>
                <w:color w:val="auto"/>
                <w:szCs w:val="21"/>
                <w:highlight w:val="none"/>
                <w:lang w:val="en-US" w:eastAsia="zh-CN"/>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28</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44</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4</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w:t>
            </w:r>
            <w:r>
              <w:rPr>
                <w:rFonts w:hint="eastAsia" w:ascii="宋体" w:hAnsi="宋体"/>
                <w:color w:val="auto"/>
                <w:szCs w:val="21"/>
                <w:highlight w:val="none"/>
                <w:lang w:val="en-US" w:eastAsia="zh-CN"/>
              </w:rPr>
              <w:t>实</w:t>
            </w:r>
            <w:r>
              <w:rPr>
                <w:rFonts w:hint="eastAsia" w:ascii="宋体" w:hAnsi="宋体"/>
                <w:color w:val="auto"/>
                <w:szCs w:val="21"/>
                <w:highlight w:val="none"/>
              </w:rPr>
              <w:t>践考核</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楷体_GB2312" w:hAnsi="宋体" w:eastAsia="楷体_GB2312"/>
                <w:color w:val="auto"/>
                <w:sz w:val="18"/>
                <w:szCs w:val="18"/>
                <w:highlight w:val="none"/>
                <w:lang w:val="en-US" w:eastAsia="zh-CN"/>
              </w:rPr>
            </w:pPr>
            <w:r>
              <w:rPr>
                <w:rFonts w:hint="eastAsia" w:ascii="楷体_GB2312" w:hAnsi="宋体" w:eastAsia="楷体_GB2312"/>
                <w:color w:val="auto"/>
                <w:sz w:val="18"/>
                <w:szCs w:val="18"/>
                <w:highlight w:val="none"/>
                <w:lang w:val="en-US" w:eastAsia="zh-CN"/>
              </w:rPr>
              <w:t>6</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1003063</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化工单元操作（二）</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cs="宋体" w:eastAsiaTheme="minorEastAsia"/>
                <w:color w:val="auto"/>
                <w:kern w:val="0"/>
                <w:szCs w:val="18"/>
                <w:highlight w:val="none"/>
                <w:lang w:val="en-US" w:eastAsia="zh-CN"/>
              </w:rPr>
            </w:pPr>
            <w:r>
              <w:rPr>
                <w:rFonts w:hint="eastAsia" w:ascii="宋体" w:hAnsi="宋体" w:cs="宋体"/>
                <w:color w:val="auto"/>
                <w:kern w:val="0"/>
                <w:szCs w:val="18"/>
                <w:highlight w:val="none"/>
                <w:lang w:val="en-US" w:eastAsia="zh-CN"/>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hint="eastAsia"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24</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color w:val="auto"/>
                <w:szCs w:val="21"/>
                <w:highlight w:val="none"/>
              </w:rPr>
            </w:pPr>
            <w:r>
              <w:rPr>
                <w:rFonts w:hint="eastAsia" w:ascii="宋体" w:hAnsi="宋体"/>
                <w:color w:val="auto"/>
                <w:szCs w:val="21"/>
                <w:highlight w:val="none"/>
              </w:rPr>
              <w:t>笔试+</w:t>
            </w:r>
            <w:r>
              <w:rPr>
                <w:rFonts w:hint="eastAsia" w:ascii="宋体" w:hAnsi="宋体"/>
                <w:color w:val="auto"/>
                <w:szCs w:val="21"/>
                <w:highlight w:val="none"/>
                <w:lang w:val="en-US" w:eastAsia="zh-CN"/>
              </w:rPr>
              <w:t>实</w:t>
            </w:r>
            <w:r>
              <w:rPr>
                <w:rFonts w:hint="eastAsia" w:ascii="宋体" w:hAnsi="宋体"/>
                <w:color w:val="auto"/>
                <w:szCs w:val="21"/>
                <w:highlight w:val="none"/>
              </w:rPr>
              <w:t>践考核</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楷体_GB2312" w:hAnsi="宋体" w:eastAsia="楷体_GB2312"/>
                <w:color w:val="auto"/>
                <w:sz w:val="18"/>
                <w:szCs w:val="18"/>
                <w:highlight w:val="none"/>
                <w:lang w:eastAsia="zh-CN"/>
              </w:rPr>
            </w:pPr>
            <w:r>
              <w:rPr>
                <w:rFonts w:hint="eastAsia" w:ascii="楷体_GB2312" w:hAnsi="宋体" w:eastAsia="楷体_GB2312"/>
                <w:color w:val="auto"/>
                <w:sz w:val="18"/>
                <w:szCs w:val="18"/>
                <w:highlight w:val="none"/>
                <w:lang w:val="en-US" w:eastAsia="zh-CN"/>
              </w:rPr>
              <w:t>7</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lang w:val="en-US" w:eastAsia="zh-CN"/>
              </w:rPr>
              <w:t>0203027</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r>
              <w:rPr>
                <w:bCs/>
                <w:color w:val="auto"/>
                <w:kern w:val="0"/>
                <w:szCs w:val="21"/>
                <w:highlight w:val="none"/>
              </w:rPr>
              <w:t>化工仪表</w:t>
            </w:r>
            <w:r>
              <w:rPr>
                <w:rFonts w:hint="eastAsia"/>
                <w:color w:val="auto"/>
                <w:highlight w:val="none"/>
              </w:rPr>
              <w:t>及自动化</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s="宋体"/>
                <w:color w:val="auto"/>
                <w:kern w:val="0"/>
                <w:szCs w:val="18"/>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30</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ascii="宋体" w:hAnsi="宋体"/>
                <w:color w:val="auto"/>
                <w:szCs w:val="21"/>
                <w:highlight w:val="none"/>
              </w:rPr>
              <w:t>42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4</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楷体_GB2312" w:hAnsi="宋体" w:eastAsia="楷体_GB2312"/>
                <w:color w:val="auto"/>
                <w:sz w:val="18"/>
                <w:szCs w:val="18"/>
                <w:highlight w:val="none"/>
                <w:lang w:eastAsia="zh-CN"/>
              </w:rPr>
            </w:pPr>
            <w:r>
              <w:rPr>
                <w:rFonts w:hint="eastAsia" w:ascii="楷体_GB2312" w:hAnsi="宋体" w:eastAsia="楷体_GB2312"/>
                <w:color w:val="auto"/>
                <w:sz w:val="18"/>
                <w:szCs w:val="18"/>
                <w:highlight w:val="none"/>
                <w:lang w:val="en-US" w:eastAsia="zh-CN"/>
              </w:rPr>
              <w:t>8</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rPr>
              <w:t>1003045</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210" w:firstLineChars="100"/>
              <w:rPr>
                <w:rFonts w:ascii="宋体" w:hAnsi="宋体"/>
                <w:color w:val="auto"/>
                <w:szCs w:val="21"/>
                <w:highlight w:val="none"/>
              </w:rPr>
            </w:pPr>
            <w:r>
              <w:rPr>
                <w:color w:val="auto"/>
                <w:szCs w:val="21"/>
                <w:highlight w:val="none"/>
              </w:rPr>
              <w:t>化工设备基础</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auto"/>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22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42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both"/>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楷体_GB2312" w:hAnsi="宋体" w:eastAsia="楷体_GB2312"/>
                <w:color w:val="auto"/>
                <w:sz w:val="18"/>
                <w:szCs w:val="18"/>
                <w:highlight w:val="none"/>
                <w:lang w:eastAsia="zh-CN"/>
              </w:rPr>
            </w:pPr>
            <w:r>
              <w:rPr>
                <w:rFonts w:hint="eastAsia" w:ascii="楷体_GB2312" w:hAnsi="宋体" w:eastAsia="楷体_GB2312"/>
                <w:color w:val="auto"/>
                <w:sz w:val="18"/>
                <w:szCs w:val="18"/>
                <w:highlight w:val="none"/>
                <w:lang w:val="en-US" w:eastAsia="zh-CN"/>
              </w:rPr>
              <w:t>9</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rPr>
              <w:t>1002019</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420" w:firstLineChars="200"/>
              <w:rPr>
                <w:rFonts w:hint="eastAsia" w:ascii="宋体" w:hAnsi="宋体" w:eastAsiaTheme="minorEastAsia"/>
                <w:color w:val="auto"/>
                <w:szCs w:val="21"/>
                <w:highlight w:val="none"/>
                <w:lang w:eastAsia="zh-CN"/>
              </w:rPr>
            </w:pPr>
            <w:r>
              <w:rPr>
                <w:rFonts w:hint="eastAsia" w:ascii="宋体" w:hAnsi="宋体" w:cs="宋体"/>
                <w:color w:val="auto"/>
                <w:kern w:val="0"/>
                <w:szCs w:val="18"/>
                <w:highlight w:val="none"/>
              </w:rPr>
              <w:t>物理化学</w:t>
            </w:r>
            <w:r>
              <w:rPr>
                <w:rFonts w:hint="eastAsia" w:ascii="宋体" w:hAnsi="宋体" w:cs="宋体"/>
                <w:color w:val="auto"/>
                <w:kern w:val="0"/>
                <w:szCs w:val="18"/>
                <w:highlight w:val="none"/>
                <w:lang w:eastAsia="zh-CN"/>
              </w:rPr>
              <w:t>（</w:t>
            </w:r>
            <w:r>
              <w:rPr>
                <w:rFonts w:hint="eastAsia" w:ascii="宋体" w:hAnsi="宋体" w:cs="宋体"/>
                <w:color w:val="auto"/>
                <w:kern w:val="0"/>
                <w:szCs w:val="18"/>
                <w:highlight w:val="none"/>
                <w:lang w:val="en-US" w:eastAsia="zh-CN"/>
              </w:rPr>
              <w:t>一</w:t>
            </w:r>
            <w:r>
              <w:rPr>
                <w:rFonts w:hint="eastAsia" w:ascii="宋体" w:hAnsi="宋体" w:cs="宋体"/>
                <w:color w:val="auto"/>
                <w:kern w:val="0"/>
                <w:szCs w:val="18"/>
                <w:highlight w:val="none"/>
                <w:lang w:eastAsia="zh-CN"/>
              </w:rPr>
              <w:t>）</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auto"/>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hint="eastAsia" w:ascii="宋体" w:hAnsi="宋体" w:eastAsiaTheme="minorEastAsia"/>
                <w:color w:val="auto"/>
                <w:szCs w:val="21"/>
                <w:highlight w:val="none"/>
                <w:lang w:eastAsia="zh-CN"/>
              </w:rPr>
            </w:pPr>
            <w:r>
              <w:rPr>
                <w:rFonts w:hint="eastAsia" w:ascii="宋体" w:hAnsi="宋体"/>
                <w:color w:val="auto"/>
                <w:szCs w:val="21"/>
                <w:highlight w:val="none"/>
                <w:lang w:val="en-US" w:eastAsia="zh-CN"/>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18"/>
                <w:highlight w:val="none"/>
                <w:lang w:val="en-US" w:eastAsia="zh-CN"/>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18"/>
                <w:highlight w:val="none"/>
                <w:lang w:val="en-US" w:eastAsia="zh-CN"/>
              </w:rPr>
              <w:t>42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both"/>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楷体_GB2312" w:hAnsi="宋体" w:eastAsia="楷体_GB2312"/>
                <w:color w:val="auto"/>
                <w:sz w:val="18"/>
                <w:szCs w:val="18"/>
                <w:highlight w:val="none"/>
                <w:lang w:val="en-US" w:eastAsia="zh-CN"/>
              </w:rPr>
            </w:pPr>
            <w:r>
              <w:rPr>
                <w:rFonts w:hint="eastAsia" w:ascii="楷体_GB2312" w:hAnsi="宋体" w:eastAsia="楷体_GB2312"/>
                <w:color w:val="auto"/>
                <w:sz w:val="18"/>
                <w:szCs w:val="18"/>
                <w:highlight w:val="none"/>
                <w:lang w:val="en-US" w:eastAsia="zh-CN"/>
              </w:rPr>
              <w:t>10</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1002020</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420" w:firstLineChars="200"/>
              <w:rPr>
                <w:rFonts w:hint="eastAsia" w:ascii="宋体" w:hAnsi="宋体" w:cs="宋体" w:eastAsiaTheme="minorEastAsia"/>
                <w:color w:val="auto"/>
                <w:kern w:val="0"/>
                <w:szCs w:val="18"/>
                <w:highlight w:val="none"/>
                <w:lang w:val="en-US" w:eastAsia="zh-CN"/>
              </w:rPr>
            </w:pPr>
            <w:r>
              <w:rPr>
                <w:rFonts w:hint="eastAsia" w:ascii="宋体" w:hAnsi="宋体" w:cs="宋体"/>
                <w:color w:val="auto"/>
                <w:kern w:val="0"/>
                <w:szCs w:val="18"/>
                <w:highlight w:val="none"/>
                <w:lang w:val="en-US" w:eastAsia="zh-CN"/>
              </w:rPr>
              <w:t>物理化学（二）</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eastAsiaTheme="minorEastAsia"/>
                <w:color w:val="auto"/>
                <w:kern w:val="0"/>
                <w:szCs w:val="21"/>
                <w:highlight w:val="none"/>
                <w:lang w:val="en-US" w:eastAsia="zh-CN"/>
              </w:rPr>
            </w:pPr>
            <w:r>
              <w:rPr>
                <w:rFonts w:hint="eastAsia"/>
                <w:color w:val="auto"/>
                <w:kern w:val="0"/>
                <w:szCs w:val="21"/>
                <w:highlight w:val="none"/>
                <w:lang w:val="en-US" w:eastAsia="zh-CN"/>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12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24</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color w:val="auto"/>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2</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color w:val="auto"/>
                <w:szCs w:val="21"/>
                <w:highlight w:val="none"/>
              </w:rPr>
            </w:pPr>
            <w:r>
              <w:rPr>
                <w:rFonts w:hint="eastAsia" w:ascii="宋体" w:hAnsi="宋体"/>
                <w:color w:val="auto"/>
                <w:szCs w:val="21"/>
                <w:highlight w:val="none"/>
              </w:rPr>
              <w:t>笔试+实践考核</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楷体_GB2312" w:hAnsi="宋体" w:eastAsia="楷体_GB2312"/>
                <w:color w:val="auto"/>
                <w:sz w:val="18"/>
                <w:szCs w:val="18"/>
                <w:highlight w:val="none"/>
                <w:lang w:val="en-US" w:eastAsia="zh-CN"/>
              </w:rPr>
            </w:pPr>
            <w:r>
              <w:rPr>
                <w:rFonts w:hint="eastAsia" w:ascii="楷体_GB2312" w:hAnsi="宋体" w:eastAsia="楷体_GB2312"/>
                <w:color w:val="auto"/>
                <w:sz w:val="18"/>
                <w:szCs w:val="18"/>
                <w:highlight w:val="none"/>
                <w:lang w:val="en-US" w:eastAsia="zh-CN"/>
              </w:rPr>
              <w:t>11</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rPr>
              <w:t>10030</w:t>
            </w:r>
            <w:r>
              <w:rPr>
                <w:rFonts w:hint="eastAsia" w:ascii="宋体" w:hAnsi="宋体"/>
                <w:color w:val="auto"/>
                <w:szCs w:val="21"/>
                <w:highlight w:val="none"/>
                <w:lang w:val="en-US" w:eastAsia="zh-CN"/>
              </w:rPr>
              <w:t>69</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color w:val="auto"/>
                <w:highlight w:val="none"/>
              </w:rPr>
              <w:t xml:space="preserve">化工制图与CAD </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auto"/>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22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42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楷体_GB2312" w:hAnsi="宋体" w:eastAsia="楷体_GB2312"/>
                <w:color w:val="auto"/>
                <w:sz w:val="18"/>
                <w:szCs w:val="18"/>
                <w:highlight w:val="none"/>
                <w:lang w:eastAsia="zh-CN"/>
              </w:rPr>
            </w:pPr>
            <w:r>
              <w:rPr>
                <w:rFonts w:hint="eastAsia" w:ascii="楷体_GB2312" w:hAnsi="宋体" w:eastAsia="楷体_GB2312"/>
                <w:color w:val="auto"/>
                <w:sz w:val="18"/>
                <w:szCs w:val="18"/>
                <w:highlight w:val="none"/>
              </w:rPr>
              <w:t>1</w:t>
            </w:r>
            <w:r>
              <w:rPr>
                <w:rFonts w:hint="eastAsia" w:ascii="楷体_GB2312" w:hAnsi="宋体" w:eastAsia="楷体_GB2312"/>
                <w:color w:val="auto"/>
                <w:sz w:val="18"/>
                <w:szCs w:val="18"/>
                <w:highlight w:val="none"/>
                <w:lang w:val="en-US" w:eastAsia="zh-CN"/>
              </w:rPr>
              <w:t>2</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lang w:val="en-US" w:eastAsia="zh-CN"/>
              </w:rPr>
              <w:t>1003056</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420" w:firstLineChars="200"/>
              <w:rPr>
                <w:rFonts w:hint="default" w:ascii="宋体" w:hAnsi="宋体" w:eastAsiaTheme="minorEastAsia"/>
                <w:color w:val="auto"/>
                <w:szCs w:val="21"/>
                <w:highlight w:val="none"/>
                <w:lang w:val="en-US" w:eastAsia="zh-CN"/>
              </w:rPr>
            </w:pPr>
            <w:r>
              <w:rPr>
                <w:rFonts w:hint="eastAsia"/>
                <w:color w:val="auto"/>
                <w:highlight w:val="none"/>
                <w:lang w:val="en-US" w:eastAsia="zh-CN"/>
              </w:rPr>
              <w:t xml:space="preserve">煤化学 </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22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42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楷体_GB2312" w:hAnsi="宋体" w:eastAsia="楷体_GB2312"/>
                <w:color w:val="auto"/>
                <w:sz w:val="18"/>
                <w:szCs w:val="18"/>
                <w:highlight w:val="none"/>
                <w:lang w:val="en-US" w:eastAsia="zh-CN"/>
              </w:rPr>
            </w:pPr>
            <w:r>
              <w:rPr>
                <w:rFonts w:hint="eastAsia" w:ascii="楷体_GB2312" w:hAnsi="宋体" w:eastAsia="楷体_GB2312"/>
                <w:color w:val="auto"/>
                <w:sz w:val="18"/>
                <w:szCs w:val="18"/>
                <w:highlight w:val="none"/>
                <w:lang w:val="en-US" w:eastAsia="zh-CN"/>
              </w:rPr>
              <w:t>13</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color w:val="auto"/>
                <w:szCs w:val="21"/>
                <w:highlight w:val="none"/>
              </w:rPr>
            </w:pPr>
            <w:r>
              <w:rPr>
                <w:rFonts w:hint="eastAsia" w:ascii="宋体" w:hAnsi="宋体"/>
                <w:color w:val="auto"/>
                <w:szCs w:val="21"/>
                <w:highlight w:val="none"/>
              </w:rPr>
              <w:t>10030</w:t>
            </w:r>
            <w:r>
              <w:rPr>
                <w:rFonts w:hint="eastAsia" w:ascii="宋体" w:hAnsi="宋体"/>
                <w:color w:val="auto"/>
                <w:szCs w:val="21"/>
                <w:highlight w:val="none"/>
                <w:lang w:val="en-US" w:eastAsia="zh-CN"/>
              </w:rPr>
              <w:t>58</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color w:val="auto"/>
                <w:szCs w:val="21"/>
                <w:highlight w:val="none"/>
              </w:rPr>
            </w:pPr>
            <w:r>
              <w:rPr>
                <w:rFonts w:hAnsi="宋体"/>
                <w:color w:val="auto"/>
                <w:szCs w:val="21"/>
                <w:highlight w:val="none"/>
              </w:rPr>
              <w:t>化工环境保护概论</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color w:val="auto"/>
                <w:kern w:val="0"/>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18"/>
                <w:highlight w:val="none"/>
              </w:rPr>
            </w:pPr>
            <w:r>
              <w:rPr>
                <w:rFonts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10</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22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考查</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right w:val="single" w:color="auto" w:sz="4" w:space="0"/>
            </w:tcBorders>
            <w:noWrap/>
            <w:vAlign w:val="center"/>
          </w:tcPr>
          <w:p>
            <w:pPr>
              <w:widowControl/>
              <w:spacing w:line="240" w:lineRule="atLeast"/>
              <w:jc w:val="center"/>
              <w:rPr>
                <w:rFonts w:hint="default" w:ascii="楷体_GB2312" w:hAnsi="宋体" w:eastAsia="楷体_GB2312"/>
                <w:color w:val="auto"/>
                <w:sz w:val="18"/>
                <w:szCs w:val="18"/>
                <w:highlight w:val="none"/>
                <w:lang w:val="en-US" w:eastAsia="zh-CN"/>
              </w:rPr>
            </w:pPr>
            <w:r>
              <w:rPr>
                <w:rFonts w:hint="eastAsia" w:ascii="楷体_GB2312" w:hAnsi="宋体" w:eastAsia="楷体_GB2312"/>
                <w:color w:val="auto"/>
                <w:sz w:val="18"/>
                <w:szCs w:val="18"/>
                <w:highlight w:val="none"/>
                <w:lang w:val="en-US" w:eastAsia="zh-CN"/>
              </w:rPr>
              <w:t>14</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rPr>
              <w:t>1003055</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color w:val="auto"/>
                <w:szCs w:val="21"/>
                <w:highlight w:val="none"/>
              </w:rPr>
              <w:t>无机化工生产技术</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auto"/>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24</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48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right w:val="single" w:color="auto" w:sz="4" w:space="0"/>
            </w:tcBorders>
            <w:noWrap/>
            <w:vAlign w:val="center"/>
          </w:tcPr>
          <w:p>
            <w:pPr>
              <w:widowControl/>
              <w:spacing w:line="240" w:lineRule="atLeast"/>
              <w:jc w:val="center"/>
              <w:rPr>
                <w:rFonts w:hint="default" w:ascii="楷体_GB2312" w:hAnsi="宋体" w:eastAsia="楷体_GB2312"/>
                <w:color w:val="auto"/>
                <w:sz w:val="18"/>
                <w:szCs w:val="18"/>
                <w:highlight w:val="none"/>
                <w:lang w:val="en-US" w:eastAsia="zh-CN"/>
              </w:rPr>
            </w:pPr>
            <w:r>
              <w:rPr>
                <w:rFonts w:hint="eastAsia" w:ascii="楷体_GB2312" w:hAnsi="宋体" w:eastAsia="楷体_GB2312"/>
                <w:color w:val="auto"/>
                <w:sz w:val="18"/>
                <w:szCs w:val="18"/>
                <w:highlight w:val="none"/>
                <w:lang w:val="en-US" w:eastAsia="zh-CN"/>
              </w:rPr>
              <w:t>15</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color w:val="auto"/>
                <w:szCs w:val="21"/>
                <w:highlight w:val="none"/>
              </w:rPr>
            </w:pPr>
            <w:r>
              <w:rPr>
                <w:rFonts w:hint="eastAsia" w:asciiTheme="majorEastAsia" w:hAnsiTheme="majorEastAsia" w:eastAsiaTheme="majorEastAsia" w:cstheme="majorEastAsia"/>
                <w:color w:val="auto"/>
                <w:szCs w:val="21"/>
                <w:highlight w:val="none"/>
                <w:lang w:val="en-US" w:eastAsia="zh-CN"/>
              </w:rPr>
              <w:t>1003071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color w:val="auto"/>
                <w:highlight w:val="none"/>
              </w:rPr>
              <w:t>煤质分析</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auto"/>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24</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48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right w:val="single" w:color="auto" w:sz="4" w:space="0"/>
            </w:tcBorders>
            <w:noWrap/>
            <w:vAlign w:val="center"/>
          </w:tcPr>
          <w:p>
            <w:pPr>
              <w:widowControl/>
              <w:spacing w:line="240" w:lineRule="atLeast"/>
              <w:jc w:val="center"/>
              <w:rPr>
                <w:rFonts w:hint="default" w:ascii="楷体_GB2312" w:hAnsi="宋体" w:eastAsia="楷体_GB2312"/>
                <w:color w:val="auto"/>
                <w:sz w:val="18"/>
                <w:szCs w:val="18"/>
                <w:highlight w:val="none"/>
                <w:lang w:val="en-US" w:eastAsia="zh-CN"/>
              </w:rPr>
            </w:pPr>
            <w:r>
              <w:rPr>
                <w:rFonts w:hint="eastAsia" w:ascii="楷体_GB2312" w:hAnsi="宋体" w:eastAsia="楷体_GB2312"/>
                <w:color w:val="auto"/>
                <w:sz w:val="18"/>
                <w:szCs w:val="18"/>
                <w:highlight w:val="none"/>
                <w:lang w:val="en-US" w:eastAsia="zh-CN"/>
              </w:rPr>
              <w:t>16</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default"/>
                <w:color w:val="auto"/>
                <w:szCs w:val="21"/>
                <w:highlight w:val="none"/>
                <w:lang w:val="en-US"/>
              </w:rPr>
            </w:pPr>
            <w:r>
              <w:rPr>
                <w:rFonts w:hint="eastAsia" w:asciiTheme="majorEastAsia" w:hAnsiTheme="majorEastAsia" w:eastAsiaTheme="majorEastAsia" w:cstheme="majorEastAsia"/>
                <w:color w:val="auto"/>
                <w:szCs w:val="21"/>
                <w:highlight w:val="none"/>
                <w:lang w:val="en-US" w:eastAsia="zh-CN"/>
              </w:rPr>
              <w:t>1003075</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color w:val="auto"/>
                <w:highlight w:val="none"/>
              </w:rPr>
              <w:t>煤气化工艺</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24</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48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right w:val="single" w:color="auto" w:sz="4" w:space="0"/>
            </w:tcBorders>
            <w:noWrap/>
            <w:vAlign w:val="center"/>
          </w:tcPr>
          <w:p>
            <w:pPr>
              <w:widowControl/>
              <w:spacing w:line="240" w:lineRule="atLeast"/>
              <w:jc w:val="center"/>
              <w:rPr>
                <w:rFonts w:hint="default" w:ascii="楷体_GB2312" w:hAnsi="宋体" w:eastAsia="楷体_GB2312"/>
                <w:color w:val="auto"/>
                <w:sz w:val="18"/>
                <w:szCs w:val="18"/>
                <w:highlight w:val="none"/>
                <w:lang w:val="en-US" w:eastAsia="zh-CN"/>
              </w:rPr>
            </w:pPr>
            <w:r>
              <w:rPr>
                <w:rFonts w:hint="eastAsia" w:ascii="楷体_GB2312" w:hAnsi="宋体" w:eastAsia="楷体_GB2312"/>
                <w:color w:val="auto"/>
                <w:sz w:val="18"/>
                <w:szCs w:val="18"/>
                <w:highlight w:val="none"/>
                <w:lang w:val="en-US" w:eastAsia="zh-CN"/>
              </w:rPr>
              <w:t>17</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color w:val="auto"/>
                <w:szCs w:val="21"/>
                <w:highlight w:val="none"/>
              </w:rPr>
            </w:pPr>
            <w:r>
              <w:rPr>
                <w:rFonts w:hint="eastAsia" w:ascii="宋体" w:hAnsi="宋体"/>
                <w:color w:val="auto"/>
                <w:szCs w:val="21"/>
                <w:highlight w:val="none"/>
              </w:rPr>
              <w:t>1003048</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rPr>
                <w:rFonts w:ascii="宋体" w:hAnsi="宋体"/>
                <w:color w:val="auto"/>
                <w:szCs w:val="21"/>
                <w:highlight w:val="none"/>
              </w:rPr>
            </w:pPr>
            <w:r>
              <w:rPr>
                <w:rFonts w:hint="eastAsia"/>
                <w:color w:val="auto"/>
                <w:highlight w:val="none"/>
              </w:rPr>
              <w:t>化工文献检索与处理</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12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24</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left w:val="single" w:color="auto" w:sz="4" w:space="0"/>
              <w:right w:val="single" w:color="auto" w:sz="4" w:space="0"/>
            </w:tcBorders>
            <w:noWrap/>
            <w:vAlign w:val="center"/>
          </w:tcPr>
          <w:p>
            <w:pPr>
              <w:widowControl/>
              <w:spacing w:line="240" w:lineRule="atLeast"/>
              <w:jc w:val="center"/>
              <w:rPr>
                <w:rFonts w:hint="eastAsia" w:ascii="楷体_GB2312" w:hAnsi="宋体" w:eastAsia="楷体_GB2312"/>
                <w:color w:val="auto"/>
                <w:sz w:val="18"/>
                <w:szCs w:val="18"/>
                <w:highlight w:val="none"/>
                <w:lang w:eastAsia="zh-CN"/>
              </w:rPr>
            </w:pPr>
            <w:r>
              <w:rPr>
                <w:rFonts w:ascii="楷体_GB2312" w:hAnsi="宋体" w:eastAsia="楷体_GB2312"/>
                <w:color w:val="auto"/>
                <w:sz w:val="18"/>
                <w:szCs w:val="18"/>
                <w:highlight w:val="none"/>
              </w:rPr>
              <w:t>1</w:t>
            </w:r>
            <w:r>
              <w:rPr>
                <w:rFonts w:hint="eastAsia" w:ascii="楷体_GB2312" w:hAnsi="宋体" w:eastAsia="楷体_GB2312"/>
                <w:color w:val="auto"/>
                <w:sz w:val="18"/>
                <w:szCs w:val="18"/>
                <w:highlight w:val="none"/>
                <w:lang w:val="en-US" w:eastAsia="zh-CN"/>
              </w:rPr>
              <w:t>8</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color w:val="auto"/>
                <w:szCs w:val="21"/>
                <w:highlight w:val="none"/>
              </w:rPr>
            </w:pPr>
            <w:r>
              <w:rPr>
                <w:rFonts w:hint="eastAsia" w:ascii="宋体" w:hAnsi="宋体"/>
                <w:color w:val="auto"/>
                <w:szCs w:val="21"/>
                <w:highlight w:val="none"/>
              </w:rPr>
              <w:t>10030</w:t>
            </w:r>
            <w:r>
              <w:rPr>
                <w:rFonts w:hint="eastAsia" w:ascii="宋体" w:hAnsi="宋体"/>
                <w:color w:val="auto"/>
                <w:szCs w:val="21"/>
                <w:highlight w:val="none"/>
                <w:lang w:val="en-US" w:eastAsia="zh-CN"/>
              </w:rPr>
              <w:t>72</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rPr>
                <w:rFonts w:ascii="宋体" w:hAnsi="宋体"/>
                <w:color w:val="auto"/>
                <w:szCs w:val="21"/>
                <w:highlight w:val="none"/>
              </w:rPr>
            </w:pPr>
            <w:r>
              <w:rPr>
                <w:rFonts w:hint="eastAsia"/>
                <w:color w:val="auto"/>
                <w:highlight w:val="none"/>
              </w:rPr>
              <w:t>现代煤化工技术</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auto"/>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24</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48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left w:val="single" w:color="auto" w:sz="4" w:space="0"/>
              <w:right w:val="single" w:color="auto" w:sz="4" w:space="0"/>
            </w:tcBorders>
            <w:noWrap/>
            <w:vAlign w:val="center"/>
          </w:tcPr>
          <w:p>
            <w:pPr>
              <w:widowControl/>
              <w:spacing w:line="240" w:lineRule="atLeast"/>
              <w:jc w:val="center"/>
              <w:rPr>
                <w:rFonts w:ascii="楷体_GB2312" w:hAnsi="宋体" w:eastAsia="楷体_GB2312"/>
                <w:color w:val="auto"/>
                <w:sz w:val="18"/>
                <w:szCs w:val="18"/>
                <w:highlight w:val="none"/>
              </w:rPr>
            </w:pP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color w:val="auto"/>
                <w:szCs w:val="21"/>
                <w:highlight w:val="none"/>
              </w:rPr>
            </w:pP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18"/>
                <w:highlight w:val="none"/>
              </w:rPr>
            </w:pP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524" w:type="dxa"/>
            <w:gridSpan w:val="7"/>
            <w:tcBorders>
              <w:left w:val="single" w:color="auto" w:sz="4" w:space="0"/>
              <w:right w:val="single" w:color="auto" w:sz="4" w:space="0"/>
            </w:tcBorders>
            <w:noWrap/>
            <w:vAlign w:val="center"/>
          </w:tcPr>
          <w:p>
            <w:pPr>
              <w:spacing w:line="240" w:lineRule="atLeast"/>
              <w:jc w:val="center"/>
              <w:rPr>
                <w:rFonts w:ascii="宋体" w:hAnsi="宋体"/>
                <w:color w:val="auto"/>
                <w:szCs w:val="18"/>
                <w:highlight w:val="none"/>
              </w:rPr>
            </w:pPr>
            <w:r>
              <w:rPr>
                <w:rFonts w:hint="eastAsia" w:ascii="宋体" w:hAnsi="宋体" w:cs="宋体"/>
                <w:color w:val="auto"/>
                <w:kern w:val="0"/>
                <w:szCs w:val="18"/>
                <w:highlight w:val="none"/>
              </w:rPr>
              <w:t>小计</w:t>
            </w:r>
          </w:p>
        </w:tc>
        <w:tc>
          <w:tcPr>
            <w:tcW w:w="550" w:type="dxa"/>
            <w:tcBorders>
              <w:top w:val="single" w:color="auto" w:sz="4" w:space="0"/>
              <w:left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ascii="宋体" w:hAnsi="宋体"/>
                <w:color w:val="auto"/>
                <w:szCs w:val="21"/>
                <w:highlight w:val="none"/>
              </w:rPr>
              <w:t>64</w:t>
            </w:r>
          </w:p>
        </w:tc>
        <w:tc>
          <w:tcPr>
            <w:tcW w:w="700" w:type="dxa"/>
            <w:tcBorders>
              <w:top w:val="single" w:color="auto" w:sz="4" w:space="0"/>
              <w:left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ascii="宋体" w:hAnsi="宋体"/>
                <w:color w:val="auto"/>
                <w:szCs w:val="21"/>
                <w:highlight w:val="none"/>
              </w:rPr>
              <w:t>108</w:t>
            </w:r>
            <w:r>
              <w:rPr>
                <w:rFonts w:hint="eastAsia" w:ascii="宋体" w:hAnsi="宋体"/>
                <w:color w:val="auto"/>
                <w:szCs w:val="21"/>
                <w:highlight w:val="none"/>
              </w:rPr>
              <w:t>8</w:t>
            </w:r>
          </w:p>
        </w:tc>
        <w:tc>
          <w:tcPr>
            <w:tcW w:w="576" w:type="dxa"/>
            <w:tcBorders>
              <w:top w:val="single" w:color="auto" w:sz="4" w:space="0"/>
              <w:left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rPr>
              <w:t>70</w:t>
            </w:r>
          </w:p>
        </w:tc>
        <w:tc>
          <w:tcPr>
            <w:tcW w:w="584" w:type="dxa"/>
            <w:tcBorders>
              <w:top w:val="single" w:color="auto" w:sz="4" w:space="0"/>
              <w:left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ascii="宋体" w:hAnsi="宋体"/>
                <w:color w:val="auto"/>
                <w:szCs w:val="21"/>
                <w:highlight w:val="none"/>
              </w:rPr>
              <w:t>71</w:t>
            </w:r>
            <w:r>
              <w:rPr>
                <w:rFonts w:hint="eastAsia" w:ascii="宋体" w:hAnsi="宋体"/>
                <w:color w:val="auto"/>
                <w:szCs w:val="21"/>
                <w:highlight w:val="none"/>
              </w:rPr>
              <w:t>8</w:t>
            </w:r>
          </w:p>
        </w:tc>
        <w:tc>
          <w:tcPr>
            <w:tcW w:w="800" w:type="dxa"/>
            <w:tcBorders>
              <w:top w:val="single" w:color="auto" w:sz="4" w:space="0"/>
              <w:left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10</w:t>
            </w:r>
          </w:p>
        </w:tc>
        <w:tc>
          <w:tcPr>
            <w:tcW w:w="567" w:type="dxa"/>
            <w:tcBorders>
              <w:top w:val="single" w:color="auto" w:sz="4" w:space="0"/>
              <w:left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12</w:t>
            </w:r>
          </w:p>
        </w:tc>
        <w:tc>
          <w:tcPr>
            <w:tcW w:w="600" w:type="dxa"/>
            <w:tcBorders>
              <w:top w:val="single" w:color="auto" w:sz="4" w:space="0"/>
              <w:left w:val="single" w:color="auto" w:sz="4" w:space="0"/>
              <w:right w:val="single" w:color="auto" w:sz="4" w:space="0"/>
            </w:tcBorders>
            <w:noWrap/>
            <w:vAlign w:val="center"/>
          </w:tcPr>
          <w:p>
            <w:pPr>
              <w:widowControl/>
              <w:spacing w:line="360" w:lineRule="auto"/>
              <w:jc w:val="both"/>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22</w:t>
            </w:r>
          </w:p>
        </w:tc>
        <w:tc>
          <w:tcPr>
            <w:tcW w:w="583" w:type="dxa"/>
            <w:tcBorders>
              <w:top w:val="single" w:color="auto" w:sz="4" w:space="0"/>
              <w:left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20</w:t>
            </w:r>
          </w:p>
        </w:tc>
        <w:tc>
          <w:tcPr>
            <w:tcW w:w="533" w:type="dxa"/>
            <w:tcBorders>
              <w:top w:val="single" w:color="auto" w:sz="4" w:space="0"/>
              <w:left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650" w:type="dxa"/>
            <w:tcBorders>
              <w:top w:val="single" w:color="auto" w:sz="4" w:space="0"/>
              <w:left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12" w:type="dxa"/>
            <w:tcBorders>
              <w:top w:val="single" w:color="auto" w:sz="4" w:space="0"/>
              <w:left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34" w:type="dxa"/>
            <w:tcBorders>
              <w:top w:val="single" w:color="auto" w:sz="4" w:space="0"/>
              <w:left w:val="single" w:color="auto" w:sz="4" w:space="0"/>
              <w:right w:val="single" w:color="auto" w:sz="4" w:space="0"/>
            </w:tcBorders>
            <w:noWrap/>
            <w:vAlign w:val="center"/>
          </w:tcPr>
          <w:p>
            <w:pPr>
              <w:widowControl/>
              <w:spacing w:line="240" w:lineRule="atLeas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549" w:type="dxa"/>
            <w:vMerge w:val="restart"/>
            <w:tcBorders>
              <w:top w:val="single" w:color="auto" w:sz="4" w:space="0"/>
              <w:left w:val="single" w:color="auto" w:sz="4" w:space="0"/>
              <w:bottom w:val="single" w:color="auto" w:sz="4" w:space="0"/>
              <w:right w:val="single" w:color="auto" w:sz="4" w:space="0"/>
            </w:tcBorders>
            <w:noWrap/>
            <w:vAlign w:val="center"/>
          </w:tcPr>
          <w:p>
            <w:pPr>
              <w:spacing w:line="360" w:lineRule="exact"/>
              <w:jc w:val="center"/>
              <w:rPr>
                <w:rFonts w:ascii="黑体" w:hAnsi="宋体" w:eastAsia="黑体" w:cs="宋体"/>
                <w:color w:val="auto"/>
                <w:kern w:val="0"/>
                <w:szCs w:val="21"/>
                <w:highlight w:val="none"/>
              </w:rPr>
            </w:pPr>
            <w:r>
              <w:rPr>
                <w:rFonts w:hint="eastAsia" w:ascii="宋体" w:hAnsi="宋体"/>
                <w:b/>
                <w:color w:val="auto"/>
                <w:szCs w:val="18"/>
                <w:highlight w:val="none"/>
              </w:rPr>
              <w:t>专业限选课程</w:t>
            </w: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1</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eastAsia" w:asciiTheme="majorEastAsia" w:hAnsiTheme="majorEastAsia" w:eastAsiaTheme="majorEastAsia" w:cstheme="majorEastAsia"/>
                <w:color w:val="auto"/>
                <w:szCs w:val="21"/>
                <w:highlight w:val="none"/>
                <w:lang w:val="en-US" w:eastAsia="zh-CN"/>
              </w:rPr>
            </w:pPr>
            <w:r>
              <w:rPr>
                <w:rFonts w:hint="eastAsia" w:asciiTheme="majorEastAsia" w:hAnsiTheme="majorEastAsia" w:eastAsiaTheme="majorEastAsia" w:cstheme="majorEastAsia"/>
                <w:color w:val="auto"/>
                <w:szCs w:val="21"/>
                <w:highlight w:val="none"/>
                <w:lang w:val="en-US" w:eastAsia="zh-CN"/>
              </w:rPr>
              <w:t>ZC01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auto"/>
                <w:szCs w:val="21"/>
                <w:highlight w:val="none"/>
              </w:rPr>
            </w:pPr>
            <w:r>
              <w:rPr>
                <w:rFonts w:hint="eastAsia" w:ascii="宋体" w:hAnsi="宋体" w:cs="宋体"/>
                <w:color w:val="auto"/>
                <w:kern w:val="0"/>
                <w:szCs w:val="18"/>
                <w:highlight w:val="none"/>
              </w:rPr>
              <w:t>艺术哲学：美是如何诞生的</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rPr>
                <w:rFonts w:ascii="宋体" w:hAnsi="宋体"/>
                <w:color w:val="auto"/>
                <w:szCs w:val="21"/>
                <w:highlight w:val="none"/>
              </w:rPr>
            </w:pPr>
            <w:r>
              <w:rPr>
                <w:rFonts w:hint="eastAsia" w:ascii="宋体"/>
                <w:color w:val="auto"/>
                <w:szCs w:val="18"/>
                <w:highlight w:val="none"/>
              </w:rPr>
              <w:t>选修</w:t>
            </w:r>
          </w:p>
        </w:tc>
        <w:tc>
          <w:tcPr>
            <w:tcW w:w="402" w:type="dxa"/>
            <w:tcBorders>
              <w:top w:val="single" w:color="auto" w:sz="4" w:space="0"/>
              <w:left w:val="single" w:color="auto" w:sz="4" w:space="0"/>
              <w:bottom w:val="single" w:color="auto" w:sz="4" w:space="0"/>
              <w:right w:val="single" w:color="auto" w:sz="4" w:space="0"/>
            </w:tcBorders>
            <w:noWrap/>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A</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网络授课</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cs="宋体" w:eastAsiaTheme="minorEastAsia"/>
                <w:color w:val="auto"/>
                <w:kern w:val="0"/>
                <w:szCs w:val="21"/>
                <w:highlight w:val="none"/>
                <w:lang w:val="en-US" w:eastAsia="zh-CN"/>
              </w:rPr>
            </w:pPr>
            <w:r>
              <w:rPr>
                <w:rFonts w:hint="eastAsia" w:ascii="宋体" w:hAnsi="宋体" w:cs="宋体"/>
                <w:color w:val="auto"/>
                <w:kern w:val="0"/>
                <w:szCs w:val="21"/>
                <w:highlight w:val="none"/>
                <w:lang w:val="en-US" w:eastAsia="zh-CN"/>
              </w:rPr>
              <w:t>4</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both"/>
              <w:rPr>
                <w:rFonts w:hint="default" w:ascii="宋体" w:hAnsi="宋体" w:eastAsiaTheme="minorEastAsia"/>
                <w:color w:val="auto"/>
                <w:szCs w:val="21"/>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在线考试</w:t>
            </w:r>
          </w:p>
        </w:tc>
        <w:tc>
          <w:tcPr>
            <w:tcW w:w="734" w:type="dxa"/>
            <w:vMerge w:val="restart"/>
            <w:tcBorders>
              <w:top w:val="single" w:color="auto" w:sz="4" w:space="0"/>
              <w:left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18"/>
                <w:highlight w:val="none"/>
              </w:rPr>
              <w:t>任选5门课程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2</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szCs w:val="21"/>
                <w:highlight w:val="none"/>
                <w:lang w:val="en-US" w:eastAsia="zh-CN"/>
              </w:rPr>
            </w:pPr>
            <w:r>
              <w:rPr>
                <w:rFonts w:hint="eastAsia" w:asciiTheme="majorEastAsia" w:hAnsiTheme="majorEastAsia" w:eastAsiaTheme="majorEastAsia" w:cstheme="majorEastAsia"/>
                <w:color w:val="auto"/>
                <w:szCs w:val="21"/>
                <w:highlight w:val="none"/>
                <w:lang w:val="en-US" w:eastAsia="zh-CN"/>
              </w:rPr>
              <w:t>G22</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auto"/>
                <w:szCs w:val="21"/>
                <w:highlight w:val="none"/>
              </w:rPr>
            </w:pPr>
            <w:r>
              <w:rPr>
                <w:rFonts w:hint="eastAsia" w:ascii="宋体" w:hAnsi="宋体" w:cs="宋体"/>
                <w:color w:val="auto"/>
                <w:kern w:val="0"/>
                <w:szCs w:val="18"/>
                <w:highlight w:val="none"/>
              </w:rPr>
              <w:t>习近平新时代中国特色社会主义思想与当代中国</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rPr>
                <w:rFonts w:ascii="宋体" w:hAnsi="宋体"/>
                <w:color w:val="auto"/>
                <w:szCs w:val="21"/>
                <w:highlight w:val="none"/>
              </w:rPr>
            </w:pPr>
            <w:r>
              <w:rPr>
                <w:rFonts w:hint="eastAsia" w:ascii="宋体"/>
                <w:color w:val="auto"/>
                <w:szCs w:val="18"/>
                <w:highlight w:val="none"/>
              </w:rPr>
              <w:t>选修</w:t>
            </w:r>
          </w:p>
        </w:tc>
        <w:tc>
          <w:tcPr>
            <w:tcW w:w="402" w:type="dxa"/>
            <w:tcBorders>
              <w:top w:val="single" w:color="auto" w:sz="4" w:space="0"/>
              <w:left w:val="single" w:color="auto" w:sz="4" w:space="0"/>
              <w:bottom w:val="single" w:color="auto" w:sz="4" w:space="0"/>
              <w:right w:val="single" w:color="auto" w:sz="4" w:space="0"/>
            </w:tcBorders>
            <w:noWrap/>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A</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网络授课</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both"/>
              <w:rPr>
                <w:rFonts w:hint="eastAsia" w:ascii="宋体" w:hAnsi="宋体" w:eastAsiaTheme="minorEastAsia"/>
                <w:color w:val="auto"/>
                <w:szCs w:val="21"/>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在线考试</w:t>
            </w:r>
          </w:p>
        </w:tc>
        <w:tc>
          <w:tcPr>
            <w:tcW w:w="734" w:type="dxa"/>
            <w:vMerge w:val="continue"/>
            <w:tcBorders>
              <w:left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3</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Theme="majorEastAsia" w:hAnsiTheme="majorEastAsia" w:eastAsiaTheme="majorEastAsia" w:cstheme="majorEastAsia"/>
                <w:color w:val="auto"/>
                <w:szCs w:val="21"/>
                <w:highlight w:val="none"/>
                <w:lang w:val="en-US" w:eastAsia="zh-CN"/>
              </w:rPr>
            </w:pPr>
            <w:r>
              <w:rPr>
                <w:rFonts w:hint="eastAsia" w:asciiTheme="majorEastAsia" w:hAnsiTheme="majorEastAsia" w:eastAsiaTheme="majorEastAsia" w:cstheme="majorEastAsia"/>
                <w:color w:val="auto"/>
                <w:szCs w:val="21"/>
                <w:highlight w:val="none"/>
                <w:lang w:val="en-US" w:eastAsia="zh-CN"/>
              </w:rPr>
              <w:t>ZD01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auto"/>
                <w:szCs w:val="21"/>
                <w:highlight w:val="none"/>
              </w:rPr>
            </w:pPr>
            <w:r>
              <w:rPr>
                <w:rFonts w:hint="eastAsia" w:ascii="宋体" w:hAnsi="宋体" w:cs="宋体"/>
                <w:color w:val="auto"/>
                <w:kern w:val="0"/>
                <w:szCs w:val="18"/>
                <w:highlight w:val="none"/>
              </w:rPr>
              <w:t>人工智能与信息社会</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rPr>
                <w:rFonts w:ascii="宋体" w:hAnsi="宋体"/>
                <w:color w:val="auto"/>
                <w:szCs w:val="21"/>
                <w:highlight w:val="none"/>
              </w:rPr>
            </w:pPr>
            <w:r>
              <w:rPr>
                <w:rFonts w:hint="eastAsia" w:ascii="宋体"/>
                <w:color w:val="auto"/>
                <w:szCs w:val="18"/>
                <w:highlight w:val="none"/>
              </w:rPr>
              <w:t>选修</w:t>
            </w:r>
          </w:p>
        </w:tc>
        <w:tc>
          <w:tcPr>
            <w:tcW w:w="402" w:type="dxa"/>
            <w:tcBorders>
              <w:top w:val="single" w:color="auto" w:sz="4" w:space="0"/>
              <w:left w:val="single" w:color="auto" w:sz="4" w:space="0"/>
              <w:bottom w:val="single" w:color="auto" w:sz="4" w:space="0"/>
              <w:right w:val="single" w:color="auto" w:sz="4" w:space="0"/>
            </w:tcBorders>
            <w:noWrap/>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A</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网络授课</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both"/>
              <w:rPr>
                <w:rFonts w:hint="eastAsia" w:ascii="宋体" w:hAnsi="宋体" w:eastAsiaTheme="minorEastAsia"/>
                <w:color w:val="auto"/>
                <w:szCs w:val="21"/>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在线考试</w:t>
            </w:r>
          </w:p>
        </w:tc>
        <w:tc>
          <w:tcPr>
            <w:tcW w:w="734" w:type="dxa"/>
            <w:vMerge w:val="continue"/>
            <w:tcBorders>
              <w:left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4</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Theme="majorEastAsia" w:hAnsiTheme="majorEastAsia" w:eastAsiaTheme="majorEastAsia" w:cstheme="majorEastAsia"/>
                <w:color w:val="auto"/>
                <w:szCs w:val="21"/>
                <w:highlight w:val="none"/>
                <w:lang w:val="en-US" w:eastAsia="zh-CN"/>
              </w:rPr>
            </w:pPr>
            <w:r>
              <w:rPr>
                <w:rFonts w:hint="eastAsia" w:asciiTheme="majorEastAsia" w:hAnsiTheme="majorEastAsia" w:eastAsiaTheme="majorEastAsia" w:cstheme="majorEastAsia"/>
                <w:color w:val="auto"/>
                <w:szCs w:val="21"/>
                <w:highlight w:val="none"/>
                <w:lang w:val="en-US" w:eastAsia="zh-CN"/>
              </w:rPr>
              <w:t>ZD54</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s="宋体"/>
                <w:color w:val="auto"/>
                <w:kern w:val="0"/>
                <w:szCs w:val="18"/>
                <w:highlight w:val="none"/>
              </w:rPr>
              <w:t>化学与人类</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rPr>
                <w:rFonts w:ascii="宋体" w:hAnsi="宋体"/>
                <w:color w:val="auto"/>
                <w:szCs w:val="21"/>
                <w:highlight w:val="none"/>
              </w:rPr>
            </w:pPr>
            <w:r>
              <w:rPr>
                <w:rFonts w:hint="eastAsia" w:ascii="宋体"/>
                <w:color w:val="auto"/>
                <w:szCs w:val="18"/>
                <w:highlight w:val="none"/>
              </w:rPr>
              <w:t>选修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A</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网络授课</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both"/>
              <w:rPr>
                <w:rFonts w:hint="default" w:ascii="宋体" w:hAnsi="宋体" w:eastAsiaTheme="minorEastAsia"/>
                <w:color w:val="auto"/>
                <w:szCs w:val="21"/>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在线考试</w:t>
            </w:r>
          </w:p>
        </w:tc>
        <w:tc>
          <w:tcPr>
            <w:tcW w:w="734" w:type="dxa"/>
            <w:vMerge w:val="continue"/>
            <w:tcBorders>
              <w:left w:val="single" w:color="auto" w:sz="4" w:space="0"/>
              <w:right w:val="single" w:color="auto" w:sz="4" w:space="0"/>
            </w:tcBorders>
            <w:noWrap/>
            <w:vAlign w:val="center"/>
          </w:tcPr>
          <w:p>
            <w:pPr>
              <w:widowControl/>
              <w:spacing w:line="240" w:lineRule="atLeast"/>
              <w:jc w:val="center"/>
              <w:rPr>
                <w:rFonts w:ascii="宋体" w:hAnsi="宋体"/>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5</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Theme="majorEastAsia" w:hAnsiTheme="majorEastAsia" w:eastAsiaTheme="majorEastAsia" w:cstheme="majorEastAsia"/>
                <w:color w:val="auto"/>
                <w:szCs w:val="21"/>
                <w:highlight w:val="none"/>
                <w:lang w:val="en-US" w:eastAsia="zh-CN"/>
              </w:rPr>
            </w:pPr>
            <w:r>
              <w:rPr>
                <w:rFonts w:hint="eastAsia" w:asciiTheme="majorEastAsia" w:hAnsiTheme="majorEastAsia" w:eastAsiaTheme="majorEastAsia" w:cstheme="majorEastAsia"/>
                <w:color w:val="auto"/>
                <w:szCs w:val="21"/>
                <w:highlight w:val="none"/>
                <w:lang w:val="en-US" w:eastAsia="zh-CN"/>
              </w:rPr>
              <w:t>ZD48</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s="宋体"/>
                <w:color w:val="auto"/>
                <w:kern w:val="0"/>
                <w:szCs w:val="18"/>
                <w:highlight w:val="none"/>
              </w:rPr>
              <w:t>家园的治理：环境科学概论</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rPr>
                <w:rFonts w:ascii="宋体" w:hAnsi="宋体"/>
                <w:color w:val="auto"/>
                <w:szCs w:val="21"/>
                <w:highlight w:val="none"/>
              </w:rPr>
            </w:pPr>
            <w:r>
              <w:rPr>
                <w:rFonts w:hint="eastAsia" w:ascii="宋体"/>
                <w:color w:val="auto"/>
                <w:szCs w:val="18"/>
                <w:highlight w:val="none"/>
              </w:rPr>
              <w:t>选修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A</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网络授课</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both"/>
              <w:rPr>
                <w:rFonts w:hint="eastAsia" w:ascii="宋体" w:hAnsi="宋体" w:eastAsiaTheme="minorEastAsia"/>
                <w:color w:val="auto"/>
                <w:szCs w:val="21"/>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在线考试</w:t>
            </w:r>
          </w:p>
        </w:tc>
        <w:tc>
          <w:tcPr>
            <w:tcW w:w="734" w:type="dxa"/>
            <w:vMerge w:val="continue"/>
            <w:tcBorders>
              <w:left w:val="single" w:color="auto" w:sz="4" w:space="0"/>
              <w:right w:val="single" w:color="auto" w:sz="4" w:space="0"/>
            </w:tcBorders>
            <w:noWrap/>
            <w:vAlign w:val="center"/>
          </w:tcPr>
          <w:p>
            <w:pPr>
              <w:widowControl/>
              <w:spacing w:line="240" w:lineRule="atLeast"/>
              <w:jc w:val="center"/>
              <w:rPr>
                <w:rFonts w:ascii="宋体" w:hAnsi="宋体"/>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ascii="宋体" w:hAnsi="宋体"/>
                <w:color w:val="auto"/>
                <w:szCs w:val="21"/>
                <w:highlight w:val="none"/>
              </w:rPr>
              <w:t>6</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eastAsia" w:asciiTheme="majorEastAsia" w:hAnsiTheme="majorEastAsia" w:eastAsiaTheme="majorEastAsia" w:cstheme="majorEastAsia"/>
                <w:color w:val="auto"/>
                <w:szCs w:val="21"/>
                <w:highlight w:val="none"/>
                <w:lang w:val="en-US" w:eastAsia="zh-CN"/>
              </w:rPr>
            </w:pPr>
            <w:r>
              <w:rPr>
                <w:rFonts w:hint="eastAsia" w:asciiTheme="majorEastAsia" w:hAnsiTheme="majorEastAsia" w:eastAsiaTheme="majorEastAsia" w:cstheme="majorEastAsia"/>
                <w:color w:val="auto"/>
                <w:szCs w:val="21"/>
                <w:highlight w:val="none"/>
                <w:lang w:val="en-US" w:eastAsia="zh-CN"/>
              </w:rPr>
              <w:t>TA04</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color w:val="auto"/>
                <w:szCs w:val="21"/>
                <w:highlight w:val="none"/>
              </w:rPr>
            </w:pPr>
            <w:r>
              <w:rPr>
                <w:rFonts w:hint="eastAsia" w:ascii="宋体" w:hAnsi="宋体" w:cs="宋体"/>
                <w:color w:val="auto"/>
                <w:kern w:val="0"/>
                <w:szCs w:val="18"/>
                <w:highlight w:val="none"/>
              </w:rPr>
              <w:t>情绪管理</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rPr>
                <w:rFonts w:ascii="宋体" w:hAnsi="宋体"/>
                <w:color w:val="auto"/>
                <w:szCs w:val="21"/>
                <w:highlight w:val="none"/>
              </w:rPr>
            </w:pPr>
            <w:r>
              <w:rPr>
                <w:rFonts w:hint="eastAsia" w:ascii="宋体"/>
                <w:color w:val="auto"/>
                <w:szCs w:val="18"/>
                <w:highlight w:val="none"/>
              </w:rPr>
              <w:t>选修</w:t>
            </w:r>
          </w:p>
        </w:tc>
        <w:tc>
          <w:tcPr>
            <w:tcW w:w="402" w:type="dxa"/>
            <w:tcBorders>
              <w:top w:val="single" w:color="auto" w:sz="4" w:space="0"/>
              <w:left w:val="single" w:color="auto" w:sz="4" w:space="0"/>
              <w:bottom w:val="single" w:color="auto" w:sz="4" w:space="0"/>
              <w:right w:val="single" w:color="auto" w:sz="4"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A</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网络授课</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both"/>
              <w:rPr>
                <w:rFonts w:hint="eastAsia" w:ascii="宋体" w:hAnsi="宋体" w:eastAsiaTheme="minorEastAsia"/>
                <w:color w:val="auto"/>
                <w:szCs w:val="21"/>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在线考试</w:t>
            </w:r>
          </w:p>
        </w:tc>
        <w:tc>
          <w:tcPr>
            <w:tcW w:w="734" w:type="dxa"/>
            <w:vMerge w:val="continue"/>
            <w:tcBorders>
              <w:left w:val="single" w:color="auto" w:sz="4" w:space="0"/>
              <w:right w:val="single" w:color="auto" w:sz="4" w:space="0"/>
            </w:tcBorders>
            <w:noWrap/>
            <w:vAlign w:val="center"/>
          </w:tcPr>
          <w:p>
            <w:pPr>
              <w:widowControl/>
              <w:spacing w:line="240" w:lineRule="atLeast"/>
              <w:jc w:val="center"/>
              <w:rPr>
                <w:rFonts w:ascii="宋体" w:hAnsi="宋体"/>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ascii="宋体" w:hAnsi="宋体"/>
                <w:color w:val="auto"/>
                <w:szCs w:val="21"/>
                <w:highlight w:val="none"/>
              </w:rPr>
              <w:t>7</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Theme="majorEastAsia" w:hAnsiTheme="majorEastAsia" w:eastAsiaTheme="majorEastAsia" w:cstheme="majorEastAsia"/>
                <w:color w:val="auto"/>
                <w:szCs w:val="21"/>
                <w:highlight w:val="none"/>
                <w:lang w:val="en-US" w:eastAsia="zh-CN"/>
              </w:rPr>
            </w:pPr>
            <w:r>
              <w:rPr>
                <w:rFonts w:hint="eastAsia" w:asciiTheme="majorEastAsia" w:hAnsiTheme="majorEastAsia" w:eastAsiaTheme="majorEastAsia" w:cstheme="majorEastAsia"/>
                <w:color w:val="auto"/>
                <w:szCs w:val="21"/>
                <w:highlight w:val="none"/>
                <w:lang w:val="en-US" w:eastAsia="zh-CN"/>
              </w:rPr>
              <w:t>TA03</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ascii="宋体" w:hAnsi="宋体" w:cs="宋体"/>
                <w:color w:val="auto"/>
                <w:kern w:val="0"/>
                <w:szCs w:val="18"/>
                <w:highlight w:val="none"/>
              </w:rPr>
              <w:t>突发事件及自救互救</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rPr>
                <w:rFonts w:ascii="宋体" w:hAnsi="宋体"/>
                <w:color w:val="auto"/>
                <w:szCs w:val="21"/>
                <w:highlight w:val="none"/>
              </w:rPr>
            </w:pPr>
            <w:r>
              <w:rPr>
                <w:rFonts w:hint="eastAsia" w:ascii="宋体"/>
                <w:color w:val="auto"/>
                <w:szCs w:val="18"/>
                <w:highlight w:val="none"/>
              </w:rPr>
              <w:t>选修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A</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网络授课</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both"/>
              <w:rPr>
                <w:rFonts w:hint="eastAsia" w:ascii="宋体" w:hAnsi="宋体" w:eastAsiaTheme="minorEastAsia"/>
                <w:color w:val="auto"/>
                <w:szCs w:val="21"/>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cs="宋体" w:eastAsiaTheme="minorEastAsia"/>
                <w:color w:val="auto"/>
                <w:kern w:val="0"/>
                <w:szCs w:val="21"/>
                <w:highlight w:val="none"/>
                <w:lang w:val="en-US" w:eastAsia="zh-CN"/>
              </w:rPr>
            </w:pPr>
            <w:r>
              <w:rPr>
                <w:rFonts w:hint="eastAsia" w:ascii="宋体" w:hAnsi="宋体" w:cs="宋体"/>
                <w:color w:val="auto"/>
                <w:kern w:val="0"/>
                <w:szCs w:val="21"/>
                <w:highlight w:val="none"/>
                <w:lang w:val="en-US" w:eastAsia="zh-CN"/>
              </w:rPr>
              <w:t>在线考试</w:t>
            </w:r>
          </w:p>
        </w:tc>
        <w:tc>
          <w:tcPr>
            <w:tcW w:w="734" w:type="dxa"/>
            <w:vMerge w:val="continue"/>
            <w:tcBorders>
              <w:left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ascii="宋体" w:hAnsi="宋体"/>
                <w:color w:val="auto"/>
                <w:szCs w:val="21"/>
                <w:highlight w:val="none"/>
              </w:rPr>
              <w:t>8</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Theme="majorEastAsia" w:hAnsiTheme="majorEastAsia" w:eastAsiaTheme="majorEastAsia" w:cstheme="majorEastAsia"/>
                <w:color w:val="auto"/>
                <w:szCs w:val="21"/>
                <w:highlight w:val="none"/>
                <w:lang w:val="en-US" w:eastAsia="zh-CN"/>
              </w:rPr>
            </w:pPr>
            <w:r>
              <w:rPr>
                <w:rFonts w:hint="eastAsia" w:asciiTheme="majorEastAsia" w:hAnsiTheme="majorEastAsia" w:eastAsiaTheme="majorEastAsia" w:cstheme="majorEastAsia"/>
                <w:color w:val="auto"/>
                <w:szCs w:val="21"/>
                <w:highlight w:val="none"/>
                <w:lang w:val="en-US" w:eastAsia="zh-CN"/>
              </w:rPr>
              <w:t>C07</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Theme="minorEastAsia"/>
                <w:color w:val="auto"/>
                <w:szCs w:val="21"/>
                <w:highlight w:val="none"/>
                <w:lang w:val="en-US" w:eastAsia="zh-CN"/>
              </w:rPr>
            </w:pPr>
            <w:r>
              <w:rPr>
                <w:rFonts w:hint="eastAsia" w:ascii="宋体" w:hAnsi="宋体" w:cs="宋体"/>
                <w:color w:val="auto"/>
                <w:kern w:val="0"/>
                <w:szCs w:val="18"/>
                <w:highlight w:val="none"/>
              </w:rPr>
              <w:t>大学生恋爱与性</w:t>
            </w:r>
            <w:r>
              <w:rPr>
                <w:rFonts w:hint="eastAsia" w:ascii="宋体" w:hAnsi="宋体" w:cs="宋体"/>
                <w:color w:val="auto"/>
                <w:kern w:val="0"/>
                <w:szCs w:val="18"/>
                <w:highlight w:val="none"/>
                <w:lang w:val="en-US" w:eastAsia="zh-CN"/>
              </w:rPr>
              <w:t>健康</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rPr>
                <w:rFonts w:ascii="宋体" w:hAnsi="宋体"/>
                <w:color w:val="auto"/>
                <w:szCs w:val="21"/>
                <w:highlight w:val="none"/>
              </w:rPr>
            </w:pPr>
            <w:r>
              <w:rPr>
                <w:rFonts w:hint="eastAsia" w:ascii="宋体"/>
                <w:color w:val="auto"/>
                <w:szCs w:val="18"/>
                <w:highlight w:val="none"/>
              </w:rPr>
              <w:t>选修</w:t>
            </w:r>
          </w:p>
        </w:tc>
        <w:tc>
          <w:tcPr>
            <w:tcW w:w="402" w:type="dxa"/>
            <w:tcBorders>
              <w:top w:val="single" w:color="auto" w:sz="4" w:space="0"/>
              <w:left w:val="single" w:color="auto" w:sz="4" w:space="0"/>
              <w:bottom w:val="single" w:color="auto" w:sz="4" w:space="0"/>
              <w:right w:val="single" w:color="auto" w:sz="4"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A</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网络授课</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both"/>
              <w:rPr>
                <w:rFonts w:hint="eastAsia" w:ascii="宋体" w:hAnsi="宋体" w:eastAsiaTheme="minorEastAsia"/>
                <w:color w:val="auto"/>
                <w:szCs w:val="21"/>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在线考试</w:t>
            </w:r>
          </w:p>
        </w:tc>
        <w:tc>
          <w:tcPr>
            <w:tcW w:w="734" w:type="dxa"/>
            <w:vMerge w:val="continue"/>
            <w:tcBorders>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524" w:type="dxa"/>
            <w:gridSpan w:val="7"/>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s="宋体"/>
                <w:color w:val="auto"/>
                <w:kern w:val="0"/>
                <w:szCs w:val="18"/>
                <w:highlight w:val="none"/>
              </w:rPr>
              <w:t>小计</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ascii="宋体" w:hAnsi="宋体"/>
                <w:color w:val="auto"/>
                <w:szCs w:val="21"/>
                <w:highlight w:val="none"/>
              </w:rPr>
              <w:t>20</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ascii="宋体" w:hAnsi="宋体"/>
                <w:color w:val="auto"/>
                <w:szCs w:val="21"/>
                <w:highlight w:val="none"/>
              </w:rPr>
              <w:t>360</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360</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20</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restart"/>
            <w:tcBorders>
              <w:top w:val="single" w:color="auto" w:sz="4" w:space="0"/>
              <w:left w:val="single" w:color="auto" w:sz="4" w:space="0"/>
              <w:bottom w:val="single" w:color="auto" w:sz="4" w:space="0"/>
              <w:right w:val="single" w:color="auto" w:sz="4" w:space="0"/>
            </w:tcBorders>
            <w:noWrap/>
            <w:vAlign w:val="center"/>
          </w:tcPr>
          <w:p>
            <w:pPr>
              <w:spacing w:line="360" w:lineRule="exact"/>
              <w:jc w:val="center"/>
              <w:rPr>
                <w:rFonts w:ascii="黑体" w:hAnsi="宋体" w:eastAsia="黑体" w:cs="宋体"/>
                <w:color w:val="auto"/>
                <w:kern w:val="0"/>
                <w:szCs w:val="21"/>
                <w:highlight w:val="none"/>
              </w:rPr>
            </w:pPr>
            <w:r>
              <w:rPr>
                <w:rFonts w:hint="eastAsia" w:ascii="黑体" w:hAnsi="宋体" w:eastAsia="黑体" w:cs="宋体"/>
                <w:color w:val="auto"/>
                <w:kern w:val="0"/>
                <w:szCs w:val="21"/>
                <w:highlight w:val="none"/>
              </w:rPr>
              <w:t>实习实训</w:t>
            </w: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1</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0804001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r>
              <w:rPr>
                <w:rFonts w:hint="eastAsia" w:ascii="宋体" w:hAnsi="宋体" w:cs="宋体"/>
                <w:color w:val="auto"/>
                <w:kern w:val="0"/>
                <w:szCs w:val="18"/>
                <w:highlight w:val="none"/>
              </w:rPr>
              <w:t>入学教育</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18"/>
                <w:highlight w:val="none"/>
              </w:rPr>
              <w:t>C</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1</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18</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18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18</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考查</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r>
              <w:rPr>
                <w:rFonts w:hint="eastAsia" w:ascii="宋体" w:hAnsi="宋体"/>
                <w:color w:val="auto"/>
                <w:szCs w:val="18"/>
                <w:highlight w:val="none"/>
              </w:rPr>
              <w:t>新生入学第1周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2</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0804002</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r>
              <w:rPr>
                <w:rFonts w:hint="eastAsia" w:ascii="宋体" w:hAnsi="宋体"/>
                <w:color w:val="auto"/>
                <w:szCs w:val="21"/>
                <w:highlight w:val="none"/>
              </w:rPr>
              <w:t>军事</w:t>
            </w:r>
            <w:r>
              <w:rPr>
                <w:rFonts w:hint="eastAsia" w:ascii="宋体" w:hAnsi="宋体" w:cs="宋体"/>
                <w:color w:val="auto"/>
                <w:kern w:val="0"/>
                <w:szCs w:val="18"/>
                <w:highlight w:val="none"/>
              </w:rPr>
              <w:t>教育</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18"/>
                <w:highlight w:val="none"/>
              </w:rPr>
              <w:t>C</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36</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36</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考查</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r>
              <w:rPr>
                <w:rFonts w:hint="eastAsia" w:ascii="宋体" w:hAnsi="宋体"/>
                <w:color w:val="auto"/>
                <w:szCs w:val="18"/>
                <w:highlight w:val="none"/>
              </w:rPr>
              <w:t>入学第1—2周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7"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3</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080400</w:t>
            </w:r>
            <w:r>
              <w:rPr>
                <w:rFonts w:hint="eastAsia" w:ascii="宋体" w:hAnsi="宋体"/>
                <w:color w:val="auto"/>
                <w:szCs w:val="21"/>
                <w:highlight w:val="none"/>
                <w:lang w:val="en-US" w:eastAsia="zh-CN"/>
              </w:rPr>
              <w:t>7</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hint="eastAsia" w:ascii="宋体" w:hAnsi="宋体" w:eastAsiaTheme="minorEastAsia"/>
                <w:color w:val="auto"/>
                <w:szCs w:val="21"/>
                <w:highlight w:val="none"/>
                <w:lang w:eastAsia="zh-CN"/>
              </w:rPr>
            </w:pPr>
            <w:r>
              <w:rPr>
                <w:rFonts w:hint="eastAsia" w:ascii="宋体" w:hAnsi="宋体" w:cs="宋体"/>
                <w:color w:val="auto"/>
                <w:kern w:val="0"/>
                <w:szCs w:val="18"/>
                <w:highlight w:val="none"/>
              </w:rPr>
              <w:t>社会实践</w:t>
            </w:r>
            <w:r>
              <w:rPr>
                <w:rFonts w:hint="eastAsia" w:ascii="宋体" w:hAnsi="宋体" w:cs="宋体"/>
                <w:color w:val="auto"/>
                <w:kern w:val="0"/>
                <w:szCs w:val="18"/>
                <w:highlight w:val="none"/>
                <w:lang w:eastAsia="zh-CN"/>
              </w:rPr>
              <w:t>（</w:t>
            </w:r>
            <w:r>
              <w:rPr>
                <w:rFonts w:hint="eastAsia" w:ascii="宋体" w:hAnsi="宋体" w:cs="宋体"/>
                <w:color w:val="auto"/>
                <w:kern w:val="0"/>
                <w:szCs w:val="18"/>
                <w:highlight w:val="none"/>
                <w:lang w:val="en-US" w:eastAsia="zh-CN"/>
              </w:rPr>
              <w:t>校内</w:t>
            </w:r>
            <w:r>
              <w:rPr>
                <w:rFonts w:hint="eastAsia" w:ascii="宋体" w:hAnsi="宋体" w:cs="宋体"/>
                <w:color w:val="auto"/>
                <w:kern w:val="0"/>
                <w:szCs w:val="18"/>
                <w:highlight w:val="none"/>
                <w:lang w:eastAsia="zh-CN"/>
              </w:rPr>
              <w:t>）</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18"/>
                <w:highlight w:val="none"/>
              </w:rPr>
              <w:t>C</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36</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考查</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r>
              <w:rPr>
                <w:rFonts w:hint="eastAsia" w:ascii="宋体" w:hAnsi="宋体"/>
                <w:bCs/>
                <w:color w:val="auto"/>
                <w:szCs w:val="21"/>
                <w:highlight w:val="none"/>
              </w:rPr>
              <w:t>融入勤工助学、社会调查等活动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4</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0804004</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s="宋体"/>
                <w:color w:val="auto"/>
                <w:kern w:val="0"/>
                <w:szCs w:val="18"/>
                <w:highlight w:val="none"/>
              </w:rPr>
              <w:t>假期社会实践</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s="宋体"/>
                <w:color w:val="auto"/>
                <w:kern w:val="0"/>
                <w:szCs w:val="18"/>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C</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36</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both"/>
              <w:rPr>
                <w:rFonts w:hint="default" w:ascii="宋体" w:hAnsi="宋体" w:eastAsiaTheme="minorEastAsia"/>
                <w:color w:val="auto"/>
                <w:szCs w:val="21"/>
                <w:highlight w:val="none"/>
                <w:lang w:val="en-US" w:eastAsia="zh-CN"/>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both"/>
              <w:rPr>
                <w:rFonts w:hint="default" w:ascii="宋体" w:hAnsi="宋体" w:eastAsiaTheme="minorEastAsia"/>
                <w:color w:val="auto"/>
                <w:szCs w:val="21"/>
                <w:highlight w:val="none"/>
                <w:lang w:val="en-US" w:eastAsia="zh-CN"/>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both"/>
              <w:rPr>
                <w:rFonts w:hint="default" w:ascii="宋体" w:hAnsi="宋体" w:eastAsiaTheme="minorEastAsia"/>
                <w:color w:val="auto"/>
                <w:szCs w:val="21"/>
                <w:highlight w:val="none"/>
                <w:lang w:val="en-US" w:eastAsia="zh-CN"/>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both"/>
              <w:rPr>
                <w:rFonts w:hint="default" w:ascii="宋体" w:hAnsi="宋体" w:eastAsiaTheme="minorEastAsia"/>
                <w:color w:val="auto"/>
                <w:szCs w:val="21"/>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考查</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r>
              <w:rPr>
                <w:rFonts w:hint="eastAsia" w:ascii="宋体" w:hAnsi="宋体"/>
                <w:color w:val="auto"/>
                <w:szCs w:val="18"/>
                <w:highlight w:val="none"/>
              </w:rPr>
              <w:t>假期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5</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0804005</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left"/>
              <w:rPr>
                <w:rFonts w:ascii="宋体" w:hAnsi="宋体"/>
                <w:color w:val="auto"/>
                <w:szCs w:val="21"/>
                <w:highlight w:val="none"/>
              </w:rPr>
            </w:pPr>
            <w:r>
              <w:rPr>
                <w:rFonts w:hint="eastAsia" w:ascii="宋体" w:hAnsi="宋体"/>
                <w:color w:val="auto"/>
                <w:szCs w:val="21"/>
                <w:highlight w:val="none"/>
              </w:rPr>
              <w:t>顶岗实习</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18"/>
                <w:highlight w:val="none"/>
              </w:rPr>
              <w:t>C</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ascii="宋体" w:hAnsi="宋体"/>
                <w:color w:val="auto"/>
                <w:szCs w:val="21"/>
                <w:highlight w:val="none"/>
              </w:rPr>
              <w:t>16</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288</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lang w:val="en-US" w:eastAsia="zh-CN"/>
              </w:rPr>
              <w:t>288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考查</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cs="宋体" w:eastAsiaTheme="minorEastAsia"/>
                <w:color w:val="auto"/>
                <w:kern w:val="0"/>
                <w:szCs w:val="21"/>
                <w:highlight w:val="none"/>
                <w:lang w:val="en-US" w:eastAsia="zh-CN"/>
              </w:rPr>
            </w:pPr>
            <w:r>
              <w:rPr>
                <w:rFonts w:hint="eastAsia" w:ascii="宋体" w:hAnsi="宋体" w:cs="宋体"/>
                <w:color w:val="auto"/>
                <w:kern w:val="0"/>
                <w:szCs w:val="21"/>
                <w:highlight w:val="none"/>
                <w:lang w:val="en-US" w:eastAsia="zh-CN"/>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ascii="宋体" w:hAnsi="宋体"/>
                <w:color w:val="auto"/>
                <w:szCs w:val="21"/>
                <w:highlight w:val="none"/>
              </w:rPr>
              <w:t>6</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0804006</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left"/>
              <w:rPr>
                <w:rFonts w:ascii="宋体" w:hAnsi="宋体"/>
                <w:color w:val="auto"/>
                <w:szCs w:val="21"/>
                <w:highlight w:val="none"/>
              </w:rPr>
            </w:pPr>
            <w:r>
              <w:rPr>
                <w:rFonts w:hint="eastAsia" w:ascii="宋体" w:hAnsi="宋体"/>
                <w:color w:val="auto"/>
                <w:szCs w:val="21"/>
                <w:highlight w:val="none"/>
              </w:rPr>
              <w:t>毕业设计</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12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24</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both"/>
              <w:rPr>
                <w:rFonts w:hint="default" w:ascii="宋体" w:hAnsi="宋体" w:eastAsiaTheme="minorEastAsia"/>
                <w:color w:val="auto"/>
                <w:szCs w:val="21"/>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考查</w:t>
            </w: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cs="宋体" w:eastAsiaTheme="minorEastAsia"/>
                <w:color w:val="auto"/>
                <w:kern w:val="0"/>
                <w:szCs w:val="21"/>
                <w:highlight w:val="none"/>
                <w:lang w:val="en-US" w:eastAsia="zh-CN"/>
              </w:rPr>
            </w:pPr>
            <w:r>
              <w:rPr>
                <w:rFonts w:hint="eastAsia" w:ascii="宋体" w:hAnsi="宋体" w:cs="宋体"/>
                <w:color w:val="auto"/>
                <w:kern w:val="0"/>
                <w:szCs w:val="21"/>
                <w:highlight w:val="none"/>
                <w:lang w:val="en-US" w:eastAsia="zh-CN"/>
              </w:rPr>
              <w:t>两周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4575" w:type="dxa"/>
            <w:gridSpan w:val="5"/>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s="宋体"/>
                <w:color w:val="auto"/>
                <w:kern w:val="0"/>
                <w:szCs w:val="18"/>
                <w:highlight w:val="none"/>
              </w:rPr>
              <w:t>小计</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25</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18"/>
                <w:highlight w:val="none"/>
                <w:lang w:val="en-US" w:eastAsia="zh-CN"/>
              </w:rPr>
              <w:t>450</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12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18"/>
                <w:highlight w:val="none"/>
                <w:lang w:val="en-US" w:eastAsia="zh-CN"/>
              </w:rPr>
              <w:t>438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p>
        </w:tc>
        <w:tc>
          <w:tcPr>
            <w:tcW w:w="583" w:type="dxa"/>
            <w:tcBorders>
              <w:top w:val="single" w:color="auto" w:sz="4" w:space="0"/>
              <w:left w:val="single" w:color="auto" w:sz="4" w:space="0"/>
              <w:bottom w:val="single" w:color="auto" w:sz="4" w:space="0"/>
              <w:right w:val="single" w:color="auto" w:sz="4" w:space="0"/>
            </w:tcBorders>
            <w:noWrap/>
          </w:tcPr>
          <w:p>
            <w:pPr>
              <w:widowControl/>
              <w:spacing w:line="36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tcPr>
          <w:p>
            <w:pPr>
              <w:widowControl/>
              <w:spacing w:line="360" w:lineRule="exact"/>
              <w:jc w:val="center"/>
              <w:rPr>
                <w:rFonts w:hint="default" w:ascii="宋体" w:hAnsi="宋体" w:eastAsiaTheme="minorEastAsia"/>
                <w:color w:val="auto"/>
                <w:szCs w:val="21"/>
                <w:highlight w:val="none"/>
                <w:lang w:val="en-US" w:eastAsia="zh-CN"/>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default" w:ascii="宋体" w:hAnsi="宋体" w:eastAsiaTheme="minorEastAsia"/>
                <w:color w:val="auto"/>
                <w:szCs w:val="21"/>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122" w:type="dxa"/>
            <w:gridSpan w:val="6"/>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合    计</w:t>
            </w:r>
          </w:p>
        </w:tc>
        <w:tc>
          <w:tcPr>
            <w:tcW w:w="402" w:type="dxa"/>
            <w:tcBorders>
              <w:top w:val="single" w:color="auto" w:sz="4" w:space="0"/>
              <w:left w:val="single" w:color="auto" w:sz="4" w:space="0"/>
              <w:bottom w:val="single" w:color="auto" w:sz="4" w:space="0"/>
              <w:right w:val="single" w:color="auto" w:sz="4" w:space="0"/>
            </w:tcBorders>
            <w:noWrap/>
          </w:tcPr>
          <w:p>
            <w:pPr>
              <w:widowControl/>
              <w:spacing w:line="360" w:lineRule="exact"/>
              <w:jc w:val="center"/>
              <w:rPr>
                <w:rFonts w:ascii="宋体" w:hAnsi="宋体"/>
                <w:color w:val="auto"/>
                <w:szCs w:val="21"/>
                <w:highlight w:val="none"/>
              </w:rPr>
            </w:pP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eastAsia" w:ascii="宋体" w:hAnsi="宋体" w:eastAsiaTheme="minorEastAsia"/>
                <w:color w:val="auto"/>
                <w:szCs w:val="21"/>
                <w:highlight w:val="none"/>
                <w:lang w:eastAsia="zh-CN"/>
              </w:rPr>
            </w:pPr>
            <w:r>
              <w:rPr>
                <w:rFonts w:ascii="宋体" w:hAnsi="宋体"/>
                <w:color w:val="auto"/>
                <w:szCs w:val="21"/>
                <w:highlight w:val="none"/>
              </w:rPr>
              <w:t>15</w:t>
            </w:r>
            <w:r>
              <w:rPr>
                <w:rFonts w:hint="eastAsia" w:ascii="宋体" w:hAnsi="宋体"/>
                <w:color w:val="auto"/>
                <w:szCs w:val="21"/>
                <w:highlight w:val="none"/>
                <w:lang w:val="en-US" w:eastAsia="zh-CN"/>
              </w:rPr>
              <w:t>5</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 w:val="18"/>
                <w:szCs w:val="18"/>
                <w:highlight w:val="none"/>
                <w:lang w:val="en-US" w:eastAsia="zh-CN"/>
              </w:rPr>
              <w:t>2686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eastAsia" w:ascii="宋体" w:hAnsi="宋体" w:eastAsiaTheme="minorEastAsia"/>
                <w:color w:val="auto"/>
                <w:szCs w:val="21"/>
                <w:highlight w:val="none"/>
                <w:lang w:eastAsia="zh-CN"/>
              </w:rPr>
            </w:pPr>
            <w:r>
              <w:rPr>
                <w:rFonts w:hint="eastAsia" w:ascii="宋体" w:hAnsi="宋体"/>
                <w:color w:val="auto"/>
                <w:sz w:val="18"/>
                <w:szCs w:val="18"/>
                <w:highlight w:val="none"/>
              </w:rPr>
              <w:t>116</w:t>
            </w:r>
            <w:r>
              <w:rPr>
                <w:rFonts w:hint="eastAsia" w:ascii="宋体" w:hAnsi="宋体"/>
                <w:color w:val="auto"/>
                <w:sz w:val="18"/>
                <w:szCs w:val="18"/>
                <w:highlight w:val="none"/>
                <w:lang w:val="en-US" w:eastAsia="zh-CN"/>
              </w:rPr>
              <w:t>7</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 w:val="18"/>
                <w:szCs w:val="18"/>
                <w:highlight w:val="none"/>
              </w:rPr>
              <w:t>1</w:t>
            </w:r>
            <w:r>
              <w:rPr>
                <w:rFonts w:hint="eastAsia" w:ascii="宋体" w:hAnsi="宋体"/>
                <w:color w:val="auto"/>
                <w:sz w:val="18"/>
                <w:szCs w:val="18"/>
                <w:highlight w:val="none"/>
                <w:lang w:val="en-US" w:eastAsia="zh-CN"/>
              </w:rPr>
              <w:t>519</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26</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26</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26</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26</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20</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73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s="宋体"/>
                <w:color w:val="auto"/>
                <w:kern w:val="0"/>
                <w:szCs w:val="21"/>
                <w:highlight w:val="none"/>
              </w:rPr>
            </w:pPr>
          </w:p>
        </w:tc>
      </w:tr>
    </w:tbl>
    <w:p>
      <w:pPr>
        <w:spacing w:line="360" w:lineRule="auto"/>
        <w:rPr>
          <w:rFonts w:ascii="黑体" w:eastAsia="黑体"/>
          <w:color w:val="auto"/>
          <w:sz w:val="28"/>
          <w:szCs w:val="28"/>
          <w:highlight w:val="none"/>
        </w:rPr>
        <w:sectPr>
          <w:pgSz w:w="16838" w:h="11906" w:orient="landscape"/>
          <w:pgMar w:top="1797" w:right="1440" w:bottom="1797" w:left="1440" w:header="851" w:footer="992" w:gutter="0"/>
          <w:cols w:space="425" w:num="1"/>
          <w:docGrid w:type="lines" w:linePitch="312" w:charSpace="0"/>
        </w:sectPr>
      </w:pPr>
    </w:p>
    <w:p>
      <w:pPr>
        <w:spacing w:line="360" w:lineRule="auto"/>
        <w:ind w:firstLine="300" w:firstLineChars="100"/>
        <w:rPr>
          <w:rFonts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（五）核心课程基本内容简介</w:t>
      </w:r>
    </w:p>
    <w:p>
      <w:pPr>
        <w:spacing w:line="360" w:lineRule="auto"/>
        <w:ind w:firstLine="480" w:firstLineChars="200"/>
        <w:rPr>
          <w:rFonts w:ascii="宋体" w:hAnsi="宋体" w:eastAsia="宋体" w:cs="Times New Roman"/>
          <w:bCs/>
          <w:color w:val="auto"/>
          <w:sz w:val="24"/>
          <w:highlight w:val="none"/>
        </w:rPr>
      </w:pPr>
      <w:r>
        <w:rPr>
          <w:rFonts w:hint="eastAsia" w:ascii="宋体" w:hAnsi="宋体" w:eastAsia="宋体" w:cs="Times New Roman"/>
          <w:bCs/>
          <w:color w:val="auto"/>
          <w:sz w:val="24"/>
          <w:highlight w:val="none"/>
        </w:rPr>
        <w:t>通过对化工行业企业标准和应用化工专业职业岗位群的典型工作任务及能力要求的分析，</w:t>
      </w:r>
      <w:r>
        <w:rPr>
          <w:rFonts w:hint="eastAsia" w:ascii="宋体" w:hAnsi="宋体" w:eastAsia="宋体" w:cs="Times New Roman"/>
          <w:bCs/>
          <w:color w:val="auto"/>
          <w:sz w:val="24"/>
          <w:highlight w:val="none"/>
          <w:lang w:val="en-US" w:eastAsia="zh-CN"/>
        </w:rPr>
        <w:t>结合最新版的《煤化工技术专业教学标准》，</w:t>
      </w:r>
      <w:r>
        <w:rPr>
          <w:rFonts w:hint="eastAsia" w:ascii="宋体" w:hAnsi="宋体" w:eastAsia="宋体" w:cs="Times New Roman"/>
          <w:bCs/>
          <w:color w:val="auto"/>
          <w:sz w:val="24"/>
          <w:highlight w:val="none"/>
        </w:rPr>
        <w:t>确立了6门核心课程，分别为《无机化工生产技术》、《化工单元操作》、《煤化学》、《煤化工生产技术》、《煤气化工艺》和《化工安全技术》，其基本内容介绍见下。</w:t>
      </w:r>
    </w:p>
    <w:p>
      <w:pPr>
        <w:spacing w:line="360" w:lineRule="auto"/>
        <w:ind w:firstLine="480" w:firstLineChars="200"/>
        <w:rPr>
          <w:rFonts w:ascii="宋体" w:hAnsi="宋体" w:eastAsia="宋体" w:cs="Times New Roman"/>
          <w:bCs/>
          <w:color w:val="auto"/>
          <w:sz w:val="24"/>
          <w:highlight w:val="none"/>
        </w:rPr>
      </w:pPr>
      <w:r>
        <w:rPr>
          <w:rFonts w:hint="eastAsia" w:ascii="宋体" w:hAnsi="宋体" w:eastAsia="宋体" w:cs="Times New Roman"/>
          <w:bCs/>
          <w:color w:val="auto"/>
          <w:sz w:val="24"/>
          <w:highlight w:val="none"/>
        </w:rPr>
        <w:t>1</w:t>
      </w:r>
      <w:r>
        <w:rPr>
          <w:rFonts w:hint="eastAsia" w:ascii="宋体" w:hAnsi="宋体" w:eastAsia="宋体" w:cs="Times New Roman"/>
          <w:bCs/>
          <w:color w:val="auto"/>
          <w:sz w:val="24"/>
          <w:highlight w:val="none"/>
          <w:lang w:eastAsia="zh-CN"/>
        </w:rPr>
        <w:t>.</w:t>
      </w:r>
      <w:r>
        <w:rPr>
          <w:rFonts w:hint="eastAsia" w:ascii="宋体" w:hAnsi="宋体" w:eastAsia="宋体" w:cs="Times New Roman"/>
          <w:bCs/>
          <w:color w:val="auto"/>
          <w:sz w:val="24"/>
          <w:highlight w:val="none"/>
        </w:rPr>
        <w:t>无机化工生产技术</w:t>
      </w:r>
    </w:p>
    <w:p>
      <w:pPr>
        <w:spacing w:line="360" w:lineRule="auto"/>
        <w:ind w:firstLine="480" w:firstLineChars="200"/>
        <w:rPr>
          <w:rFonts w:ascii="宋体" w:hAnsi="宋体" w:eastAsia="宋体" w:cs="Times New Roman"/>
          <w:bCs/>
          <w:color w:val="auto"/>
          <w:sz w:val="24"/>
          <w:highlight w:val="none"/>
        </w:rPr>
      </w:pPr>
      <w:r>
        <w:rPr>
          <w:rFonts w:hint="eastAsia" w:ascii="宋体" w:hAnsi="宋体" w:eastAsia="宋体" w:cs="Times New Roman"/>
          <w:bCs/>
          <w:color w:val="auto"/>
          <w:sz w:val="24"/>
          <w:highlight w:val="none"/>
        </w:rPr>
        <w:t xml:space="preserve">本课程是高职高专类应用技术化工专业的核心课程之一。课程从化工生产工艺角度出发，运用化工过程的基本原理，阐明基本无机化工工艺的基本概念和基本理论，介绍典型基本无机化工工艺的生产方法与工艺原理、典型流程与关键设备、工艺条件与节能降耗分析。同时优选有选择性介绍有关无机化工生产的新工艺、新技术、新设备、发展动态能量回收、三废处理等问题。通过本课程的基础理论学习，使学生建立实际工程概念，熟悉无机化工过程的原料来源及产品流向，熟悉无机化工工艺中常用的技术手段。 </w:t>
      </w:r>
    </w:p>
    <w:p>
      <w:pPr>
        <w:spacing w:line="360" w:lineRule="auto"/>
        <w:ind w:firstLine="480" w:firstLineChars="200"/>
        <w:rPr>
          <w:rFonts w:ascii="宋体" w:hAnsi="宋体" w:eastAsia="宋体" w:cs="Times New Roman"/>
          <w:bCs/>
          <w:color w:val="auto"/>
          <w:sz w:val="24"/>
          <w:highlight w:val="none"/>
        </w:rPr>
      </w:pPr>
      <w:r>
        <w:rPr>
          <w:rFonts w:hint="eastAsia" w:ascii="宋体" w:hAnsi="宋体" w:eastAsia="宋体" w:cs="Times New Roman"/>
          <w:bCs/>
          <w:color w:val="auto"/>
          <w:sz w:val="24"/>
          <w:highlight w:val="none"/>
        </w:rPr>
        <w:t>2</w:t>
      </w:r>
      <w:r>
        <w:rPr>
          <w:rFonts w:hint="eastAsia" w:ascii="宋体" w:hAnsi="宋体" w:eastAsia="宋体" w:cs="Times New Roman"/>
          <w:bCs/>
          <w:color w:val="auto"/>
          <w:sz w:val="24"/>
          <w:highlight w:val="none"/>
          <w:lang w:eastAsia="zh-CN"/>
        </w:rPr>
        <w:t>.</w:t>
      </w:r>
      <w:r>
        <w:rPr>
          <w:rFonts w:hint="eastAsia" w:ascii="宋体" w:hAnsi="宋体" w:eastAsia="宋体" w:cs="Times New Roman"/>
          <w:bCs/>
          <w:color w:val="auto"/>
          <w:sz w:val="24"/>
          <w:highlight w:val="none"/>
        </w:rPr>
        <w:t>化工单元操作</w:t>
      </w:r>
    </w:p>
    <w:p>
      <w:pPr>
        <w:spacing w:line="360" w:lineRule="auto"/>
        <w:ind w:firstLine="480" w:firstLineChars="200"/>
        <w:rPr>
          <w:rFonts w:ascii="宋体" w:hAnsi="宋体" w:eastAsia="宋体" w:cs="Times New Roman"/>
          <w:bCs/>
          <w:color w:val="auto"/>
          <w:sz w:val="24"/>
          <w:highlight w:val="none"/>
        </w:rPr>
      </w:pPr>
      <w:r>
        <w:rPr>
          <w:rFonts w:hint="eastAsia" w:ascii="宋体" w:hAnsi="宋体" w:eastAsia="宋体" w:cs="Times New Roman"/>
          <w:bCs/>
          <w:color w:val="auto"/>
          <w:sz w:val="24"/>
          <w:highlight w:val="none"/>
        </w:rPr>
        <w:t>本课程是应用化工技术专业的一门专业核心课程。本课程以阐述化工生产的基本概念和基础理论为主，介绍典型的化工生产工艺过程，系统分析具有代表性的化工工艺及涉及的化工单元操作、化学反应工程、工艺过程优化、环境保护与三废处理和化工过程开发等。通过课程设计训练，培养学生将物理化学、传递过程、化学工艺等知识用于单元操作中原理掌握和问题分析的综合能力；使学生初步具备改进和强化现有反应技术和设备，开发新的技术和设备、解决操作过程中的工程放大问题以及实现反应过程中最优化的能力。</w:t>
      </w:r>
    </w:p>
    <w:p>
      <w:pPr>
        <w:spacing w:line="360" w:lineRule="auto"/>
        <w:ind w:firstLine="480" w:firstLineChars="200"/>
        <w:rPr>
          <w:rFonts w:ascii="宋体" w:hAnsi="宋体" w:eastAsia="宋体" w:cs="Times New Roman"/>
          <w:bCs/>
          <w:color w:val="auto"/>
          <w:sz w:val="24"/>
          <w:highlight w:val="none"/>
        </w:rPr>
      </w:pPr>
      <w:r>
        <w:rPr>
          <w:rFonts w:hint="eastAsia" w:ascii="宋体" w:hAnsi="宋体" w:eastAsia="宋体" w:cs="Times New Roman"/>
          <w:bCs/>
          <w:color w:val="auto"/>
          <w:sz w:val="24"/>
          <w:highlight w:val="none"/>
        </w:rPr>
        <w:t>3</w:t>
      </w:r>
      <w:r>
        <w:rPr>
          <w:rFonts w:hint="eastAsia" w:ascii="宋体" w:hAnsi="宋体" w:eastAsia="宋体" w:cs="Times New Roman"/>
          <w:bCs/>
          <w:color w:val="auto"/>
          <w:sz w:val="24"/>
          <w:highlight w:val="none"/>
          <w:lang w:eastAsia="zh-CN"/>
        </w:rPr>
        <w:t>.</w:t>
      </w:r>
      <w:r>
        <w:rPr>
          <w:rFonts w:hint="eastAsia" w:ascii="宋体" w:hAnsi="宋体" w:eastAsia="宋体" w:cs="Times New Roman"/>
          <w:bCs/>
          <w:color w:val="auto"/>
          <w:sz w:val="24"/>
          <w:highlight w:val="none"/>
        </w:rPr>
        <w:t>煤化学</w:t>
      </w:r>
    </w:p>
    <w:p>
      <w:pPr>
        <w:spacing w:line="360" w:lineRule="auto"/>
        <w:ind w:firstLine="480" w:firstLineChars="200"/>
        <w:rPr>
          <w:rFonts w:ascii="宋体" w:hAnsi="宋体" w:eastAsia="宋体" w:cs="Times New Roman"/>
          <w:bCs/>
          <w:color w:val="auto"/>
          <w:sz w:val="24"/>
          <w:highlight w:val="none"/>
        </w:rPr>
      </w:pPr>
      <w:r>
        <w:rPr>
          <w:rFonts w:hint="eastAsia" w:ascii="宋体" w:hAnsi="宋体" w:eastAsia="宋体" w:cs="Times New Roman"/>
          <w:bCs/>
          <w:color w:val="auto"/>
          <w:sz w:val="24"/>
          <w:highlight w:val="none"/>
        </w:rPr>
        <w:t xml:space="preserve">本课程为煤化工专业方向的技术基础课，其主要任务是使学生掌握煤的特征、生成、结构、分析和分类；煤的热解、煤的液化和气化等过程的机理及其理论基础；煤的各种加工产物的组成、性质和应用。目的在于深入了解煤的特性，解决煤炭利用中的各种问题，开发新的加工技术和开拓新的利用途径，使煤炭资源得到合理和有效的利用，同时为学习煤化学工程与工艺学、炼焦学、煤转化技术等课程打下扎实的理论基础。通过本门课程学习，掌握煤的生成过程及其对煤的性质的决定性影响；掌握利用煤岩学手段来分析和判断煤的可选性原理；熟练掌握煤的分子结构理论，并能够预测和分析煤的性质；熟练掌握煤的工业分析、元素分析、物理性质、化学性质、工艺性质等及其相互关系；掌握煤炭的分类以及常见煤类的基本性质及其应用途径。 </w:t>
      </w:r>
    </w:p>
    <w:p>
      <w:pPr>
        <w:spacing w:line="360" w:lineRule="auto"/>
        <w:ind w:firstLine="480" w:firstLineChars="200"/>
        <w:rPr>
          <w:rFonts w:ascii="宋体" w:hAnsi="宋体" w:eastAsia="宋体" w:cs="Times New Roman"/>
          <w:bCs/>
          <w:color w:val="auto"/>
          <w:sz w:val="24"/>
          <w:highlight w:val="none"/>
        </w:rPr>
      </w:pPr>
      <w:r>
        <w:rPr>
          <w:rFonts w:hint="eastAsia" w:ascii="宋体" w:hAnsi="宋体" w:eastAsia="宋体" w:cs="Times New Roman"/>
          <w:bCs/>
          <w:color w:val="auto"/>
          <w:sz w:val="24"/>
          <w:highlight w:val="none"/>
        </w:rPr>
        <w:t>4</w:t>
      </w:r>
      <w:r>
        <w:rPr>
          <w:rFonts w:hint="eastAsia" w:ascii="宋体" w:hAnsi="宋体" w:eastAsia="宋体" w:cs="Times New Roman"/>
          <w:bCs/>
          <w:color w:val="auto"/>
          <w:sz w:val="24"/>
          <w:highlight w:val="none"/>
          <w:lang w:eastAsia="zh-CN"/>
        </w:rPr>
        <w:t>.</w:t>
      </w:r>
      <w:r>
        <w:rPr>
          <w:rFonts w:hint="eastAsia" w:ascii="宋体" w:hAnsi="宋体" w:eastAsia="宋体" w:cs="Times New Roman"/>
          <w:bCs/>
          <w:color w:val="auto"/>
          <w:sz w:val="24"/>
          <w:highlight w:val="none"/>
        </w:rPr>
        <w:t>现代煤化工生产技术</w:t>
      </w:r>
    </w:p>
    <w:p>
      <w:pPr>
        <w:spacing w:line="360" w:lineRule="auto"/>
        <w:ind w:firstLine="480" w:firstLineChars="200"/>
        <w:rPr>
          <w:rFonts w:ascii="宋体" w:hAnsi="宋体" w:eastAsia="宋体" w:cs="Times New Roman"/>
          <w:bCs/>
          <w:color w:val="auto"/>
          <w:sz w:val="24"/>
          <w:highlight w:val="none"/>
        </w:rPr>
      </w:pPr>
      <w:r>
        <w:rPr>
          <w:rFonts w:hint="eastAsia" w:ascii="宋体" w:hAnsi="宋体" w:eastAsia="宋体" w:cs="Times New Roman"/>
          <w:bCs/>
          <w:color w:val="auto"/>
          <w:sz w:val="24"/>
          <w:highlight w:val="none"/>
        </w:rPr>
        <w:t>本课程是煤化工类专业的一门必修课。本课的任务是使学生掌握煤化工生产的基本概念，了解煤化工安全生产方面的知识，深化空气深冷液化分离、煤气化、煤液化、甲醇生产技术及煤化学产品加工工艺等方面知识；培养学生的煤化工生产操作方面的专业能力，如正确地确定生产的工艺条件的能力，在煤化工安全生产操作规程下解决生产过程中一般工艺技术问题的能力以及正确操作煤化工的重要设备等；同时注重培养学生的社会能力和方法能力。本课程是在学生完成化工原理、物理化学、有机化学、无机化学、煤化学等基础课的学习后开设的，并通过专业实训与仿真实训强化学生的专业技能。</w:t>
      </w:r>
    </w:p>
    <w:p>
      <w:pPr>
        <w:spacing w:line="360" w:lineRule="auto"/>
        <w:ind w:firstLine="480" w:firstLineChars="200"/>
        <w:rPr>
          <w:rFonts w:ascii="宋体" w:hAnsi="宋体" w:eastAsia="宋体" w:cs="Times New Roman"/>
          <w:bCs/>
          <w:color w:val="auto"/>
          <w:sz w:val="24"/>
          <w:highlight w:val="none"/>
        </w:rPr>
      </w:pPr>
      <w:r>
        <w:rPr>
          <w:rFonts w:hint="eastAsia" w:ascii="宋体" w:hAnsi="宋体" w:eastAsia="宋体" w:cs="Times New Roman"/>
          <w:bCs/>
          <w:color w:val="auto"/>
          <w:sz w:val="24"/>
          <w:highlight w:val="none"/>
        </w:rPr>
        <w:t>5</w:t>
      </w:r>
      <w:r>
        <w:rPr>
          <w:rFonts w:hint="eastAsia" w:ascii="宋体" w:hAnsi="宋体" w:eastAsia="宋体" w:cs="Times New Roman"/>
          <w:bCs/>
          <w:color w:val="auto"/>
          <w:sz w:val="24"/>
          <w:highlight w:val="none"/>
          <w:lang w:eastAsia="zh-CN"/>
        </w:rPr>
        <w:t>.</w:t>
      </w:r>
      <w:r>
        <w:rPr>
          <w:rFonts w:hint="eastAsia" w:ascii="宋体" w:hAnsi="宋体" w:eastAsia="宋体" w:cs="Times New Roman"/>
          <w:bCs/>
          <w:color w:val="auto"/>
          <w:sz w:val="24"/>
          <w:highlight w:val="none"/>
        </w:rPr>
        <w:t>煤气化工艺</w:t>
      </w:r>
    </w:p>
    <w:p>
      <w:pPr>
        <w:spacing w:line="360" w:lineRule="auto"/>
        <w:ind w:firstLine="480" w:firstLineChars="200"/>
        <w:rPr>
          <w:rFonts w:ascii="宋体" w:hAnsi="宋体" w:eastAsia="宋体" w:cs="Times New Roman"/>
          <w:bCs/>
          <w:color w:val="auto"/>
          <w:sz w:val="24"/>
          <w:highlight w:val="none"/>
        </w:rPr>
      </w:pPr>
      <w:r>
        <w:rPr>
          <w:rFonts w:hint="eastAsia" w:ascii="宋体" w:hAnsi="宋体" w:eastAsia="宋体" w:cs="Times New Roman"/>
          <w:bCs/>
          <w:color w:val="auto"/>
          <w:sz w:val="24"/>
          <w:highlight w:val="none"/>
        </w:rPr>
        <w:t>本课程是高职高专煤化工技术的一门专业核心课程。通过学习让学生掌握以煤气的生产方法、基本原理、工艺流程、操作条件与参数分析、主要设备结构、岗位操作、生产故障排除等知识；培养学生具备准确的工艺计算能力，确定工艺流程和设备选型的能力及岗位安全操作能力；培养学生具有严谨认真、实事求是的科学态度；提高学生分析问题、解决问题的能力；养成良好的职业卫生习惯和职业道德，打下扎实的理论基础。</w:t>
      </w:r>
    </w:p>
    <w:p>
      <w:pPr>
        <w:spacing w:line="360" w:lineRule="auto"/>
        <w:ind w:firstLine="480" w:firstLineChars="200"/>
        <w:rPr>
          <w:rFonts w:ascii="宋体" w:hAnsi="宋体" w:eastAsia="宋体" w:cs="Times New Roman"/>
          <w:bCs/>
          <w:color w:val="auto"/>
          <w:sz w:val="24"/>
          <w:highlight w:val="none"/>
        </w:rPr>
      </w:pPr>
      <w:r>
        <w:rPr>
          <w:rFonts w:hint="eastAsia" w:ascii="宋体" w:hAnsi="宋体" w:eastAsia="宋体" w:cs="Times New Roman"/>
          <w:bCs/>
          <w:color w:val="auto"/>
          <w:sz w:val="24"/>
          <w:highlight w:val="none"/>
        </w:rPr>
        <w:t>通过本门课程学习，了解中国煤炭气化生产应用情况；掌握煤气生产的典型流程；掌握煤炭气化的生产方法、基本原理、生产过程；掌握煤炭气化的操作条件、主要设备结构、岗位操作、生产故障排除等知识；培养学生具备准确的工艺计算能力；培养学生确定工流程和设备选型的能力；培养学生具备岗位安全操作能力； 培养学生严谨认真、实事求是、精益求精的科学态度；提高学生分析问题、解决问题的能力；培养学生遵守操作规程、安全生产的工作习惯；培养学生节约意识、质量意识、安全意识、创新意识、吃苦耐劳等良好的职业卫生习惯和职业道德。</w:t>
      </w:r>
    </w:p>
    <w:p>
      <w:pPr>
        <w:spacing w:line="360" w:lineRule="auto"/>
        <w:ind w:firstLine="480" w:firstLineChars="200"/>
        <w:rPr>
          <w:rFonts w:ascii="宋体" w:hAnsi="宋体" w:eastAsia="宋体" w:cs="Times New Roman"/>
          <w:bCs/>
          <w:color w:val="auto"/>
          <w:sz w:val="24"/>
          <w:highlight w:val="none"/>
        </w:rPr>
      </w:pPr>
      <w:r>
        <w:rPr>
          <w:rFonts w:hint="eastAsia" w:ascii="宋体" w:hAnsi="宋体" w:eastAsia="宋体" w:cs="Times New Roman"/>
          <w:bCs/>
          <w:color w:val="auto"/>
          <w:sz w:val="24"/>
          <w:highlight w:val="none"/>
        </w:rPr>
        <w:t>6</w:t>
      </w:r>
      <w:r>
        <w:rPr>
          <w:rFonts w:hint="eastAsia" w:ascii="宋体" w:hAnsi="宋体" w:eastAsia="宋体" w:cs="Times New Roman"/>
          <w:bCs/>
          <w:color w:val="auto"/>
          <w:sz w:val="24"/>
          <w:highlight w:val="none"/>
          <w:lang w:eastAsia="zh-CN"/>
        </w:rPr>
        <w:t>.</w:t>
      </w:r>
      <w:r>
        <w:rPr>
          <w:rFonts w:hint="eastAsia" w:ascii="宋体" w:hAnsi="宋体" w:eastAsia="宋体" w:cs="Times New Roman"/>
          <w:bCs/>
          <w:color w:val="auto"/>
          <w:sz w:val="24"/>
          <w:highlight w:val="none"/>
        </w:rPr>
        <w:t>化工安全技术</w:t>
      </w:r>
    </w:p>
    <w:p>
      <w:pPr>
        <w:spacing w:line="360" w:lineRule="auto"/>
        <w:ind w:firstLine="480" w:firstLineChars="200"/>
        <w:rPr>
          <w:rFonts w:ascii="宋体" w:hAnsi="宋体"/>
          <w:bCs/>
          <w:color w:val="auto"/>
          <w:sz w:val="24"/>
          <w:highlight w:val="none"/>
        </w:rPr>
      </w:pPr>
      <w:r>
        <w:rPr>
          <w:rFonts w:hint="eastAsia" w:ascii="宋体" w:hAnsi="宋体" w:eastAsia="宋体" w:cs="Times New Roman"/>
          <w:bCs/>
          <w:color w:val="auto"/>
          <w:sz w:val="24"/>
          <w:highlight w:val="none"/>
        </w:rPr>
        <w:t>本课程是高等职业技术院校应用化工技术专业的一门必修课，是本专业重要的专业核心课之一。化工安全技术贯穿于化工生产全过程，从技术开发、工艺设计、厂房修建、设备安装、生产操作、设备管理、紧急预案、事故处理，直至“三废”处理等各个环节，它是一门涉及面广、内容丰富的综合性技术。因此，本课程同样贯穿于应用化工生产技术专业学习全过程，包括从各专业基础课到各专业课。本课程着眼于培养学生的化工安全技术专业知识和基本安全操作技能，着重培养学生分析、解决实际问题的能力，提高学生的职业素质。这些能力所涉及的知识与专业培养目标和现代化工行业人才所需知识结构相一致。化工安全技术与其它课程相辅相成，共同为学生将来进入化工企业进行安全生产操作、及基层管理工作打下坚实的基础。</w:t>
      </w:r>
    </w:p>
    <w:p>
      <w:pPr>
        <w:pStyle w:val="3"/>
        <w:ind w:firstLine="480" w:firstLineChars="150"/>
        <w:rPr>
          <w:b w:val="0"/>
          <w:color w:val="auto"/>
          <w:highlight w:val="none"/>
        </w:rPr>
      </w:pPr>
      <w:bookmarkStart w:id="17" w:name="_Toc31561"/>
      <w:r>
        <w:rPr>
          <w:rFonts w:hint="eastAsia"/>
          <w:b w:val="0"/>
          <w:color w:val="auto"/>
          <w:highlight w:val="none"/>
        </w:rPr>
        <w:t>八、教学方法、手段和教学评价</w:t>
      </w:r>
      <w:bookmarkEnd w:id="17"/>
    </w:p>
    <w:p>
      <w:pPr>
        <w:pStyle w:val="3"/>
        <w:ind w:firstLine="320" w:firstLineChars="100"/>
        <w:rPr>
          <w:b w:val="0"/>
          <w:color w:val="auto"/>
          <w:highlight w:val="none"/>
        </w:rPr>
      </w:pPr>
      <w:bookmarkStart w:id="18" w:name="_Toc9746"/>
      <w:bookmarkStart w:id="19" w:name="_Toc18389"/>
      <w:bookmarkStart w:id="20" w:name="_Toc7354"/>
      <w:r>
        <w:rPr>
          <w:rFonts w:hint="eastAsia"/>
          <w:b w:val="0"/>
          <w:color w:val="auto"/>
          <w:highlight w:val="none"/>
        </w:rPr>
        <w:t>（一）教学方法、手段与教学组织形式</w:t>
      </w:r>
      <w:bookmarkEnd w:id="18"/>
      <w:bookmarkEnd w:id="19"/>
      <w:bookmarkEnd w:id="20"/>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要“以学生为中心”，根据学生特点，激发学生学习兴趣；实行任务驱动、项目导向等多种形式的“做中学、做中教”教学模式。</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1</w:t>
      </w:r>
      <w:r>
        <w:rPr>
          <w:rFonts w:hint="eastAsia" w:ascii="Times New Roman" w:hAnsi="Times New Roman" w:eastAsia="宋体" w:cs="Times New Roman"/>
          <w:color w:val="auto"/>
          <w:sz w:val="24"/>
          <w:highlight w:val="none"/>
          <w:lang w:eastAsia="zh-CN"/>
        </w:rPr>
        <w:t>.</w:t>
      </w:r>
      <w:r>
        <w:rPr>
          <w:rFonts w:hint="eastAsia" w:ascii="Times New Roman" w:hAnsi="Times New Roman" w:eastAsia="宋体" w:cs="Times New Roman"/>
          <w:color w:val="auto"/>
          <w:sz w:val="24"/>
          <w:highlight w:val="none"/>
        </w:rPr>
        <w:t>教学方法</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每个任务均按照“课前准备”、“典型实例分析”、“知识链接”、“任务实施”、“知识拓展”、“技能检测”六个步骤完成。在每一个步骤中，采用了项目教学法、任务驱动教学法、小组研讨法、角色扮演法等。</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（1）项目教学法</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按照企业的生产岗位要求，以任务驱动、项目导向的教学方法实施教学。在教学环境和氛围上营造工学结合场景，让学生感受到工作情境。在教学上突出“项目任务驱动”教学法，将“教、学、做”有机结合，采用“教师布置任务→学生了解任务→学生自主策划项目计划→师生共同分析计划→学生修订策划→投入实施训练→项目完成情况检查→教师评价、学生自评”的教学流程。</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（2）任务驱动教学法</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以学生为主体，教师引导，教师提出问题或设计出合理的学习情景，学生主动参与，整个教学过程以“导”为主而不是以“灌”为主，让学生主动解决难点问题，提高学生的积极性和主动性，增加对相关知识点的理解和掌握。</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（3）角色扮演法</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在角色扮演法的使用中，安排真实工作任务，教师统领全局，类似于车间管理人员，小组长管理各个岗位的具体工作，类似于企业里的班组长，教师下达任务书，再由小组长协调组内的具体分工、人员分配、工具设备使用、方案的确定等工作，使学生的实训过程与工厂的实际工作保持一致，通过不同的角色扮演，使适应企业不同的工作岗位，拓宽就业面。</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 xml:space="preserve">（4）案例教学法 </w:t>
      </w:r>
      <w:r>
        <w:rPr>
          <w:rFonts w:hint="eastAsia" w:ascii="Times New Roman" w:hAnsi="Times New Roman" w:eastAsia="宋体" w:cs="Times New Roman"/>
          <w:color w:val="auto"/>
          <w:sz w:val="24"/>
          <w:highlight w:val="none"/>
        </w:rPr>
        <w:tab/>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通过案例分析法，可以激发学生的教师传授学中做、做中学、学生自主、育巧手、手脑并用学习，使学习任务和目标更加明确，提高了学生分析问题和解决问题的能力。</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（5）多媒体教学法</w:t>
      </w:r>
    </w:p>
    <w:p>
      <w:pPr>
        <w:adjustRightInd w:val="0"/>
        <w:snapToGrid w:val="0"/>
        <w:spacing w:line="360" w:lineRule="auto"/>
        <w:ind w:firstLine="480" w:firstLineChars="200"/>
        <w:rPr>
          <w:rFonts w:hint="eastAsia" w:ascii="Times New Roman" w:hAnsi="Times New Roman" w:eastAsia="宋体" w:cs="Times New Roman"/>
          <w:color w:val="auto"/>
          <w:sz w:val="24"/>
          <w:highlight w:val="none"/>
          <w:lang w:eastAsia="zh-CN"/>
        </w:rPr>
      </w:pPr>
      <w:r>
        <w:rPr>
          <w:rFonts w:hint="eastAsia" w:ascii="Times New Roman" w:hAnsi="Times New Roman" w:eastAsia="宋体" w:cs="Times New Roman"/>
          <w:color w:val="auto"/>
          <w:sz w:val="24"/>
          <w:highlight w:val="none"/>
        </w:rPr>
        <w:t>采用电子教案、多媒体课件、仿真软件等手段充实了教学，特别是多媒体课件和仿真软件的应用，解决了在传统教学手段下很难表达的教学内容或无法观察到的现象，使其象能形象、生动、直观地显示出来，从而加深学生对问题的理解</w:t>
      </w:r>
      <w:r>
        <w:rPr>
          <w:rFonts w:hint="eastAsia" w:ascii="Times New Roman" w:hAnsi="Times New Roman" w:eastAsia="宋体" w:cs="Times New Roman"/>
          <w:color w:val="auto"/>
          <w:sz w:val="24"/>
          <w:highlight w:val="none"/>
          <w:lang w:eastAsia="zh-CN"/>
        </w:rPr>
        <w:t>。</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2</w:t>
      </w:r>
      <w:r>
        <w:rPr>
          <w:rFonts w:hint="eastAsia" w:ascii="Times New Roman" w:hAnsi="Times New Roman" w:eastAsia="宋体" w:cs="Times New Roman"/>
          <w:color w:val="auto"/>
          <w:sz w:val="24"/>
          <w:highlight w:val="none"/>
          <w:lang w:eastAsia="zh-CN"/>
        </w:rPr>
        <w:t>.</w:t>
      </w:r>
      <w:r>
        <w:rPr>
          <w:rFonts w:hint="eastAsia" w:ascii="Times New Roman" w:hAnsi="Times New Roman" w:eastAsia="宋体" w:cs="Times New Roman"/>
          <w:color w:val="auto"/>
          <w:sz w:val="24"/>
          <w:highlight w:val="none"/>
        </w:rPr>
        <w:t>教学手段</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（1）由仿真到真实、由简单到复杂的技能训练</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学生通过Auto CAD绘图软件掌握化工设备的基本结构，提高了学生学习兴趣和主动性，对学生职业素养的养成和专业技能的掌握效果明显。</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（2）现代教育技术的使用</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根据课程内容的特点，教师采用多媒体技术制作授课课件、动画、录像等，使教学直观，易于学生理解和复习。教师通过学生的实际绘图过程，可及时了解学生对知识、技能的掌握程度。</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3</w:t>
      </w:r>
      <w:r>
        <w:rPr>
          <w:rFonts w:hint="eastAsia" w:ascii="Times New Roman" w:hAnsi="Times New Roman" w:eastAsia="宋体" w:cs="Times New Roman"/>
          <w:color w:val="auto"/>
          <w:sz w:val="24"/>
          <w:highlight w:val="none"/>
          <w:lang w:eastAsia="zh-CN"/>
        </w:rPr>
        <w:t>.</w:t>
      </w:r>
      <w:r>
        <w:rPr>
          <w:rFonts w:hint="eastAsia" w:ascii="Times New Roman" w:hAnsi="Times New Roman" w:eastAsia="宋体" w:cs="Times New Roman"/>
          <w:color w:val="auto"/>
          <w:sz w:val="24"/>
          <w:highlight w:val="none"/>
        </w:rPr>
        <w:t>教学组织形式</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（1）在教学过程中，以任务驱动、项目导向的教学方法实施教学，选择实际岗位中的任务作为教学任务，按照能力培养目标的要求，突出学生的主导地位，进行教学过程的系统化设计并组织实施。</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（2）学生自主学习</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学生在教师的指导下，利用学校提供的多种媒体教学材料资源，以个别化自主学习为主。学生制定学习计划。</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（3）小组讨论</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将学生进行分组，在教师的引导下，学生积极参与课堂讨论，从而实现教与学的互动。比如在方案的确定、工艺的制定、故障原因中，学生通过讨论，可以从别人或别的小组获取不同的知识，有助于学生思考多方面的意见，增强学生思维的灵活性，使学生更容易理解他人，提高学生交流思想、看法和协作的能力。</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（4）多媒体途径学习</w:t>
      </w:r>
    </w:p>
    <w:p>
      <w:pPr>
        <w:adjustRightInd w:val="0"/>
        <w:snapToGrid w:val="0"/>
        <w:spacing w:line="360" w:lineRule="auto"/>
        <w:ind w:firstLine="480" w:firstLineChars="200"/>
        <w:rPr>
          <w:rFonts w:hint="eastAsia" w:ascii="Times New Roman" w:hAnsi="Times New Roman" w:eastAsia="宋体" w:cs="Times New Roman"/>
          <w:color w:val="auto"/>
          <w:sz w:val="24"/>
          <w:highlight w:val="none"/>
          <w:lang w:eastAsia="zh-CN"/>
        </w:rPr>
      </w:pPr>
      <w:r>
        <w:rPr>
          <w:rFonts w:hint="eastAsia" w:ascii="Times New Roman" w:hAnsi="Times New Roman" w:eastAsia="宋体" w:cs="Times New Roman"/>
          <w:color w:val="auto"/>
          <w:sz w:val="24"/>
          <w:highlight w:val="none"/>
        </w:rPr>
        <w:t>在非集中学习期间，学生对自学中的问题可随时通过电话、信函、电子邮件等形式向责任教师进行咨询。学生亦可集中或分散收看中央电大的电视直播课堂、进行网上讨论等，以增强师生之间、同学之间的教学交流</w:t>
      </w:r>
      <w:r>
        <w:rPr>
          <w:rFonts w:hint="eastAsia" w:ascii="Times New Roman" w:hAnsi="Times New Roman" w:eastAsia="宋体" w:cs="Times New Roman"/>
          <w:color w:val="auto"/>
          <w:sz w:val="24"/>
          <w:highlight w:val="none"/>
          <w:lang w:eastAsia="zh-CN"/>
        </w:rPr>
        <w:t>。</w:t>
      </w:r>
    </w:p>
    <w:p>
      <w:pPr>
        <w:spacing w:line="360" w:lineRule="auto"/>
        <w:ind w:firstLine="300" w:firstLineChars="100"/>
        <w:rPr>
          <w:rFonts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（二）教学评价</w:t>
      </w:r>
      <w:r>
        <w:rPr>
          <w:rFonts w:hint="eastAsia" w:ascii="黑体" w:hAnsi="黑体" w:eastAsia="黑体" w:cs="黑体"/>
          <w:bCs/>
          <w:color w:val="auto"/>
          <w:sz w:val="30"/>
          <w:szCs w:val="30"/>
          <w:highlight w:val="none"/>
          <w:lang w:val="en-US" w:eastAsia="zh-CN"/>
        </w:rPr>
        <w:t>与</w:t>
      </w:r>
      <w:r>
        <w:rPr>
          <w:rFonts w:hint="eastAsia" w:ascii="黑体" w:hAnsi="黑体" w:eastAsia="黑体" w:cs="黑体"/>
          <w:bCs/>
          <w:color w:val="auto"/>
          <w:sz w:val="30"/>
          <w:szCs w:val="30"/>
          <w:highlight w:val="none"/>
        </w:rPr>
        <w:t>考核</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各学期安排5门考试课程，其余为考查，实行教考分离。实践课程都要进行技能考核。学生在校学习期间完成综合技能考核（即职业技能鉴定）。毕业生实习结束后进行毕业论文（设计）和答辩。</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各核心专业课程根据课程性质决定考核方式，主要采用过程考核（任务考评）、阶段考核（情境考核）及期末考核（课程考核）相结合的考评方式，强调过程考核重要性。过程考核为开放性评价，由教师和学生共同参与考评，注重考核学生专业能力、方法能力和社会能力，鼓励同学间、小组间的相对评价和适度竞争</w:t>
      </w:r>
      <w:r>
        <w:rPr>
          <w:rFonts w:hint="eastAsia" w:ascii="Times New Roman" w:hAnsi="Times New Roman" w:eastAsia="宋体" w:cs="Times New Roman"/>
          <w:color w:val="auto"/>
          <w:sz w:val="24"/>
          <w:highlight w:val="none"/>
          <w:lang w:eastAsia="zh-CN"/>
        </w:rPr>
        <w:t>；</w:t>
      </w:r>
      <w:r>
        <w:rPr>
          <w:rFonts w:hint="eastAsia" w:ascii="Times New Roman" w:hAnsi="Times New Roman" w:eastAsia="宋体" w:cs="Times New Roman"/>
          <w:color w:val="auto"/>
          <w:sz w:val="24"/>
          <w:highlight w:val="none"/>
        </w:rPr>
        <w:t>终结考评由教师进行考评，注重考核学生专业知识掌握情况、综合技能水平和职业行动完整性。</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学生成绩组成=过程考核成绩60%+阶段考核20%+期末考核20%。过程考核由组员评价（占过程考核的40%）和小组评价（占过程考核60%）两部分组成。</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1</w:t>
      </w:r>
      <w:r>
        <w:rPr>
          <w:rFonts w:hint="eastAsia" w:ascii="Times New Roman" w:hAnsi="Times New Roman" w:eastAsia="宋体" w:cs="Times New Roman"/>
          <w:color w:val="auto"/>
          <w:sz w:val="24"/>
          <w:highlight w:val="none"/>
          <w:lang w:eastAsia="zh-CN"/>
        </w:rPr>
        <w:t>.</w:t>
      </w:r>
      <w:r>
        <w:rPr>
          <w:rFonts w:hint="eastAsia" w:ascii="Times New Roman" w:hAnsi="Times New Roman" w:eastAsia="宋体" w:cs="Times New Roman"/>
          <w:color w:val="auto"/>
          <w:sz w:val="24"/>
          <w:highlight w:val="none"/>
        </w:rPr>
        <w:t>工作任务评价（60%）</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每一个工作任务都以工作成果及完成的任务符合度进行考核，学生完成工作任务后提出自评成绩，小组成员进行互评，教师对工作任务的成果进行逐项分析，哪些工作可以进一步改进？如何改进？并将学生的出勤、课堂纪律、团队合作等纳入考核指标，具体权重可根据工作任务的特点、内容、难度确定，工作任务考评占总成绩的60%。</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2</w:t>
      </w:r>
      <w:r>
        <w:rPr>
          <w:rFonts w:hint="eastAsia" w:ascii="Times New Roman" w:hAnsi="Times New Roman" w:eastAsia="宋体" w:cs="Times New Roman"/>
          <w:color w:val="auto"/>
          <w:sz w:val="24"/>
          <w:highlight w:val="none"/>
          <w:lang w:eastAsia="zh-CN"/>
        </w:rPr>
        <w:t>.</w:t>
      </w:r>
      <w:r>
        <w:rPr>
          <w:rFonts w:hint="eastAsia" w:ascii="Times New Roman" w:hAnsi="Times New Roman" w:eastAsia="宋体" w:cs="Times New Roman"/>
          <w:color w:val="auto"/>
          <w:sz w:val="24"/>
          <w:highlight w:val="none"/>
        </w:rPr>
        <w:t>阶段评价（20%）</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针对工作任务中的知识点进行阶段性测试，通过提炼工作任务中的重要知识点，实现知识应用中由工作知识的针对性到知识应用的普适性之间的迁移，把握应用知识的深度和广度。阶段评价由理论考试及实践考试组成，各占50%。其中理论考试注重课程知识点的考核，实践考试包括实际动手能力，绘制化工设备图样。</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3</w:t>
      </w:r>
      <w:r>
        <w:rPr>
          <w:rFonts w:hint="eastAsia" w:ascii="Times New Roman" w:hAnsi="Times New Roman" w:eastAsia="宋体" w:cs="Times New Roman"/>
          <w:color w:val="auto"/>
          <w:sz w:val="24"/>
          <w:highlight w:val="none"/>
          <w:lang w:eastAsia="zh-CN"/>
        </w:rPr>
        <w:t>.</w:t>
      </w:r>
      <w:r>
        <w:rPr>
          <w:rFonts w:hint="eastAsia" w:ascii="Times New Roman" w:hAnsi="Times New Roman" w:eastAsia="宋体" w:cs="Times New Roman"/>
          <w:color w:val="auto"/>
          <w:sz w:val="24"/>
          <w:highlight w:val="none"/>
        </w:rPr>
        <w:t>期末考试综合评价（20%）</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学习任务过程评价中，确定了知识目标考核、技能目标考核和态度目标考核三项合一的综合能力考核评价体系。依据多项工作任务的《评分标准》及学生在工作过程中的工具使用、操作技能、存在问题、阶段性作业、结果展示、讲解交流、组织纪律等进行专业能力综合考核。</w:t>
      </w:r>
    </w:p>
    <w:p>
      <w:pPr>
        <w:adjustRightInd w:val="0"/>
        <w:snapToGrid w:val="0"/>
        <w:spacing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4</w:t>
      </w:r>
      <w:r>
        <w:rPr>
          <w:rFonts w:hint="eastAsia" w:ascii="Times New Roman" w:hAnsi="Times New Roman" w:eastAsia="宋体" w:cs="Times New Roman"/>
          <w:color w:val="auto"/>
          <w:sz w:val="24"/>
          <w:highlight w:val="none"/>
          <w:lang w:eastAsia="zh-CN"/>
        </w:rPr>
        <w:t>.</w:t>
      </w:r>
      <w:r>
        <w:rPr>
          <w:rFonts w:hint="eastAsia" w:ascii="Times New Roman" w:hAnsi="Times New Roman" w:eastAsia="宋体" w:cs="Times New Roman"/>
          <w:color w:val="auto"/>
          <w:sz w:val="24"/>
          <w:highlight w:val="none"/>
        </w:rPr>
        <w:t>评价标准</w:t>
      </w:r>
    </w:p>
    <w:p>
      <w:pPr>
        <w:spacing w:line="360" w:lineRule="auto"/>
        <w:jc w:val="center"/>
        <w:rPr>
          <w:rFonts w:ascii="宋体" w:hAnsi="宋体"/>
          <w:color w:val="auto"/>
          <w:sz w:val="24"/>
          <w:highlight w:val="none"/>
        </w:rPr>
      </w:pPr>
      <w:r>
        <w:rPr>
          <w:rFonts w:hint="eastAsia" w:ascii="宋体" w:hAnsi="宋体"/>
          <w:bCs/>
          <w:color w:val="auto"/>
          <w:sz w:val="24"/>
          <w:highlight w:val="none"/>
        </w:rPr>
        <w:t>表6 学生成绩评价表</w:t>
      </w:r>
    </w:p>
    <w:tbl>
      <w:tblPr>
        <w:tblStyle w:val="14"/>
        <w:tblW w:w="8522"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065"/>
        <w:gridCol w:w="1065"/>
        <w:gridCol w:w="1065"/>
        <w:gridCol w:w="153"/>
        <w:gridCol w:w="912"/>
        <w:gridCol w:w="168"/>
        <w:gridCol w:w="897"/>
        <w:gridCol w:w="363"/>
        <w:gridCol w:w="702"/>
        <w:gridCol w:w="378"/>
        <w:gridCol w:w="688"/>
        <w:gridCol w:w="392"/>
        <w:gridCol w:w="674"/>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065" w:type="dxa"/>
            <w:noWrap/>
          </w:tcPr>
          <w:p>
            <w:pPr>
              <w:spacing w:line="360" w:lineRule="auto"/>
              <w:rPr>
                <w:rFonts w:ascii="宋体" w:hAnsi="宋体"/>
                <w:color w:val="auto"/>
                <w:szCs w:val="21"/>
                <w:highlight w:val="none"/>
              </w:rPr>
            </w:pPr>
            <w:r>
              <w:rPr>
                <w:rFonts w:hint="eastAsia" w:ascii="宋体" w:hAnsi="宋体"/>
                <w:color w:val="auto"/>
                <w:szCs w:val="21"/>
                <w:highlight w:val="none"/>
              </w:rPr>
              <w:t>学生姓名</w:t>
            </w:r>
          </w:p>
        </w:tc>
        <w:tc>
          <w:tcPr>
            <w:tcW w:w="1065" w:type="dxa"/>
            <w:noWrap/>
          </w:tcPr>
          <w:p>
            <w:pPr>
              <w:spacing w:line="360" w:lineRule="auto"/>
              <w:ind w:firstLine="420" w:firstLineChars="200"/>
              <w:rPr>
                <w:rFonts w:ascii="宋体" w:hAnsi="宋体"/>
                <w:color w:val="auto"/>
                <w:szCs w:val="21"/>
                <w:highlight w:val="none"/>
              </w:rPr>
            </w:pPr>
          </w:p>
        </w:tc>
        <w:tc>
          <w:tcPr>
            <w:tcW w:w="1065" w:type="dxa"/>
            <w:noWrap/>
          </w:tcPr>
          <w:p>
            <w:pPr>
              <w:spacing w:line="360" w:lineRule="auto"/>
              <w:rPr>
                <w:rFonts w:ascii="宋体" w:hAnsi="宋体"/>
                <w:color w:val="auto"/>
                <w:szCs w:val="21"/>
                <w:highlight w:val="none"/>
              </w:rPr>
            </w:pPr>
            <w:r>
              <w:rPr>
                <w:rFonts w:hint="eastAsia" w:ascii="宋体" w:hAnsi="宋体"/>
                <w:color w:val="auto"/>
                <w:szCs w:val="21"/>
                <w:highlight w:val="none"/>
              </w:rPr>
              <w:t>学号</w:t>
            </w:r>
          </w:p>
        </w:tc>
        <w:tc>
          <w:tcPr>
            <w:tcW w:w="1065" w:type="dxa"/>
            <w:gridSpan w:val="2"/>
            <w:noWrap/>
          </w:tcPr>
          <w:p>
            <w:pPr>
              <w:spacing w:line="360" w:lineRule="auto"/>
              <w:ind w:firstLine="420" w:firstLineChars="200"/>
              <w:rPr>
                <w:rFonts w:ascii="宋体" w:hAnsi="宋体"/>
                <w:color w:val="auto"/>
                <w:szCs w:val="21"/>
                <w:highlight w:val="none"/>
              </w:rPr>
            </w:pPr>
          </w:p>
        </w:tc>
        <w:tc>
          <w:tcPr>
            <w:tcW w:w="1065" w:type="dxa"/>
            <w:gridSpan w:val="2"/>
            <w:noWrap/>
          </w:tcPr>
          <w:p>
            <w:pPr>
              <w:spacing w:line="360" w:lineRule="auto"/>
              <w:rPr>
                <w:rFonts w:ascii="宋体" w:hAnsi="宋体"/>
                <w:color w:val="auto"/>
                <w:szCs w:val="21"/>
                <w:highlight w:val="none"/>
              </w:rPr>
            </w:pPr>
            <w:r>
              <w:rPr>
                <w:rFonts w:hint="eastAsia" w:ascii="宋体" w:hAnsi="宋体"/>
                <w:color w:val="auto"/>
                <w:szCs w:val="21"/>
                <w:highlight w:val="none"/>
              </w:rPr>
              <w:t>小组</w:t>
            </w:r>
          </w:p>
        </w:tc>
        <w:tc>
          <w:tcPr>
            <w:tcW w:w="1065" w:type="dxa"/>
            <w:gridSpan w:val="2"/>
            <w:noWrap/>
          </w:tcPr>
          <w:p>
            <w:pPr>
              <w:spacing w:line="360" w:lineRule="auto"/>
              <w:ind w:firstLine="420" w:firstLineChars="200"/>
              <w:rPr>
                <w:rFonts w:ascii="宋体" w:hAnsi="宋体"/>
                <w:color w:val="auto"/>
                <w:szCs w:val="21"/>
                <w:highlight w:val="none"/>
              </w:rPr>
            </w:pPr>
          </w:p>
        </w:tc>
        <w:tc>
          <w:tcPr>
            <w:tcW w:w="1066" w:type="dxa"/>
            <w:gridSpan w:val="2"/>
            <w:noWrap/>
          </w:tcPr>
          <w:p>
            <w:pPr>
              <w:spacing w:line="360" w:lineRule="auto"/>
              <w:rPr>
                <w:rFonts w:ascii="宋体" w:hAnsi="宋体"/>
                <w:color w:val="auto"/>
                <w:szCs w:val="21"/>
                <w:highlight w:val="none"/>
              </w:rPr>
            </w:pPr>
            <w:r>
              <w:rPr>
                <w:rFonts w:hint="eastAsia" w:ascii="宋体" w:hAnsi="宋体"/>
                <w:color w:val="auto"/>
                <w:szCs w:val="21"/>
                <w:highlight w:val="none"/>
              </w:rPr>
              <w:t>班级</w:t>
            </w:r>
          </w:p>
        </w:tc>
        <w:tc>
          <w:tcPr>
            <w:tcW w:w="1066" w:type="dxa"/>
            <w:gridSpan w:val="2"/>
            <w:noWrap/>
          </w:tcPr>
          <w:p>
            <w:pPr>
              <w:spacing w:line="360" w:lineRule="auto"/>
              <w:ind w:firstLine="420" w:firstLineChars="200"/>
              <w:rPr>
                <w:rFonts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8522" w:type="dxa"/>
            <w:gridSpan w:val="13"/>
            <w:noWrap/>
          </w:tcPr>
          <w:p>
            <w:pPr>
              <w:spacing w:line="360" w:lineRule="auto"/>
              <w:rPr>
                <w:rFonts w:ascii="宋体" w:hAnsi="宋体"/>
                <w:color w:val="auto"/>
                <w:szCs w:val="21"/>
                <w:highlight w:val="none"/>
              </w:rPr>
            </w:pPr>
            <w:r>
              <w:rPr>
                <w:rFonts w:hint="eastAsia" w:ascii="宋体" w:hAnsi="宋体"/>
                <w:color w:val="auto"/>
                <w:szCs w:val="21"/>
                <w:highlight w:val="none"/>
              </w:rPr>
              <w:t>工作任务评价（60%）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065" w:type="dxa"/>
            <w:noWrap/>
            <w:vAlign w:val="center"/>
          </w:tcPr>
          <w:p>
            <w:pPr>
              <w:spacing w:line="360" w:lineRule="auto"/>
              <w:rPr>
                <w:rFonts w:ascii="宋体" w:hAnsi="宋体"/>
                <w:color w:val="auto"/>
                <w:szCs w:val="21"/>
                <w:highlight w:val="none"/>
              </w:rPr>
            </w:pPr>
            <w:r>
              <w:rPr>
                <w:rFonts w:hint="eastAsia" w:ascii="宋体" w:hAnsi="宋体"/>
                <w:color w:val="auto"/>
                <w:szCs w:val="21"/>
                <w:highlight w:val="none"/>
              </w:rPr>
              <w:t>工作任务</w:t>
            </w:r>
          </w:p>
        </w:tc>
        <w:tc>
          <w:tcPr>
            <w:tcW w:w="1065" w:type="dxa"/>
            <w:noWrap/>
            <w:vAlign w:val="center"/>
          </w:tcPr>
          <w:p>
            <w:pPr>
              <w:spacing w:line="360" w:lineRule="auto"/>
              <w:rPr>
                <w:rFonts w:ascii="宋体" w:hAnsi="宋体"/>
                <w:color w:val="auto"/>
                <w:szCs w:val="21"/>
                <w:highlight w:val="none"/>
              </w:rPr>
            </w:pPr>
            <w:r>
              <w:rPr>
                <w:rFonts w:hint="eastAsia" w:ascii="宋体" w:hAnsi="宋体"/>
                <w:color w:val="auto"/>
                <w:szCs w:val="21"/>
                <w:highlight w:val="none"/>
              </w:rPr>
              <w:t>查阅资料</w:t>
            </w:r>
          </w:p>
          <w:p>
            <w:pPr>
              <w:spacing w:line="360" w:lineRule="auto"/>
              <w:rPr>
                <w:rFonts w:ascii="宋体" w:hAnsi="宋体"/>
                <w:color w:val="auto"/>
                <w:szCs w:val="21"/>
                <w:highlight w:val="none"/>
              </w:rPr>
            </w:pPr>
            <w:r>
              <w:rPr>
                <w:rFonts w:hint="eastAsia" w:ascii="宋体" w:hAnsi="宋体"/>
                <w:color w:val="auto"/>
                <w:szCs w:val="21"/>
                <w:highlight w:val="none"/>
              </w:rPr>
              <w:t>（10分）</w:t>
            </w:r>
          </w:p>
        </w:tc>
        <w:tc>
          <w:tcPr>
            <w:tcW w:w="1218" w:type="dxa"/>
            <w:gridSpan w:val="2"/>
            <w:noWrap/>
            <w:vAlign w:val="center"/>
          </w:tcPr>
          <w:p>
            <w:pPr>
              <w:spacing w:line="360" w:lineRule="auto"/>
              <w:rPr>
                <w:rFonts w:ascii="宋体" w:hAnsi="宋体"/>
                <w:color w:val="auto"/>
                <w:szCs w:val="21"/>
                <w:highlight w:val="none"/>
              </w:rPr>
            </w:pPr>
            <w:r>
              <w:rPr>
                <w:rFonts w:hint="eastAsia" w:ascii="宋体" w:hAnsi="宋体"/>
                <w:color w:val="auto"/>
                <w:szCs w:val="21"/>
                <w:highlight w:val="none"/>
              </w:rPr>
              <w:t>知识点</w:t>
            </w:r>
          </w:p>
          <w:p>
            <w:pPr>
              <w:spacing w:line="360" w:lineRule="auto"/>
              <w:rPr>
                <w:rFonts w:ascii="宋体" w:hAnsi="宋体"/>
                <w:color w:val="auto"/>
                <w:szCs w:val="21"/>
                <w:highlight w:val="none"/>
              </w:rPr>
            </w:pPr>
            <w:r>
              <w:rPr>
                <w:rFonts w:hint="eastAsia" w:ascii="宋体" w:hAnsi="宋体"/>
                <w:color w:val="auto"/>
                <w:szCs w:val="21"/>
                <w:highlight w:val="none"/>
              </w:rPr>
              <w:t>训练</w:t>
            </w:r>
          </w:p>
          <w:p>
            <w:pPr>
              <w:spacing w:line="360" w:lineRule="auto"/>
              <w:rPr>
                <w:rFonts w:ascii="宋体" w:hAnsi="宋体"/>
                <w:color w:val="auto"/>
                <w:szCs w:val="21"/>
                <w:highlight w:val="none"/>
              </w:rPr>
            </w:pPr>
            <w:r>
              <w:rPr>
                <w:rFonts w:hint="eastAsia" w:ascii="宋体" w:hAnsi="宋体"/>
                <w:color w:val="auto"/>
                <w:szCs w:val="21"/>
                <w:highlight w:val="none"/>
              </w:rPr>
              <w:t>（10分）</w:t>
            </w:r>
          </w:p>
        </w:tc>
        <w:tc>
          <w:tcPr>
            <w:tcW w:w="1080" w:type="dxa"/>
            <w:gridSpan w:val="2"/>
            <w:noWrap/>
            <w:vAlign w:val="center"/>
          </w:tcPr>
          <w:p>
            <w:pPr>
              <w:spacing w:line="360" w:lineRule="auto"/>
              <w:rPr>
                <w:rFonts w:ascii="宋体" w:hAnsi="宋体"/>
                <w:color w:val="auto"/>
                <w:szCs w:val="21"/>
                <w:highlight w:val="none"/>
              </w:rPr>
            </w:pPr>
            <w:r>
              <w:rPr>
                <w:rFonts w:hint="eastAsia" w:ascii="宋体" w:hAnsi="宋体"/>
                <w:color w:val="auto"/>
                <w:szCs w:val="21"/>
                <w:highlight w:val="none"/>
              </w:rPr>
              <w:t>计划</w:t>
            </w:r>
          </w:p>
          <w:p>
            <w:pPr>
              <w:spacing w:line="360" w:lineRule="auto"/>
              <w:rPr>
                <w:rFonts w:ascii="宋体" w:hAnsi="宋体"/>
                <w:color w:val="auto"/>
                <w:szCs w:val="21"/>
                <w:highlight w:val="none"/>
              </w:rPr>
            </w:pPr>
            <w:r>
              <w:rPr>
                <w:rFonts w:hint="eastAsia" w:ascii="宋体" w:hAnsi="宋体"/>
                <w:color w:val="auto"/>
                <w:szCs w:val="21"/>
                <w:highlight w:val="none"/>
              </w:rPr>
              <w:t>方案拟定</w:t>
            </w:r>
          </w:p>
          <w:p>
            <w:pPr>
              <w:spacing w:line="360" w:lineRule="auto"/>
              <w:rPr>
                <w:rFonts w:ascii="宋体" w:hAnsi="宋体"/>
                <w:color w:val="auto"/>
                <w:szCs w:val="21"/>
                <w:highlight w:val="none"/>
              </w:rPr>
            </w:pPr>
            <w:r>
              <w:rPr>
                <w:rFonts w:hint="eastAsia" w:ascii="宋体" w:hAnsi="宋体"/>
                <w:color w:val="auto"/>
                <w:szCs w:val="21"/>
                <w:highlight w:val="none"/>
              </w:rPr>
              <w:t>（10分）</w:t>
            </w:r>
          </w:p>
        </w:tc>
        <w:tc>
          <w:tcPr>
            <w:tcW w:w="1260" w:type="dxa"/>
            <w:gridSpan w:val="2"/>
            <w:noWrap/>
            <w:vAlign w:val="center"/>
          </w:tcPr>
          <w:p>
            <w:pPr>
              <w:spacing w:line="360" w:lineRule="auto"/>
              <w:rPr>
                <w:rFonts w:ascii="宋体" w:hAnsi="宋体"/>
                <w:color w:val="auto"/>
                <w:szCs w:val="21"/>
                <w:highlight w:val="none"/>
              </w:rPr>
            </w:pPr>
            <w:r>
              <w:rPr>
                <w:rFonts w:hint="eastAsia" w:ascii="宋体" w:hAnsi="宋体"/>
                <w:color w:val="auto"/>
                <w:szCs w:val="21"/>
                <w:highlight w:val="none"/>
              </w:rPr>
              <w:t>工作任务中承担的角色</w:t>
            </w:r>
          </w:p>
          <w:p>
            <w:pPr>
              <w:spacing w:line="360" w:lineRule="auto"/>
              <w:rPr>
                <w:rFonts w:ascii="宋体" w:hAnsi="宋体"/>
                <w:color w:val="auto"/>
                <w:szCs w:val="21"/>
                <w:highlight w:val="none"/>
              </w:rPr>
            </w:pPr>
            <w:r>
              <w:rPr>
                <w:rFonts w:hint="eastAsia" w:ascii="宋体" w:hAnsi="宋体"/>
                <w:color w:val="auto"/>
                <w:szCs w:val="21"/>
                <w:highlight w:val="none"/>
              </w:rPr>
              <w:t>（10分）</w:t>
            </w:r>
          </w:p>
        </w:tc>
        <w:tc>
          <w:tcPr>
            <w:tcW w:w="1080" w:type="dxa"/>
            <w:gridSpan w:val="2"/>
            <w:noWrap/>
            <w:vAlign w:val="center"/>
          </w:tcPr>
          <w:p>
            <w:pPr>
              <w:spacing w:line="360" w:lineRule="auto"/>
              <w:rPr>
                <w:rFonts w:ascii="宋体" w:hAnsi="宋体"/>
                <w:color w:val="auto"/>
                <w:szCs w:val="21"/>
                <w:highlight w:val="none"/>
              </w:rPr>
            </w:pPr>
            <w:r>
              <w:rPr>
                <w:rFonts w:hint="eastAsia" w:ascii="宋体" w:hAnsi="宋体"/>
                <w:color w:val="auto"/>
                <w:szCs w:val="21"/>
                <w:highlight w:val="none"/>
              </w:rPr>
              <w:t>任务成果</w:t>
            </w:r>
          </w:p>
          <w:p>
            <w:pPr>
              <w:spacing w:line="360" w:lineRule="auto"/>
              <w:rPr>
                <w:rFonts w:ascii="宋体" w:hAnsi="宋体"/>
                <w:color w:val="auto"/>
                <w:szCs w:val="21"/>
                <w:highlight w:val="none"/>
              </w:rPr>
            </w:pPr>
            <w:r>
              <w:rPr>
                <w:rFonts w:hint="eastAsia" w:ascii="宋体" w:hAnsi="宋体"/>
                <w:color w:val="auto"/>
                <w:szCs w:val="21"/>
                <w:highlight w:val="none"/>
              </w:rPr>
              <w:t>（60分）</w:t>
            </w:r>
          </w:p>
        </w:tc>
        <w:tc>
          <w:tcPr>
            <w:tcW w:w="1080" w:type="dxa"/>
            <w:gridSpan w:val="2"/>
            <w:noWrap/>
            <w:vAlign w:val="center"/>
          </w:tcPr>
          <w:p>
            <w:pPr>
              <w:spacing w:line="360" w:lineRule="auto"/>
              <w:rPr>
                <w:rFonts w:ascii="宋体" w:hAnsi="宋体"/>
                <w:color w:val="auto"/>
                <w:szCs w:val="21"/>
                <w:highlight w:val="none"/>
              </w:rPr>
            </w:pPr>
            <w:r>
              <w:rPr>
                <w:rFonts w:hint="eastAsia" w:ascii="宋体" w:hAnsi="宋体"/>
                <w:color w:val="auto"/>
                <w:szCs w:val="21"/>
                <w:highlight w:val="none"/>
              </w:rPr>
              <w:t>评价人</w:t>
            </w:r>
          </w:p>
        </w:tc>
        <w:tc>
          <w:tcPr>
            <w:tcW w:w="674" w:type="dxa"/>
            <w:noWrap/>
            <w:vAlign w:val="center"/>
          </w:tcPr>
          <w:p>
            <w:pPr>
              <w:spacing w:line="360" w:lineRule="auto"/>
              <w:rPr>
                <w:rFonts w:ascii="宋体" w:hAnsi="宋体"/>
                <w:color w:val="auto"/>
                <w:szCs w:val="21"/>
                <w:highlight w:val="none"/>
              </w:rPr>
            </w:pPr>
            <w:r>
              <w:rPr>
                <w:rFonts w:hint="eastAsia" w:ascii="宋体" w:hAnsi="宋体"/>
                <w:color w:val="auto"/>
                <w:szCs w:val="21"/>
                <w:highlight w:val="none"/>
              </w:rPr>
              <w:t>得分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065" w:type="dxa"/>
            <w:noWrap/>
            <w:vAlign w:val="center"/>
          </w:tcPr>
          <w:p>
            <w:pPr>
              <w:spacing w:line="360" w:lineRule="auto"/>
              <w:rPr>
                <w:rFonts w:ascii="宋体" w:hAnsi="宋体"/>
                <w:color w:val="auto"/>
                <w:szCs w:val="21"/>
                <w:highlight w:val="none"/>
              </w:rPr>
            </w:pPr>
            <w:r>
              <w:rPr>
                <w:rFonts w:hint="eastAsia" w:ascii="宋体" w:hAnsi="宋体"/>
                <w:color w:val="auto"/>
                <w:szCs w:val="21"/>
                <w:highlight w:val="none"/>
              </w:rPr>
              <w:t>任务1</w:t>
            </w:r>
          </w:p>
        </w:tc>
        <w:tc>
          <w:tcPr>
            <w:tcW w:w="1065" w:type="dxa"/>
            <w:noWrap/>
            <w:vAlign w:val="center"/>
          </w:tcPr>
          <w:p>
            <w:pPr>
              <w:spacing w:line="360" w:lineRule="auto"/>
              <w:ind w:firstLine="420" w:firstLineChars="200"/>
              <w:rPr>
                <w:rFonts w:ascii="宋体" w:hAnsi="宋体"/>
                <w:color w:val="auto"/>
                <w:szCs w:val="21"/>
                <w:highlight w:val="none"/>
              </w:rPr>
            </w:pPr>
          </w:p>
        </w:tc>
        <w:tc>
          <w:tcPr>
            <w:tcW w:w="1218" w:type="dxa"/>
            <w:gridSpan w:val="2"/>
            <w:noWrap/>
            <w:vAlign w:val="center"/>
          </w:tcPr>
          <w:p>
            <w:pPr>
              <w:spacing w:line="360" w:lineRule="auto"/>
              <w:ind w:firstLine="420" w:firstLineChars="200"/>
              <w:rPr>
                <w:rFonts w:ascii="宋体" w:hAnsi="宋体"/>
                <w:color w:val="auto"/>
                <w:szCs w:val="21"/>
                <w:highlight w:val="none"/>
              </w:rPr>
            </w:pPr>
          </w:p>
        </w:tc>
        <w:tc>
          <w:tcPr>
            <w:tcW w:w="1080" w:type="dxa"/>
            <w:gridSpan w:val="2"/>
            <w:noWrap/>
            <w:vAlign w:val="center"/>
          </w:tcPr>
          <w:p>
            <w:pPr>
              <w:spacing w:line="360" w:lineRule="auto"/>
              <w:ind w:firstLine="420" w:firstLineChars="200"/>
              <w:rPr>
                <w:rFonts w:ascii="宋体" w:hAnsi="宋体"/>
                <w:color w:val="auto"/>
                <w:szCs w:val="21"/>
                <w:highlight w:val="none"/>
              </w:rPr>
            </w:pPr>
          </w:p>
        </w:tc>
        <w:tc>
          <w:tcPr>
            <w:tcW w:w="1260" w:type="dxa"/>
            <w:gridSpan w:val="2"/>
            <w:noWrap/>
            <w:vAlign w:val="center"/>
          </w:tcPr>
          <w:p>
            <w:pPr>
              <w:spacing w:line="360" w:lineRule="auto"/>
              <w:ind w:firstLine="420" w:firstLineChars="200"/>
              <w:rPr>
                <w:rFonts w:ascii="宋体" w:hAnsi="宋体"/>
                <w:color w:val="auto"/>
                <w:szCs w:val="21"/>
                <w:highlight w:val="none"/>
              </w:rPr>
            </w:pPr>
          </w:p>
        </w:tc>
        <w:tc>
          <w:tcPr>
            <w:tcW w:w="1080" w:type="dxa"/>
            <w:gridSpan w:val="2"/>
            <w:noWrap/>
            <w:vAlign w:val="center"/>
          </w:tcPr>
          <w:p>
            <w:pPr>
              <w:spacing w:line="360" w:lineRule="auto"/>
              <w:ind w:firstLine="420" w:firstLineChars="200"/>
              <w:rPr>
                <w:rFonts w:ascii="宋体" w:hAnsi="宋体"/>
                <w:color w:val="auto"/>
                <w:szCs w:val="21"/>
                <w:highlight w:val="none"/>
              </w:rPr>
            </w:pPr>
          </w:p>
        </w:tc>
        <w:tc>
          <w:tcPr>
            <w:tcW w:w="1080" w:type="dxa"/>
            <w:gridSpan w:val="2"/>
            <w:noWrap/>
            <w:vAlign w:val="center"/>
          </w:tcPr>
          <w:p>
            <w:pPr>
              <w:spacing w:line="360" w:lineRule="auto"/>
              <w:ind w:firstLine="420" w:firstLineChars="200"/>
              <w:rPr>
                <w:rFonts w:ascii="宋体" w:hAnsi="宋体"/>
                <w:color w:val="auto"/>
                <w:szCs w:val="21"/>
                <w:highlight w:val="none"/>
              </w:rPr>
            </w:pPr>
          </w:p>
        </w:tc>
        <w:tc>
          <w:tcPr>
            <w:tcW w:w="674" w:type="dxa"/>
            <w:noWrap/>
            <w:vAlign w:val="center"/>
          </w:tcPr>
          <w:p>
            <w:pPr>
              <w:spacing w:line="360" w:lineRule="auto"/>
              <w:ind w:firstLine="420" w:firstLineChars="200"/>
              <w:rPr>
                <w:rFonts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065" w:type="dxa"/>
            <w:noWrap/>
            <w:vAlign w:val="center"/>
          </w:tcPr>
          <w:p>
            <w:pPr>
              <w:spacing w:line="360" w:lineRule="auto"/>
              <w:rPr>
                <w:rFonts w:ascii="宋体" w:hAnsi="宋体"/>
                <w:color w:val="auto"/>
                <w:szCs w:val="21"/>
                <w:highlight w:val="none"/>
              </w:rPr>
            </w:pPr>
            <w:r>
              <w:rPr>
                <w:rFonts w:hint="eastAsia" w:ascii="宋体" w:hAnsi="宋体"/>
                <w:color w:val="auto"/>
                <w:szCs w:val="21"/>
                <w:highlight w:val="none"/>
              </w:rPr>
              <w:t>任务2</w:t>
            </w:r>
          </w:p>
        </w:tc>
        <w:tc>
          <w:tcPr>
            <w:tcW w:w="1065" w:type="dxa"/>
            <w:noWrap/>
            <w:vAlign w:val="center"/>
          </w:tcPr>
          <w:p>
            <w:pPr>
              <w:spacing w:line="360" w:lineRule="auto"/>
              <w:ind w:firstLine="420" w:firstLineChars="200"/>
              <w:rPr>
                <w:rFonts w:ascii="宋体" w:hAnsi="宋体"/>
                <w:color w:val="auto"/>
                <w:szCs w:val="21"/>
                <w:highlight w:val="none"/>
              </w:rPr>
            </w:pPr>
          </w:p>
        </w:tc>
        <w:tc>
          <w:tcPr>
            <w:tcW w:w="1218" w:type="dxa"/>
            <w:gridSpan w:val="2"/>
            <w:noWrap/>
            <w:vAlign w:val="center"/>
          </w:tcPr>
          <w:p>
            <w:pPr>
              <w:spacing w:line="360" w:lineRule="auto"/>
              <w:ind w:firstLine="420" w:firstLineChars="200"/>
              <w:rPr>
                <w:rFonts w:ascii="宋体" w:hAnsi="宋体"/>
                <w:color w:val="auto"/>
                <w:szCs w:val="21"/>
                <w:highlight w:val="none"/>
              </w:rPr>
            </w:pPr>
          </w:p>
        </w:tc>
        <w:tc>
          <w:tcPr>
            <w:tcW w:w="1080" w:type="dxa"/>
            <w:gridSpan w:val="2"/>
            <w:noWrap/>
            <w:vAlign w:val="center"/>
          </w:tcPr>
          <w:p>
            <w:pPr>
              <w:spacing w:line="360" w:lineRule="auto"/>
              <w:ind w:firstLine="420" w:firstLineChars="200"/>
              <w:rPr>
                <w:rFonts w:ascii="宋体" w:hAnsi="宋体"/>
                <w:color w:val="auto"/>
                <w:szCs w:val="21"/>
                <w:highlight w:val="none"/>
              </w:rPr>
            </w:pPr>
          </w:p>
        </w:tc>
        <w:tc>
          <w:tcPr>
            <w:tcW w:w="1260" w:type="dxa"/>
            <w:gridSpan w:val="2"/>
            <w:noWrap/>
            <w:vAlign w:val="center"/>
          </w:tcPr>
          <w:p>
            <w:pPr>
              <w:spacing w:line="360" w:lineRule="auto"/>
              <w:ind w:firstLine="420" w:firstLineChars="200"/>
              <w:rPr>
                <w:rFonts w:ascii="宋体" w:hAnsi="宋体"/>
                <w:color w:val="auto"/>
                <w:szCs w:val="21"/>
                <w:highlight w:val="none"/>
              </w:rPr>
            </w:pPr>
          </w:p>
        </w:tc>
        <w:tc>
          <w:tcPr>
            <w:tcW w:w="1080" w:type="dxa"/>
            <w:gridSpan w:val="2"/>
            <w:noWrap/>
            <w:vAlign w:val="center"/>
          </w:tcPr>
          <w:p>
            <w:pPr>
              <w:spacing w:line="360" w:lineRule="auto"/>
              <w:ind w:firstLine="420" w:firstLineChars="200"/>
              <w:rPr>
                <w:rFonts w:ascii="宋体" w:hAnsi="宋体"/>
                <w:color w:val="auto"/>
                <w:szCs w:val="21"/>
                <w:highlight w:val="none"/>
              </w:rPr>
            </w:pPr>
          </w:p>
        </w:tc>
        <w:tc>
          <w:tcPr>
            <w:tcW w:w="1080" w:type="dxa"/>
            <w:gridSpan w:val="2"/>
            <w:noWrap/>
            <w:vAlign w:val="center"/>
          </w:tcPr>
          <w:p>
            <w:pPr>
              <w:spacing w:line="360" w:lineRule="auto"/>
              <w:ind w:firstLine="420" w:firstLineChars="200"/>
              <w:rPr>
                <w:rFonts w:ascii="宋体" w:hAnsi="宋体"/>
                <w:color w:val="auto"/>
                <w:szCs w:val="21"/>
                <w:highlight w:val="none"/>
              </w:rPr>
            </w:pPr>
          </w:p>
        </w:tc>
        <w:tc>
          <w:tcPr>
            <w:tcW w:w="674" w:type="dxa"/>
            <w:noWrap/>
            <w:vAlign w:val="center"/>
          </w:tcPr>
          <w:p>
            <w:pPr>
              <w:spacing w:line="360" w:lineRule="auto"/>
              <w:ind w:firstLine="420" w:firstLineChars="200"/>
              <w:rPr>
                <w:rFonts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065" w:type="dxa"/>
            <w:noWrap/>
            <w:vAlign w:val="center"/>
          </w:tcPr>
          <w:p>
            <w:pPr>
              <w:spacing w:line="360" w:lineRule="auto"/>
              <w:rPr>
                <w:rFonts w:ascii="宋体" w:hAnsi="宋体"/>
                <w:color w:val="auto"/>
                <w:szCs w:val="21"/>
                <w:highlight w:val="none"/>
              </w:rPr>
            </w:pPr>
            <w:r>
              <w:rPr>
                <w:rFonts w:hint="eastAsia" w:ascii="宋体" w:hAnsi="宋体"/>
                <w:color w:val="auto"/>
                <w:szCs w:val="21"/>
                <w:highlight w:val="none"/>
              </w:rPr>
              <w:t>任务3</w:t>
            </w:r>
          </w:p>
        </w:tc>
        <w:tc>
          <w:tcPr>
            <w:tcW w:w="1065" w:type="dxa"/>
            <w:noWrap/>
            <w:vAlign w:val="center"/>
          </w:tcPr>
          <w:p>
            <w:pPr>
              <w:spacing w:line="360" w:lineRule="auto"/>
              <w:ind w:firstLine="420" w:firstLineChars="200"/>
              <w:rPr>
                <w:rFonts w:ascii="宋体" w:hAnsi="宋体"/>
                <w:color w:val="auto"/>
                <w:szCs w:val="21"/>
                <w:highlight w:val="none"/>
              </w:rPr>
            </w:pPr>
          </w:p>
        </w:tc>
        <w:tc>
          <w:tcPr>
            <w:tcW w:w="1218" w:type="dxa"/>
            <w:gridSpan w:val="2"/>
            <w:noWrap/>
            <w:vAlign w:val="center"/>
          </w:tcPr>
          <w:p>
            <w:pPr>
              <w:spacing w:line="360" w:lineRule="auto"/>
              <w:ind w:firstLine="420" w:firstLineChars="200"/>
              <w:rPr>
                <w:rFonts w:ascii="宋体" w:hAnsi="宋体"/>
                <w:color w:val="auto"/>
                <w:szCs w:val="21"/>
                <w:highlight w:val="none"/>
              </w:rPr>
            </w:pPr>
          </w:p>
        </w:tc>
        <w:tc>
          <w:tcPr>
            <w:tcW w:w="1080" w:type="dxa"/>
            <w:gridSpan w:val="2"/>
            <w:noWrap/>
            <w:vAlign w:val="center"/>
          </w:tcPr>
          <w:p>
            <w:pPr>
              <w:spacing w:line="360" w:lineRule="auto"/>
              <w:ind w:firstLine="420" w:firstLineChars="200"/>
              <w:rPr>
                <w:rFonts w:ascii="宋体" w:hAnsi="宋体"/>
                <w:color w:val="auto"/>
                <w:szCs w:val="21"/>
                <w:highlight w:val="none"/>
              </w:rPr>
            </w:pPr>
          </w:p>
        </w:tc>
        <w:tc>
          <w:tcPr>
            <w:tcW w:w="1260" w:type="dxa"/>
            <w:gridSpan w:val="2"/>
            <w:noWrap/>
            <w:vAlign w:val="center"/>
          </w:tcPr>
          <w:p>
            <w:pPr>
              <w:spacing w:line="360" w:lineRule="auto"/>
              <w:ind w:firstLine="420" w:firstLineChars="200"/>
              <w:rPr>
                <w:rFonts w:ascii="宋体" w:hAnsi="宋体"/>
                <w:color w:val="auto"/>
                <w:szCs w:val="21"/>
                <w:highlight w:val="none"/>
              </w:rPr>
            </w:pPr>
          </w:p>
        </w:tc>
        <w:tc>
          <w:tcPr>
            <w:tcW w:w="1080" w:type="dxa"/>
            <w:gridSpan w:val="2"/>
            <w:noWrap/>
            <w:vAlign w:val="center"/>
          </w:tcPr>
          <w:p>
            <w:pPr>
              <w:spacing w:line="360" w:lineRule="auto"/>
              <w:ind w:firstLine="420" w:firstLineChars="200"/>
              <w:rPr>
                <w:rFonts w:ascii="宋体" w:hAnsi="宋体"/>
                <w:color w:val="auto"/>
                <w:szCs w:val="21"/>
                <w:highlight w:val="none"/>
              </w:rPr>
            </w:pPr>
          </w:p>
        </w:tc>
        <w:tc>
          <w:tcPr>
            <w:tcW w:w="1080" w:type="dxa"/>
            <w:gridSpan w:val="2"/>
            <w:noWrap/>
            <w:vAlign w:val="center"/>
          </w:tcPr>
          <w:p>
            <w:pPr>
              <w:spacing w:line="360" w:lineRule="auto"/>
              <w:ind w:firstLine="420" w:firstLineChars="200"/>
              <w:rPr>
                <w:rFonts w:ascii="宋体" w:hAnsi="宋体"/>
                <w:color w:val="auto"/>
                <w:szCs w:val="21"/>
                <w:highlight w:val="none"/>
              </w:rPr>
            </w:pPr>
          </w:p>
        </w:tc>
        <w:tc>
          <w:tcPr>
            <w:tcW w:w="674" w:type="dxa"/>
            <w:noWrap/>
            <w:vAlign w:val="center"/>
          </w:tcPr>
          <w:p>
            <w:pPr>
              <w:spacing w:line="360" w:lineRule="auto"/>
              <w:ind w:firstLine="420" w:firstLineChars="200"/>
              <w:rPr>
                <w:rFonts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065" w:type="dxa"/>
            <w:noWrap/>
            <w:vAlign w:val="center"/>
          </w:tcPr>
          <w:p>
            <w:pPr>
              <w:spacing w:line="360" w:lineRule="auto"/>
              <w:rPr>
                <w:rFonts w:ascii="宋体" w:hAnsi="宋体"/>
                <w:color w:val="auto"/>
                <w:szCs w:val="21"/>
                <w:highlight w:val="none"/>
              </w:rPr>
            </w:pPr>
            <w:r>
              <w:rPr>
                <w:rFonts w:hint="eastAsia" w:ascii="宋体" w:hAnsi="宋体"/>
                <w:color w:val="auto"/>
                <w:szCs w:val="21"/>
                <w:highlight w:val="none"/>
              </w:rPr>
              <w:t>任务4</w:t>
            </w:r>
          </w:p>
        </w:tc>
        <w:tc>
          <w:tcPr>
            <w:tcW w:w="1065" w:type="dxa"/>
            <w:noWrap/>
            <w:vAlign w:val="center"/>
          </w:tcPr>
          <w:p>
            <w:pPr>
              <w:spacing w:line="360" w:lineRule="auto"/>
              <w:ind w:firstLine="420" w:firstLineChars="200"/>
              <w:rPr>
                <w:rFonts w:ascii="宋体" w:hAnsi="宋体"/>
                <w:color w:val="auto"/>
                <w:szCs w:val="21"/>
                <w:highlight w:val="none"/>
              </w:rPr>
            </w:pPr>
          </w:p>
        </w:tc>
        <w:tc>
          <w:tcPr>
            <w:tcW w:w="1218" w:type="dxa"/>
            <w:gridSpan w:val="2"/>
            <w:noWrap/>
            <w:vAlign w:val="center"/>
          </w:tcPr>
          <w:p>
            <w:pPr>
              <w:spacing w:line="360" w:lineRule="auto"/>
              <w:ind w:firstLine="420" w:firstLineChars="200"/>
              <w:rPr>
                <w:rFonts w:ascii="宋体" w:hAnsi="宋体"/>
                <w:color w:val="auto"/>
                <w:szCs w:val="21"/>
                <w:highlight w:val="none"/>
              </w:rPr>
            </w:pPr>
          </w:p>
        </w:tc>
        <w:tc>
          <w:tcPr>
            <w:tcW w:w="1080" w:type="dxa"/>
            <w:gridSpan w:val="2"/>
            <w:noWrap/>
            <w:vAlign w:val="center"/>
          </w:tcPr>
          <w:p>
            <w:pPr>
              <w:spacing w:line="360" w:lineRule="auto"/>
              <w:ind w:firstLine="420" w:firstLineChars="200"/>
              <w:rPr>
                <w:rFonts w:ascii="宋体" w:hAnsi="宋体"/>
                <w:color w:val="auto"/>
                <w:szCs w:val="21"/>
                <w:highlight w:val="none"/>
              </w:rPr>
            </w:pPr>
          </w:p>
        </w:tc>
        <w:tc>
          <w:tcPr>
            <w:tcW w:w="1260" w:type="dxa"/>
            <w:gridSpan w:val="2"/>
            <w:noWrap/>
            <w:vAlign w:val="center"/>
          </w:tcPr>
          <w:p>
            <w:pPr>
              <w:spacing w:line="360" w:lineRule="auto"/>
              <w:ind w:firstLine="420" w:firstLineChars="200"/>
              <w:rPr>
                <w:rFonts w:ascii="宋体" w:hAnsi="宋体"/>
                <w:color w:val="auto"/>
                <w:szCs w:val="21"/>
                <w:highlight w:val="none"/>
              </w:rPr>
            </w:pPr>
          </w:p>
        </w:tc>
        <w:tc>
          <w:tcPr>
            <w:tcW w:w="1080" w:type="dxa"/>
            <w:gridSpan w:val="2"/>
            <w:noWrap/>
            <w:vAlign w:val="center"/>
          </w:tcPr>
          <w:p>
            <w:pPr>
              <w:spacing w:line="360" w:lineRule="auto"/>
              <w:ind w:firstLine="420" w:firstLineChars="200"/>
              <w:rPr>
                <w:rFonts w:ascii="宋体" w:hAnsi="宋体"/>
                <w:color w:val="auto"/>
                <w:szCs w:val="21"/>
                <w:highlight w:val="none"/>
              </w:rPr>
            </w:pPr>
          </w:p>
        </w:tc>
        <w:tc>
          <w:tcPr>
            <w:tcW w:w="1080" w:type="dxa"/>
            <w:gridSpan w:val="2"/>
            <w:noWrap/>
            <w:vAlign w:val="center"/>
          </w:tcPr>
          <w:p>
            <w:pPr>
              <w:spacing w:line="360" w:lineRule="auto"/>
              <w:ind w:firstLine="420" w:firstLineChars="200"/>
              <w:rPr>
                <w:rFonts w:ascii="宋体" w:hAnsi="宋体"/>
                <w:color w:val="auto"/>
                <w:szCs w:val="21"/>
                <w:highlight w:val="none"/>
              </w:rPr>
            </w:pPr>
          </w:p>
        </w:tc>
        <w:tc>
          <w:tcPr>
            <w:tcW w:w="674" w:type="dxa"/>
            <w:noWrap/>
            <w:vAlign w:val="center"/>
          </w:tcPr>
          <w:p>
            <w:pPr>
              <w:spacing w:line="360" w:lineRule="auto"/>
              <w:ind w:firstLine="420" w:firstLineChars="200"/>
              <w:rPr>
                <w:rFonts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065" w:type="dxa"/>
            <w:noWrap/>
            <w:vAlign w:val="center"/>
          </w:tcPr>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w:t>
            </w:r>
          </w:p>
        </w:tc>
        <w:tc>
          <w:tcPr>
            <w:tcW w:w="1065" w:type="dxa"/>
            <w:noWrap/>
            <w:vAlign w:val="center"/>
          </w:tcPr>
          <w:p>
            <w:pPr>
              <w:spacing w:line="360" w:lineRule="auto"/>
              <w:ind w:firstLine="420" w:firstLineChars="200"/>
              <w:rPr>
                <w:rFonts w:ascii="宋体" w:hAnsi="宋体"/>
                <w:color w:val="auto"/>
                <w:szCs w:val="21"/>
                <w:highlight w:val="none"/>
              </w:rPr>
            </w:pPr>
          </w:p>
        </w:tc>
        <w:tc>
          <w:tcPr>
            <w:tcW w:w="1218" w:type="dxa"/>
            <w:gridSpan w:val="2"/>
            <w:noWrap/>
            <w:vAlign w:val="center"/>
          </w:tcPr>
          <w:p>
            <w:pPr>
              <w:spacing w:line="360" w:lineRule="auto"/>
              <w:ind w:firstLine="420" w:firstLineChars="200"/>
              <w:rPr>
                <w:rFonts w:ascii="宋体" w:hAnsi="宋体"/>
                <w:color w:val="auto"/>
                <w:szCs w:val="21"/>
                <w:highlight w:val="none"/>
              </w:rPr>
            </w:pPr>
          </w:p>
        </w:tc>
        <w:tc>
          <w:tcPr>
            <w:tcW w:w="1080" w:type="dxa"/>
            <w:gridSpan w:val="2"/>
            <w:noWrap/>
            <w:vAlign w:val="center"/>
          </w:tcPr>
          <w:p>
            <w:pPr>
              <w:spacing w:line="360" w:lineRule="auto"/>
              <w:ind w:firstLine="420" w:firstLineChars="200"/>
              <w:rPr>
                <w:rFonts w:ascii="宋体" w:hAnsi="宋体"/>
                <w:color w:val="auto"/>
                <w:szCs w:val="21"/>
                <w:highlight w:val="none"/>
              </w:rPr>
            </w:pPr>
          </w:p>
        </w:tc>
        <w:tc>
          <w:tcPr>
            <w:tcW w:w="1260" w:type="dxa"/>
            <w:gridSpan w:val="2"/>
            <w:noWrap/>
            <w:vAlign w:val="center"/>
          </w:tcPr>
          <w:p>
            <w:pPr>
              <w:spacing w:line="360" w:lineRule="auto"/>
              <w:ind w:firstLine="420" w:firstLineChars="200"/>
              <w:rPr>
                <w:rFonts w:ascii="宋体" w:hAnsi="宋体"/>
                <w:color w:val="auto"/>
                <w:szCs w:val="21"/>
                <w:highlight w:val="none"/>
              </w:rPr>
            </w:pPr>
          </w:p>
        </w:tc>
        <w:tc>
          <w:tcPr>
            <w:tcW w:w="1080" w:type="dxa"/>
            <w:gridSpan w:val="2"/>
            <w:noWrap/>
            <w:vAlign w:val="center"/>
          </w:tcPr>
          <w:p>
            <w:pPr>
              <w:spacing w:line="360" w:lineRule="auto"/>
              <w:ind w:firstLine="420" w:firstLineChars="200"/>
              <w:rPr>
                <w:rFonts w:ascii="宋体" w:hAnsi="宋体"/>
                <w:color w:val="auto"/>
                <w:szCs w:val="21"/>
                <w:highlight w:val="none"/>
              </w:rPr>
            </w:pPr>
          </w:p>
        </w:tc>
        <w:tc>
          <w:tcPr>
            <w:tcW w:w="1080" w:type="dxa"/>
            <w:gridSpan w:val="2"/>
            <w:noWrap/>
            <w:vAlign w:val="center"/>
          </w:tcPr>
          <w:p>
            <w:pPr>
              <w:spacing w:line="360" w:lineRule="auto"/>
              <w:ind w:firstLine="420" w:firstLineChars="200"/>
              <w:rPr>
                <w:rFonts w:ascii="宋体" w:hAnsi="宋体"/>
                <w:color w:val="auto"/>
                <w:szCs w:val="21"/>
                <w:highlight w:val="none"/>
              </w:rPr>
            </w:pPr>
          </w:p>
        </w:tc>
        <w:tc>
          <w:tcPr>
            <w:tcW w:w="674" w:type="dxa"/>
            <w:noWrap/>
            <w:vAlign w:val="center"/>
          </w:tcPr>
          <w:p>
            <w:pPr>
              <w:spacing w:line="360" w:lineRule="auto"/>
              <w:ind w:firstLine="420" w:firstLineChars="200"/>
              <w:rPr>
                <w:rFonts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065" w:type="dxa"/>
            <w:tcBorders>
              <w:bottom w:val="single" w:color="auto" w:sz="2" w:space="0"/>
            </w:tcBorders>
            <w:noWrap/>
            <w:vAlign w:val="center"/>
          </w:tcPr>
          <w:p>
            <w:pPr>
              <w:spacing w:line="360" w:lineRule="auto"/>
              <w:rPr>
                <w:rFonts w:ascii="宋体" w:hAnsi="宋体"/>
                <w:color w:val="auto"/>
                <w:szCs w:val="21"/>
                <w:highlight w:val="none"/>
              </w:rPr>
            </w:pPr>
            <w:r>
              <w:rPr>
                <w:rFonts w:hint="eastAsia" w:ascii="宋体" w:hAnsi="宋体"/>
                <w:color w:val="auto"/>
                <w:szCs w:val="21"/>
                <w:highlight w:val="none"/>
              </w:rPr>
              <w:t>任务18</w:t>
            </w:r>
          </w:p>
        </w:tc>
        <w:tc>
          <w:tcPr>
            <w:tcW w:w="1065" w:type="dxa"/>
            <w:tcBorders>
              <w:bottom w:val="single" w:color="auto" w:sz="2" w:space="0"/>
            </w:tcBorders>
            <w:noWrap/>
            <w:vAlign w:val="center"/>
          </w:tcPr>
          <w:p>
            <w:pPr>
              <w:spacing w:line="360" w:lineRule="auto"/>
              <w:ind w:firstLine="420" w:firstLineChars="200"/>
              <w:rPr>
                <w:rFonts w:ascii="宋体" w:hAnsi="宋体"/>
                <w:color w:val="auto"/>
                <w:szCs w:val="21"/>
                <w:highlight w:val="none"/>
              </w:rPr>
            </w:pPr>
          </w:p>
        </w:tc>
        <w:tc>
          <w:tcPr>
            <w:tcW w:w="1218" w:type="dxa"/>
            <w:gridSpan w:val="2"/>
            <w:tcBorders>
              <w:bottom w:val="single" w:color="auto" w:sz="2" w:space="0"/>
            </w:tcBorders>
            <w:noWrap/>
            <w:vAlign w:val="center"/>
          </w:tcPr>
          <w:p>
            <w:pPr>
              <w:spacing w:line="360" w:lineRule="auto"/>
              <w:ind w:firstLine="420" w:firstLineChars="200"/>
              <w:rPr>
                <w:rFonts w:ascii="宋体" w:hAnsi="宋体"/>
                <w:color w:val="auto"/>
                <w:szCs w:val="21"/>
                <w:highlight w:val="none"/>
              </w:rPr>
            </w:pPr>
          </w:p>
        </w:tc>
        <w:tc>
          <w:tcPr>
            <w:tcW w:w="1080" w:type="dxa"/>
            <w:gridSpan w:val="2"/>
            <w:tcBorders>
              <w:bottom w:val="single" w:color="auto" w:sz="2" w:space="0"/>
            </w:tcBorders>
            <w:noWrap/>
            <w:vAlign w:val="center"/>
          </w:tcPr>
          <w:p>
            <w:pPr>
              <w:spacing w:line="360" w:lineRule="auto"/>
              <w:ind w:firstLine="420" w:firstLineChars="200"/>
              <w:rPr>
                <w:rFonts w:ascii="宋体" w:hAnsi="宋体"/>
                <w:color w:val="auto"/>
                <w:szCs w:val="21"/>
                <w:highlight w:val="none"/>
              </w:rPr>
            </w:pPr>
          </w:p>
        </w:tc>
        <w:tc>
          <w:tcPr>
            <w:tcW w:w="1260" w:type="dxa"/>
            <w:gridSpan w:val="2"/>
            <w:tcBorders>
              <w:bottom w:val="single" w:color="auto" w:sz="2" w:space="0"/>
            </w:tcBorders>
            <w:noWrap/>
            <w:vAlign w:val="center"/>
          </w:tcPr>
          <w:p>
            <w:pPr>
              <w:spacing w:line="360" w:lineRule="auto"/>
              <w:ind w:firstLine="420" w:firstLineChars="200"/>
              <w:rPr>
                <w:rFonts w:ascii="宋体" w:hAnsi="宋体"/>
                <w:color w:val="auto"/>
                <w:szCs w:val="21"/>
                <w:highlight w:val="none"/>
              </w:rPr>
            </w:pPr>
          </w:p>
        </w:tc>
        <w:tc>
          <w:tcPr>
            <w:tcW w:w="1080" w:type="dxa"/>
            <w:gridSpan w:val="2"/>
            <w:tcBorders>
              <w:bottom w:val="single" w:color="auto" w:sz="2" w:space="0"/>
            </w:tcBorders>
            <w:noWrap/>
            <w:vAlign w:val="center"/>
          </w:tcPr>
          <w:p>
            <w:pPr>
              <w:spacing w:line="360" w:lineRule="auto"/>
              <w:ind w:firstLine="420" w:firstLineChars="200"/>
              <w:rPr>
                <w:rFonts w:ascii="宋体" w:hAnsi="宋体"/>
                <w:color w:val="auto"/>
                <w:szCs w:val="21"/>
                <w:highlight w:val="none"/>
              </w:rPr>
            </w:pPr>
          </w:p>
        </w:tc>
        <w:tc>
          <w:tcPr>
            <w:tcW w:w="1080" w:type="dxa"/>
            <w:gridSpan w:val="2"/>
            <w:tcBorders>
              <w:bottom w:val="single" w:color="auto" w:sz="2" w:space="0"/>
            </w:tcBorders>
            <w:noWrap/>
            <w:vAlign w:val="center"/>
          </w:tcPr>
          <w:p>
            <w:pPr>
              <w:spacing w:line="360" w:lineRule="auto"/>
              <w:ind w:firstLine="420" w:firstLineChars="200"/>
              <w:rPr>
                <w:rFonts w:ascii="宋体" w:hAnsi="宋体"/>
                <w:color w:val="auto"/>
                <w:szCs w:val="21"/>
                <w:highlight w:val="none"/>
              </w:rPr>
            </w:pPr>
          </w:p>
        </w:tc>
        <w:tc>
          <w:tcPr>
            <w:tcW w:w="674" w:type="dxa"/>
            <w:tcBorders>
              <w:bottom w:val="single" w:color="auto" w:sz="2" w:space="0"/>
            </w:tcBorders>
            <w:noWrap/>
            <w:vAlign w:val="center"/>
          </w:tcPr>
          <w:p>
            <w:pPr>
              <w:spacing w:line="360" w:lineRule="auto"/>
              <w:ind w:firstLine="420" w:firstLineChars="200"/>
              <w:rPr>
                <w:rFonts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8522" w:type="dxa"/>
            <w:gridSpan w:val="13"/>
            <w:tcBorders>
              <w:top w:val="single" w:color="auto" w:sz="2" w:space="0"/>
              <w:bottom w:val="single" w:color="auto" w:sz="2" w:space="0"/>
            </w:tcBorders>
            <w:noWrap/>
            <w:vAlign w:val="center"/>
          </w:tcPr>
          <w:p>
            <w:pPr>
              <w:spacing w:line="360" w:lineRule="auto"/>
              <w:rPr>
                <w:rFonts w:ascii="宋体" w:hAnsi="宋体"/>
                <w:color w:val="auto"/>
                <w:szCs w:val="21"/>
                <w:highlight w:val="none"/>
              </w:rPr>
            </w:pPr>
            <w:r>
              <w:rPr>
                <w:rFonts w:hint="eastAsia" w:ascii="宋体" w:hAnsi="宋体"/>
                <w:color w:val="auto"/>
                <w:szCs w:val="21"/>
                <w:highlight w:val="none"/>
              </w:rPr>
              <w:t>阶段评价（20%）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130" w:type="dxa"/>
            <w:gridSpan w:val="2"/>
            <w:tcBorders>
              <w:top w:val="single" w:color="auto" w:sz="2" w:space="0"/>
              <w:bottom w:val="single" w:color="auto" w:sz="2" w:space="0"/>
            </w:tcBorders>
            <w:noWrap/>
            <w:vAlign w:val="center"/>
          </w:tcPr>
          <w:p>
            <w:pPr>
              <w:spacing w:line="360" w:lineRule="auto"/>
              <w:rPr>
                <w:rFonts w:ascii="宋体" w:hAnsi="宋体"/>
                <w:color w:val="auto"/>
                <w:szCs w:val="21"/>
                <w:highlight w:val="none"/>
              </w:rPr>
            </w:pPr>
            <w:r>
              <w:rPr>
                <w:rFonts w:hint="eastAsia" w:ascii="宋体" w:hAnsi="宋体"/>
                <w:color w:val="auto"/>
                <w:szCs w:val="21"/>
                <w:highlight w:val="none"/>
              </w:rPr>
              <w:t>理论考试（50分）</w:t>
            </w:r>
          </w:p>
        </w:tc>
        <w:tc>
          <w:tcPr>
            <w:tcW w:w="2130" w:type="dxa"/>
            <w:gridSpan w:val="3"/>
            <w:tcBorders>
              <w:top w:val="single" w:color="auto" w:sz="2" w:space="0"/>
              <w:bottom w:val="single" w:color="auto" w:sz="2" w:space="0"/>
            </w:tcBorders>
            <w:noWrap/>
            <w:vAlign w:val="center"/>
          </w:tcPr>
          <w:p>
            <w:pPr>
              <w:spacing w:line="360" w:lineRule="auto"/>
              <w:ind w:firstLine="420" w:firstLineChars="200"/>
              <w:rPr>
                <w:rFonts w:ascii="宋体" w:hAnsi="宋体"/>
                <w:color w:val="auto"/>
                <w:szCs w:val="21"/>
                <w:highlight w:val="none"/>
              </w:rPr>
            </w:pPr>
          </w:p>
        </w:tc>
        <w:tc>
          <w:tcPr>
            <w:tcW w:w="2508" w:type="dxa"/>
            <w:gridSpan w:val="5"/>
            <w:tcBorders>
              <w:top w:val="single" w:color="auto" w:sz="2" w:space="0"/>
              <w:bottom w:val="single" w:color="auto" w:sz="2" w:space="0"/>
            </w:tcBorders>
            <w:noWrap/>
            <w:vAlign w:val="center"/>
          </w:tcPr>
          <w:p>
            <w:pPr>
              <w:spacing w:line="360" w:lineRule="auto"/>
              <w:rPr>
                <w:rFonts w:ascii="宋体" w:hAnsi="宋体"/>
                <w:color w:val="auto"/>
                <w:szCs w:val="21"/>
                <w:highlight w:val="none"/>
              </w:rPr>
            </w:pPr>
            <w:r>
              <w:rPr>
                <w:rFonts w:hint="eastAsia" w:ascii="宋体" w:hAnsi="宋体"/>
                <w:color w:val="auto"/>
                <w:szCs w:val="21"/>
                <w:highlight w:val="none"/>
              </w:rPr>
              <w:t>实践考试（50分）</w:t>
            </w:r>
          </w:p>
        </w:tc>
        <w:tc>
          <w:tcPr>
            <w:tcW w:w="1754" w:type="dxa"/>
            <w:gridSpan w:val="3"/>
            <w:tcBorders>
              <w:top w:val="single" w:color="auto" w:sz="2" w:space="0"/>
              <w:bottom w:val="single" w:color="auto" w:sz="2" w:space="0"/>
            </w:tcBorders>
            <w:noWrap/>
            <w:vAlign w:val="center"/>
          </w:tcPr>
          <w:p>
            <w:pPr>
              <w:spacing w:line="360" w:lineRule="auto"/>
              <w:ind w:firstLine="420" w:firstLineChars="200"/>
              <w:rPr>
                <w:rFonts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8522" w:type="dxa"/>
            <w:gridSpan w:val="13"/>
            <w:tcBorders>
              <w:top w:val="single" w:color="auto" w:sz="2" w:space="0"/>
              <w:bottom w:val="single" w:color="auto" w:sz="2" w:space="0"/>
            </w:tcBorders>
            <w:noWrap/>
            <w:vAlign w:val="center"/>
          </w:tcPr>
          <w:p>
            <w:pPr>
              <w:spacing w:line="360" w:lineRule="auto"/>
              <w:rPr>
                <w:rFonts w:ascii="宋体" w:hAnsi="宋体"/>
                <w:color w:val="auto"/>
                <w:szCs w:val="21"/>
                <w:highlight w:val="none"/>
              </w:rPr>
            </w:pPr>
            <w:r>
              <w:rPr>
                <w:rFonts w:hint="eastAsia" w:ascii="宋体" w:hAnsi="宋体"/>
                <w:color w:val="auto"/>
                <w:szCs w:val="21"/>
                <w:highlight w:val="none"/>
              </w:rPr>
              <w:t>期末考试综合评价（20%）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8522" w:type="dxa"/>
            <w:gridSpan w:val="13"/>
            <w:tcBorders>
              <w:bottom w:val="single" w:color="auto" w:sz="2" w:space="0"/>
            </w:tcBorders>
            <w:noWrap/>
            <w:vAlign w:val="center"/>
          </w:tcPr>
          <w:p>
            <w:pPr>
              <w:spacing w:line="360" w:lineRule="auto"/>
              <w:ind w:firstLine="420" w:firstLineChars="200"/>
              <w:rPr>
                <w:rFonts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8522" w:type="dxa"/>
            <w:gridSpan w:val="13"/>
            <w:tcBorders>
              <w:top w:val="single" w:color="auto" w:sz="2" w:space="0"/>
              <w:bottom w:val="single" w:color="auto" w:sz="2" w:space="0"/>
            </w:tcBorders>
            <w:noWrap/>
            <w:vAlign w:val="center"/>
          </w:tcPr>
          <w:p>
            <w:pPr>
              <w:spacing w:line="360" w:lineRule="auto"/>
              <w:rPr>
                <w:rFonts w:ascii="宋体" w:hAnsi="宋体"/>
                <w:color w:val="auto"/>
                <w:szCs w:val="21"/>
                <w:highlight w:val="none"/>
              </w:rPr>
            </w:pPr>
            <w:r>
              <w:rPr>
                <w:rFonts w:hint="eastAsia" w:ascii="宋体" w:hAnsi="宋体"/>
                <w:color w:val="auto"/>
                <w:szCs w:val="21"/>
                <w:highlight w:val="none"/>
              </w:rPr>
              <w:t>总分100分</w:t>
            </w:r>
          </w:p>
        </w:tc>
      </w:tr>
    </w:tbl>
    <w:p>
      <w:pPr>
        <w:pStyle w:val="3"/>
        <w:ind w:firstLine="320" w:firstLineChars="100"/>
        <w:rPr>
          <w:b w:val="0"/>
          <w:color w:val="auto"/>
          <w:highlight w:val="none"/>
        </w:rPr>
      </w:pPr>
      <w:bookmarkStart w:id="21" w:name="_Toc14376"/>
      <w:r>
        <w:rPr>
          <w:rFonts w:hint="eastAsia"/>
          <w:b w:val="0"/>
          <w:color w:val="auto"/>
          <w:highlight w:val="none"/>
        </w:rPr>
        <w:t>九、毕业要求</w:t>
      </w:r>
      <w:bookmarkEnd w:id="21"/>
    </w:p>
    <w:p>
      <w:pPr>
        <w:pStyle w:val="3"/>
        <w:ind w:firstLine="320" w:firstLineChars="100"/>
        <w:rPr>
          <w:rFonts w:hint="eastAsia"/>
          <w:b w:val="0"/>
          <w:color w:val="auto"/>
          <w:highlight w:val="none"/>
        </w:rPr>
      </w:pPr>
      <w:bookmarkStart w:id="22" w:name="_Toc20366"/>
      <w:bookmarkStart w:id="23" w:name="_Toc11545"/>
      <w:bookmarkStart w:id="24" w:name="_Toc6331"/>
      <w:r>
        <w:rPr>
          <w:rFonts w:hint="eastAsia"/>
          <w:b w:val="0"/>
          <w:color w:val="auto"/>
          <w:highlight w:val="none"/>
        </w:rPr>
        <w:t>（一）学分要求：</w:t>
      </w:r>
      <w:bookmarkEnd w:id="22"/>
      <w:bookmarkEnd w:id="23"/>
      <w:bookmarkEnd w:id="24"/>
    </w:p>
    <w:tbl>
      <w:tblPr>
        <w:tblStyle w:val="14"/>
        <w:tblW w:w="780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14"/>
        <w:gridCol w:w="705"/>
        <w:gridCol w:w="795"/>
        <w:gridCol w:w="506"/>
        <w:gridCol w:w="704"/>
        <w:gridCol w:w="540"/>
        <w:gridCol w:w="900"/>
        <w:gridCol w:w="900"/>
        <w:gridCol w:w="10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7800" w:type="dxa"/>
            <w:gridSpan w:val="9"/>
            <w:tcBorders>
              <w:top w:val="nil"/>
              <w:left w:val="nil"/>
              <w:bottom w:val="single" w:color="000000" w:sz="6" w:space="0"/>
              <w:right w:val="nil"/>
            </w:tcBorders>
            <w:vAlign w:val="center"/>
          </w:tcPr>
          <w:p>
            <w:pPr>
              <w:spacing w:line="360" w:lineRule="auto"/>
              <w:jc w:val="center"/>
              <w:rPr>
                <w:rFonts w:ascii="宋体" w:hAnsi="宋体" w:eastAsia="宋体" w:cs="Times New Roman"/>
                <w:b/>
                <w:color w:val="auto"/>
                <w:sz w:val="28"/>
                <w:szCs w:val="28"/>
                <w:highlight w:val="none"/>
              </w:rPr>
            </w:pPr>
            <w:r>
              <w:rPr>
                <w:rFonts w:hint="eastAsia" w:ascii="宋体" w:hAnsi="宋体" w:eastAsia="宋体" w:cs="Times New Roman"/>
                <w:b/>
                <w:color w:val="auto"/>
                <w:sz w:val="28"/>
                <w:szCs w:val="28"/>
                <w:highlight w:val="none"/>
              </w:rPr>
              <w:t>毕业学分要求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33" w:hRule="atLeast"/>
          <w:jc w:val="center"/>
        </w:trPr>
        <w:tc>
          <w:tcPr>
            <w:tcW w:w="1714" w:type="dxa"/>
            <w:vMerge w:val="restart"/>
            <w:tcBorders>
              <w:top w:val="single" w:color="000000" w:sz="6" w:space="0"/>
              <w:left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r>
              <w:rPr>
                <w:rFonts w:cs="Times New Roman" w:asciiTheme="minorEastAsia" w:hAnsiTheme="minorEastAsia"/>
                <w:b/>
                <w:color w:val="auto"/>
                <w:szCs w:val="21"/>
                <w:highlight w:val="none"/>
              </w:rPr>
              <w:t>课程类别</w:t>
            </w:r>
          </w:p>
        </w:tc>
        <w:tc>
          <w:tcPr>
            <w:tcW w:w="705" w:type="dxa"/>
            <w:vMerge w:val="restart"/>
            <w:tcBorders>
              <w:top w:val="single" w:color="000000" w:sz="6" w:space="0"/>
              <w:left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r>
              <w:rPr>
                <w:rFonts w:cs="Times New Roman" w:asciiTheme="minorEastAsia" w:hAnsiTheme="minorEastAsia"/>
                <w:b/>
                <w:color w:val="auto"/>
                <w:szCs w:val="21"/>
                <w:highlight w:val="none"/>
              </w:rPr>
              <w:t>门数</w:t>
            </w:r>
          </w:p>
        </w:tc>
        <w:tc>
          <w:tcPr>
            <w:tcW w:w="2545" w:type="dxa"/>
            <w:gridSpan w:val="4"/>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r>
              <w:rPr>
                <w:rFonts w:cs="Times New Roman" w:asciiTheme="minorEastAsia" w:hAnsiTheme="minorEastAsia"/>
                <w:b/>
                <w:color w:val="auto"/>
                <w:szCs w:val="21"/>
                <w:highlight w:val="none"/>
              </w:rPr>
              <w:t>学分</w:t>
            </w:r>
          </w:p>
        </w:tc>
        <w:tc>
          <w:tcPr>
            <w:tcW w:w="2836" w:type="dxa"/>
            <w:gridSpan w:val="3"/>
            <w:tcBorders>
              <w:top w:val="single" w:color="000000" w:sz="6" w:space="0"/>
              <w:left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r>
              <w:rPr>
                <w:rFonts w:hint="eastAsia" w:cs="Times New Roman" w:asciiTheme="minorEastAsia" w:hAnsiTheme="minorEastAsia"/>
                <w:b/>
                <w:color w:val="auto"/>
                <w:szCs w:val="21"/>
                <w:highlight w:val="none"/>
              </w:rPr>
              <w:t>学分比例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32" w:hRule="atLeast"/>
          <w:jc w:val="center"/>
        </w:trPr>
        <w:tc>
          <w:tcPr>
            <w:tcW w:w="1714" w:type="dxa"/>
            <w:vMerge w:val="continue"/>
            <w:tcBorders>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p>
        </w:tc>
        <w:tc>
          <w:tcPr>
            <w:tcW w:w="705" w:type="dxa"/>
            <w:vMerge w:val="continue"/>
            <w:tcBorders>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p>
        </w:tc>
        <w:tc>
          <w:tcPr>
            <w:tcW w:w="795"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r>
              <w:rPr>
                <w:rFonts w:hint="eastAsia" w:cs="Times New Roman" w:asciiTheme="minorEastAsia" w:hAnsiTheme="minorEastAsia"/>
                <w:b/>
                <w:color w:val="auto"/>
                <w:szCs w:val="21"/>
                <w:highlight w:val="none"/>
              </w:rPr>
              <w:t>小计</w:t>
            </w:r>
          </w:p>
        </w:tc>
        <w:tc>
          <w:tcPr>
            <w:tcW w:w="506"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r>
              <w:rPr>
                <w:rFonts w:hint="eastAsia" w:cs="Times New Roman" w:asciiTheme="minorEastAsia" w:hAnsiTheme="minorEastAsia"/>
                <w:b/>
                <w:color w:val="auto"/>
                <w:szCs w:val="21"/>
                <w:highlight w:val="none"/>
              </w:rPr>
              <w:t>A</w:t>
            </w:r>
          </w:p>
        </w:tc>
        <w:tc>
          <w:tcPr>
            <w:tcW w:w="704"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r>
              <w:rPr>
                <w:rFonts w:hint="eastAsia" w:cs="Times New Roman" w:asciiTheme="minorEastAsia" w:hAnsiTheme="minorEastAsia"/>
                <w:b/>
                <w:color w:val="auto"/>
                <w:szCs w:val="21"/>
                <w:highlight w:val="none"/>
              </w:rPr>
              <w:t>B</w:t>
            </w:r>
          </w:p>
        </w:tc>
        <w:tc>
          <w:tcPr>
            <w:tcW w:w="540"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r>
              <w:rPr>
                <w:rFonts w:hint="eastAsia" w:cs="Times New Roman" w:asciiTheme="minorEastAsia" w:hAnsiTheme="minorEastAsia"/>
                <w:b/>
                <w:color w:val="auto"/>
                <w:szCs w:val="21"/>
                <w:highlight w:val="none"/>
              </w:rPr>
              <w:t>C</w:t>
            </w:r>
          </w:p>
        </w:tc>
        <w:tc>
          <w:tcPr>
            <w:tcW w:w="900" w:type="dxa"/>
            <w:tcBorders>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r>
              <w:rPr>
                <w:rFonts w:hint="eastAsia" w:cs="Times New Roman" w:asciiTheme="minorEastAsia" w:hAnsiTheme="minorEastAsia"/>
                <w:b/>
                <w:color w:val="auto"/>
                <w:szCs w:val="21"/>
                <w:highlight w:val="none"/>
              </w:rPr>
              <w:t>A</w:t>
            </w:r>
          </w:p>
        </w:tc>
        <w:tc>
          <w:tcPr>
            <w:tcW w:w="900" w:type="dxa"/>
            <w:tcBorders>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r>
              <w:rPr>
                <w:rFonts w:hint="eastAsia" w:cs="Times New Roman" w:asciiTheme="minorEastAsia" w:hAnsiTheme="minorEastAsia"/>
                <w:b/>
                <w:color w:val="auto"/>
                <w:szCs w:val="21"/>
                <w:highlight w:val="none"/>
              </w:rPr>
              <w:t>B</w:t>
            </w:r>
          </w:p>
        </w:tc>
        <w:tc>
          <w:tcPr>
            <w:tcW w:w="1036" w:type="dxa"/>
            <w:tcBorders>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r>
              <w:rPr>
                <w:rFonts w:hint="eastAsia" w:cs="Times New Roman" w:asciiTheme="minorEastAsia" w:hAnsiTheme="minorEastAsia"/>
                <w:b/>
                <w:color w:val="auto"/>
                <w:szCs w:val="21"/>
                <w:highlight w:val="none"/>
              </w:rPr>
              <w:t>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1714" w:type="dxa"/>
            <w:tcBorders>
              <w:top w:val="single" w:color="000000" w:sz="6" w:space="0"/>
              <w:left w:val="single" w:color="auto" w:sz="4" w:space="0"/>
            </w:tcBorders>
            <w:vAlign w:val="center"/>
          </w:tcPr>
          <w:p>
            <w:pPr>
              <w:spacing w:line="360" w:lineRule="auto"/>
              <w:jc w:val="center"/>
              <w:rPr>
                <w:rFonts w:cs="Times New Roman" w:asciiTheme="minorEastAsia" w:hAnsiTheme="minorEastAsia"/>
                <w:b/>
                <w:color w:val="auto"/>
                <w:szCs w:val="21"/>
                <w:highlight w:val="none"/>
              </w:rPr>
            </w:pPr>
            <w:r>
              <w:rPr>
                <w:rFonts w:hint="eastAsia" w:cs="Times New Roman" w:asciiTheme="minorEastAsia" w:hAnsiTheme="minorEastAsia"/>
                <w:b/>
                <w:color w:val="auto"/>
                <w:szCs w:val="21"/>
                <w:highlight w:val="none"/>
              </w:rPr>
              <w:t>公共基础课程</w:t>
            </w:r>
          </w:p>
        </w:tc>
        <w:tc>
          <w:tcPr>
            <w:tcW w:w="705" w:type="dxa"/>
            <w:tcBorders>
              <w:top w:val="single" w:color="000000" w:sz="6" w:space="0"/>
            </w:tcBorders>
            <w:vAlign w:val="center"/>
          </w:tcPr>
          <w:p>
            <w:pPr>
              <w:spacing w:line="360" w:lineRule="auto"/>
              <w:jc w:val="center"/>
              <w:rPr>
                <w:rFonts w:hint="default"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color w:val="auto"/>
                <w:szCs w:val="21"/>
                <w:highlight w:val="none"/>
                <w:lang w:val="en-US" w:eastAsia="zh-CN"/>
              </w:rPr>
              <w:t>22</w:t>
            </w:r>
          </w:p>
        </w:tc>
        <w:tc>
          <w:tcPr>
            <w:tcW w:w="795" w:type="dxa"/>
            <w:tcBorders>
              <w:top w:val="single" w:color="000000" w:sz="6" w:space="0"/>
            </w:tcBorders>
            <w:vAlign w:val="center"/>
          </w:tcPr>
          <w:p>
            <w:pPr>
              <w:spacing w:line="360" w:lineRule="auto"/>
              <w:jc w:val="center"/>
              <w:rPr>
                <w:rFonts w:hint="eastAsia" w:cs="Times New Roman" w:asciiTheme="minorEastAsia" w:hAnsiTheme="minorEastAsia" w:eastAsiaTheme="minorEastAsia"/>
                <w:color w:val="auto"/>
                <w:szCs w:val="21"/>
                <w:highlight w:val="none"/>
                <w:lang w:eastAsia="zh-CN"/>
              </w:rPr>
            </w:pPr>
            <w:r>
              <w:rPr>
                <w:rFonts w:cs="Times New Roman" w:asciiTheme="minorEastAsia" w:hAnsiTheme="minorEastAsia"/>
                <w:color w:val="auto"/>
                <w:szCs w:val="21"/>
                <w:highlight w:val="none"/>
              </w:rPr>
              <w:t>4</w:t>
            </w:r>
            <w:r>
              <w:rPr>
                <w:rFonts w:hint="eastAsia" w:cs="Times New Roman" w:asciiTheme="minorEastAsia" w:hAnsiTheme="minorEastAsia"/>
                <w:color w:val="auto"/>
                <w:szCs w:val="21"/>
                <w:highlight w:val="none"/>
                <w:lang w:val="en-US" w:eastAsia="zh-CN"/>
              </w:rPr>
              <w:t>6</w:t>
            </w:r>
          </w:p>
        </w:tc>
        <w:tc>
          <w:tcPr>
            <w:tcW w:w="506" w:type="dxa"/>
            <w:tcBorders>
              <w:top w:val="single" w:color="000000" w:sz="6" w:space="0"/>
            </w:tcBorders>
            <w:vAlign w:val="center"/>
          </w:tcPr>
          <w:p>
            <w:pPr>
              <w:spacing w:line="360" w:lineRule="auto"/>
              <w:jc w:val="center"/>
              <w:rPr>
                <w:rFonts w:cs="Times New Roman" w:asciiTheme="minorEastAsia" w:hAnsiTheme="minorEastAsia"/>
                <w:color w:val="auto"/>
                <w:szCs w:val="21"/>
                <w:highlight w:val="none"/>
              </w:rPr>
            </w:pPr>
          </w:p>
        </w:tc>
        <w:tc>
          <w:tcPr>
            <w:tcW w:w="704" w:type="dxa"/>
            <w:tcBorders>
              <w:top w:val="single" w:color="000000" w:sz="6" w:space="0"/>
            </w:tcBorders>
            <w:vAlign w:val="center"/>
          </w:tcPr>
          <w:p>
            <w:pPr>
              <w:spacing w:line="360" w:lineRule="auto"/>
              <w:jc w:val="center"/>
              <w:rPr>
                <w:rFonts w:hint="eastAsia" w:cs="Times New Roman" w:asciiTheme="minorEastAsia" w:hAnsiTheme="minorEastAsia" w:eastAsiaTheme="minorEastAsia"/>
                <w:color w:val="auto"/>
                <w:szCs w:val="21"/>
                <w:highlight w:val="none"/>
                <w:lang w:eastAsia="zh-CN"/>
              </w:rPr>
            </w:pPr>
            <w:r>
              <w:rPr>
                <w:rFonts w:cs="Times New Roman" w:asciiTheme="minorEastAsia" w:hAnsiTheme="minorEastAsia"/>
                <w:color w:val="auto"/>
                <w:szCs w:val="21"/>
                <w:highlight w:val="none"/>
              </w:rPr>
              <w:t>4</w:t>
            </w:r>
            <w:r>
              <w:rPr>
                <w:rFonts w:hint="eastAsia" w:cs="Times New Roman" w:asciiTheme="minorEastAsia" w:hAnsiTheme="minorEastAsia"/>
                <w:color w:val="auto"/>
                <w:szCs w:val="21"/>
                <w:highlight w:val="none"/>
                <w:lang w:val="en-US" w:eastAsia="zh-CN"/>
              </w:rPr>
              <w:t>6</w:t>
            </w:r>
          </w:p>
        </w:tc>
        <w:tc>
          <w:tcPr>
            <w:tcW w:w="540" w:type="dxa"/>
            <w:tcBorders>
              <w:top w:val="single" w:color="000000" w:sz="6" w:space="0"/>
            </w:tcBorders>
            <w:vAlign w:val="center"/>
          </w:tcPr>
          <w:p>
            <w:pPr>
              <w:spacing w:line="360" w:lineRule="auto"/>
              <w:jc w:val="center"/>
              <w:rPr>
                <w:rFonts w:cs="Times New Roman" w:asciiTheme="minorEastAsia" w:hAnsiTheme="minorEastAsia"/>
                <w:color w:val="auto"/>
                <w:szCs w:val="21"/>
                <w:highlight w:val="none"/>
              </w:rPr>
            </w:pPr>
          </w:p>
        </w:tc>
        <w:tc>
          <w:tcPr>
            <w:tcW w:w="900" w:type="dxa"/>
            <w:tcBorders>
              <w:top w:val="single" w:color="000000" w:sz="6" w:space="0"/>
            </w:tcBorders>
            <w:vAlign w:val="center"/>
          </w:tcPr>
          <w:p>
            <w:pPr>
              <w:spacing w:line="360" w:lineRule="auto"/>
              <w:jc w:val="center"/>
              <w:rPr>
                <w:rFonts w:cs="Times New Roman" w:asciiTheme="minorEastAsia" w:hAnsiTheme="minorEastAsia"/>
                <w:color w:val="auto"/>
                <w:szCs w:val="21"/>
                <w:highlight w:val="none"/>
              </w:rPr>
            </w:pPr>
            <w:r>
              <w:rPr>
                <w:rFonts w:cs="Times New Roman" w:asciiTheme="minorEastAsia" w:hAnsiTheme="minorEastAsia"/>
                <w:color w:val="auto"/>
                <w:szCs w:val="21"/>
                <w:highlight w:val="none"/>
              </w:rPr>
              <w:t>0</w:t>
            </w:r>
          </w:p>
        </w:tc>
        <w:tc>
          <w:tcPr>
            <w:tcW w:w="900" w:type="dxa"/>
            <w:tcBorders>
              <w:top w:val="single" w:color="000000" w:sz="6" w:space="0"/>
            </w:tcBorders>
            <w:vAlign w:val="center"/>
          </w:tcPr>
          <w:p>
            <w:pPr>
              <w:spacing w:line="360" w:lineRule="auto"/>
              <w:jc w:val="center"/>
              <w:rPr>
                <w:rFonts w:cs="Times New Roman" w:asciiTheme="minorEastAsia" w:hAnsiTheme="minorEastAsia"/>
                <w:color w:val="auto"/>
                <w:szCs w:val="21"/>
                <w:highlight w:val="none"/>
              </w:rPr>
            </w:pPr>
            <w:r>
              <w:rPr>
                <w:rFonts w:cs="Times New Roman" w:asciiTheme="minorEastAsia" w:hAnsiTheme="minorEastAsia"/>
                <w:color w:val="auto"/>
                <w:szCs w:val="21"/>
                <w:highlight w:val="none"/>
              </w:rPr>
              <w:t>100</w:t>
            </w:r>
            <w:r>
              <w:rPr>
                <w:rFonts w:hint="eastAsia" w:cs="Times New Roman" w:asciiTheme="minorEastAsia" w:hAnsiTheme="minorEastAsia"/>
                <w:color w:val="auto"/>
                <w:szCs w:val="21"/>
                <w:highlight w:val="none"/>
              </w:rPr>
              <w:t>%</w:t>
            </w:r>
          </w:p>
        </w:tc>
        <w:tc>
          <w:tcPr>
            <w:tcW w:w="1036" w:type="dxa"/>
            <w:tcBorders>
              <w:top w:val="single" w:color="000000" w:sz="6" w:space="0"/>
            </w:tcBorders>
            <w:vAlign w:val="center"/>
          </w:tcPr>
          <w:p>
            <w:pPr>
              <w:spacing w:line="360" w:lineRule="auto"/>
              <w:jc w:val="center"/>
              <w:rPr>
                <w:rFonts w:cs="Times New Roman" w:asciiTheme="minorEastAsia" w:hAnsiTheme="minorEastAsia"/>
                <w:color w:val="auto"/>
                <w:szCs w:val="21"/>
                <w:highlight w:val="none"/>
              </w:rPr>
            </w:pPr>
            <w:r>
              <w:rPr>
                <w:rFonts w:cs="Times New Roman" w:asciiTheme="minorEastAsia" w:hAnsiTheme="minorEastAsia"/>
                <w:color w:val="auto"/>
                <w:szCs w:val="21"/>
                <w:highlight w:val="none"/>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1714" w:type="dxa"/>
            <w:tcBorders>
              <w:left w:val="single" w:color="auto" w:sz="4" w:space="0"/>
            </w:tcBorders>
            <w:vAlign w:val="center"/>
          </w:tcPr>
          <w:p>
            <w:pPr>
              <w:spacing w:line="360" w:lineRule="auto"/>
              <w:jc w:val="center"/>
              <w:rPr>
                <w:rFonts w:cs="Times New Roman" w:asciiTheme="minorEastAsia" w:hAnsiTheme="minorEastAsia"/>
                <w:b/>
                <w:color w:val="auto"/>
                <w:szCs w:val="21"/>
                <w:highlight w:val="none"/>
              </w:rPr>
            </w:pPr>
            <w:r>
              <w:rPr>
                <w:rFonts w:hint="eastAsia" w:cs="Times New Roman" w:asciiTheme="minorEastAsia" w:hAnsiTheme="minorEastAsia"/>
                <w:b/>
                <w:color w:val="auto"/>
                <w:szCs w:val="21"/>
                <w:highlight w:val="none"/>
              </w:rPr>
              <w:t>专业（技能）课程</w:t>
            </w:r>
          </w:p>
        </w:tc>
        <w:tc>
          <w:tcPr>
            <w:tcW w:w="705" w:type="dxa"/>
            <w:vAlign w:val="center"/>
          </w:tcPr>
          <w:p>
            <w:pPr>
              <w:spacing w:line="360" w:lineRule="auto"/>
              <w:jc w:val="center"/>
              <w:rPr>
                <w:rFonts w:hint="default"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color w:val="auto"/>
                <w:szCs w:val="21"/>
                <w:highlight w:val="none"/>
                <w:lang w:val="en-US" w:eastAsia="zh-CN"/>
              </w:rPr>
              <w:t>18</w:t>
            </w:r>
          </w:p>
        </w:tc>
        <w:tc>
          <w:tcPr>
            <w:tcW w:w="795" w:type="dxa"/>
            <w:vAlign w:val="center"/>
          </w:tcPr>
          <w:p>
            <w:pPr>
              <w:spacing w:line="360" w:lineRule="auto"/>
              <w:jc w:val="center"/>
              <w:rPr>
                <w:rFonts w:cs="Times New Roman" w:asciiTheme="minorEastAsia" w:hAnsiTheme="minorEastAsia"/>
                <w:color w:val="auto"/>
                <w:szCs w:val="21"/>
                <w:highlight w:val="none"/>
              </w:rPr>
            </w:pPr>
            <w:r>
              <w:rPr>
                <w:rFonts w:cs="Times New Roman" w:asciiTheme="minorEastAsia" w:hAnsiTheme="minorEastAsia"/>
                <w:color w:val="auto"/>
                <w:szCs w:val="21"/>
                <w:highlight w:val="none"/>
              </w:rPr>
              <w:t>64</w:t>
            </w:r>
          </w:p>
        </w:tc>
        <w:tc>
          <w:tcPr>
            <w:tcW w:w="506" w:type="dxa"/>
            <w:vAlign w:val="center"/>
          </w:tcPr>
          <w:p>
            <w:pPr>
              <w:spacing w:line="360" w:lineRule="auto"/>
              <w:jc w:val="center"/>
              <w:rPr>
                <w:rFonts w:cs="Times New Roman" w:asciiTheme="minorEastAsia" w:hAnsiTheme="minorEastAsia"/>
                <w:color w:val="auto"/>
                <w:szCs w:val="21"/>
                <w:highlight w:val="none"/>
              </w:rPr>
            </w:pPr>
          </w:p>
        </w:tc>
        <w:tc>
          <w:tcPr>
            <w:tcW w:w="704" w:type="dxa"/>
            <w:vAlign w:val="center"/>
          </w:tcPr>
          <w:p>
            <w:pPr>
              <w:spacing w:line="360" w:lineRule="auto"/>
              <w:jc w:val="center"/>
              <w:rPr>
                <w:rFonts w:cs="Times New Roman" w:asciiTheme="minorEastAsia" w:hAnsiTheme="minorEastAsia"/>
                <w:color w:val="auto"/>
                <w:szCs w:val="21"/>
                <w:highlight w:val="none"/>
              </w:rPr>
            </w:pPr>
            <w:r>
              <w:rPr>
                <w:rFonts w:cs="Times New Roman" w:asciiTheme="minorEastAsia" w:hAnsiTheme="minorEastAsia"/>
                <w:color w:val="auto"/>
                <w:szCs w:val="21"/>
                <w:highlight w:val="none"/>
              </w:rPr>
              <w:t>64</w:t>
            </w:r>
          </w:p>
        </w:tc>
        <w:tc>
          <w:tcPr>
            <w:tcW w:w="540" w:type="dxa"/>
            <w:vAlign w:val="center"/>
          </w:tcPr>
          <w:p>
            <w:pPr>
              <w:spacing w:line="360" w:lineRule="auto"/>
              <w:jc w:val="center"/>
              <w:rPr>
                <w:rFonts w:cs="Times New Roman" w:asciiTheme="minorEastAsia" w:hAnsiTheme="minorEastAsia"/>
                <w:color w:val="auto"/>
                <w:szCs w:val="21"/>
                <w:highlight w:val="none"/>
              </w:rPr>
            </w:pPr>
          </w:p>
        </w:tc>
        <w:tc>
          <w:tcPr>
            <w:tcW w:w="900"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0</w:t>
            </w:r>
          </w:p>
        </w:tc>
        <w:tc>
          <w:tcPr>
            <w:tcW w:w="900"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100%</w:t>
            </w:r>
          </w:p>
        </w:tc>
        <w:tc>
          <w:tcPr>
            <w:tcW w:w="1036"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1714" w:type="dxa"/>
            <w:tcBorders>
              <w:left w:val="single" w:color="auto" w:sz="4" w:space="0"/>
              <w:bottom w:val="single" w:color="auto" w:sz="4" w:space="0"/>
            </w:tcBorders>
            <w:vAlign w:val="center"/>
          </w:tcPr>
          <w:p>
            <w:pPr>
              <w:spacing w:line="360" w:lineRule="auto"/>
              <w:jc w:val="center"/>
              <w:rPr>
                <w:rFonts w:cs="Times New Roman" w:asciiTheme="minorEastAsia" w:hAnsiTheme="minorEastAsia"/>
                <w:b/>
                <w:color w:val="auto"/>
                <w:szCs w:val="21"/>
                <w:highlight w:val="none"/>
              </w:rPr>
            </w:pPr>
            <w:r>
              <w:rPr>
                <w:rFonts w:hint="eastAsia" w:cs="Times New Roman" w:asciiTheme="minorEastAsia" w:hAnsiTheme="minorEastAsia"/>
                <w:b/>
                <w:color w:val="auto"/>
                <w:szCs w:val="21"/>
                <w:highlight w:val="none"/>
              </w:rPr>
              <w:t>专业限选课程</w:t>
            </w:r>
          </w:p>
        </w:tc>
        <w:tc>
          <w:tcPr>
            <w:tcW w:w="705"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5</w:t>
            </w:r>
          </w:p>
        </w:tc>
        <w:tc>
          <w:tcPr>
            <w:tcW w:w="795" w:type="dxa"/>
            <w:vAlign w:val="center"/>
          </w:tcPr>
          <w:p>
            <w:pPr>
              <w:spacing w:line="360" w:lineRule="auto"/>
              <w:jc w:val="center"/>
              <w:rPr>
                <w:rFonts w:cs="Times New Roman" w:asciiTheme="minorEastAsia" w:hAnsiTheme="minorEastAsia"/>
                <w:color w:val="auto"/>
                <w:szCs w:val="21"/>
                <w:highlight w:val="none"/>
              </w:rPr>
            </w:pPr>
            <w:r>
              <w:rPr>
                <w:rFonts w:cs="Times New Roman" w:asciiTheme="minorEastAsia" w:hAnsiTheme="minorEastAsia"/>
                <w:color w:val="auto"/>
                <w:szCs w:val="21"/>
                <w:highlight w:val="none"/>
              </w:rPr>
              <w:t>20</w:t>
            </w:r>
          </w:p>
        </w:tc>
        <w:tc>
          <w:tcPr>
            <w:tcW w:w="506"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20</w:t>
            </w:r>
          </w:p>
        </w:tc>
        <w:tc>
          <w:tcPr>
            <w:tcW w:w="704" w:type="dxa"/>
            <w:vAlign w:val="center"/>
          </w:tcPr>
          <w:p>
            <w:pPr>
              <w:spacing w:line="360" w:lineRule="auto"/>
              <w:jc w:val="center"/>
              <w:rPr>
                <w:rFonts w:cs="Times New Roman" w:asciiTheme="minorEastAsia" w:hAnsiTheme="minorEastAsia"/>
                <w:color w:val="auto"/>
                <w:szCs w:val="21"/>
                <w:highlight w:val="none"/>
              </w:rPr>
            </w:pPr>
          </w:p>
        </w:tc>
        <w:tc>
          <w:tcPr>
            <w:tcW w:w="540" w:type="dxa"/>
            <w:vAlign w:val="center"/>
          </w:tcPr>
          <w:p>
            <w:pPr>
              <w:spacing w:line="360" w:lineRule="auto"/>
              <w:jc w:val="center"/>
              <w:rPr>
                <w:rFonts w:cs="Times New Roman" w:asciiTheme="minorEastAsia" w:hAnsiTheme="minorEastAsia"/>
                <w:color w:val="auto"/>
                <w:szCs w:val="21"/>
                <w:highlight w:val="none"/>
              </w:rPr>
            </w:pPr>
          </w:p>
        </w:tc>
        <w:tc>
          <w:tcPr>
            <w:tcW w:w="900"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100%</w:t>
            </w:r>
          </w:p>
        </w:tc>
        <w:tc>
          <w:tcPr>
            <w:tcW w:w="900"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0</w:t>
            </w:r>
          </w:p>
        </w:tc>
        <w:tc>
          <w:tcPr>
            <w:tcW w:w="1036" w:type="dxa"/>
            <w:vAlign w:val="center"/>
          </w:tcPr>
          <w:p>
            <w:pPr>
              <w:spacing w:line="360" w:lineRule="auto"/>
              <w:jc w:val="center"/>
              <w:rPr>
                <w:rFonts w:cs="Times New Roman" w:asciiTheme="minorEastAsia" w:hAnsiTheme="minorEastAsia"/>
                <w:color w:val="auto"/>
                <w:szCs w:val="21"/>
                <w:highlight w:val="none"/>
              </w:rPr>
            </w:pPr>
            <w:r>
              <w:rPr>
                <w:rFonts w:cs="Times New Roman" w:asciiTheme="minorEastAsia" w:hAnsiTheme="minorEastAsia"/>
                <w:color w:val="auto"/>
                <w:szCs w:val="21"/>
                <w:highlight w:val="none"/>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1714" w:type="dxa"/>
            <w:tcBorders>
              <w:left w:val="single" w:color="auto" w:sz="4" w:space="0"/>
            </w:tcBorders>
            <w:vAlign w:val="center"/>
          </w:tcPr>
          <w:p>
            <w:pPr>
              <w:spacing w:line="360" w:lineRule="auto"/>
              <w:jc w:val="center"/>
              <w:rPr>
                <w:rFonts w:cs="Times New Roman" w:asciiTheme="minorEastAsia" w:hAnsiTheme="minorEastAsia"/>
                <w:b/>
                <w:color w:val="auto"/>
                <w:szCs w:val="21"/>
                <w:highlight w:val="none"/>
              </w:rPr>
            </w:pPr>
            <w:r>
              <w:rPr>
                <w:rFonts w:hint="eastAsia" w:cs="Times New Roman" w:asciiTheme="minorEastAsia" w:hAnsiTheme="minorEastAsia"/>
                <w:b/>
                <w:color w:val="auto"/>
                <w:szCs w:val="21"/>
                <w:highlight w:val="none"/>
              </w:rPr>
              <w:t>实习实训</w:t>
            </w:r>
          </w:p>
        </w:tc>
        <w:tc>
          <w:tcPr>
            <w:tcW w:w="705" w:type="dxa"/>
            <w:vAlign w:val="center"/>
          </w:tcPr>
          <w:p>
            <w:pPr>
              <w:spacing w:line="360" w:lineRule="auto"/>
              <w:jc w:val="center"/>
              <w:rPr>
                <w:rFonts w:cs="Times New Roman" w:asciiTheme="minorEastAsia" w:hAnsiTheme="minorEastAsia"/>
                <w:color w:val="auto"/>
                <w:szCs w:val="21"/>
                <w:highlight w:val="none"/>
              </w:rPr>
            </w:pPr>
            <w:r>
              <w:rPr>
                <w:rFonts w:cs="Times New Roman" w:asciiTheme="minorEastAsia" w:hAnsiTheme="minorEastAsia"/>
                <w:color w:val="auto"/>
                <w:szCs w:val="21"/>
                <w:highlight w:val="none"/>
              </w:rPr>
              <w:t>6</w:t>
            </w:r>
          </w:p>
        </w:tc>
        <w:tc>
          <w:tcPr>
            <w:tcW w:w="795"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2</w:t>
            </w:r>
            <w:r>
              <w:rPr>
                <w:rFonts w:cs="Times New Roman" w:asciiTheme="minorEastAsia" w:hAnsiTheme="minorEastAsia"/>
                <w:color w:val="auto"/>
                <w:szCs w:val="21"/>
                <w:highlight w:val="none"/>
              </w:rPr>
              <w:t>5</w:t>
            </w:r>
          </w:p>
        </w:tc>
        <w:tc>
          <w:tcPr>
            <w:tcW w:w="506" w:type="dxa"/>
            <w:vAlign w:val="center"/>
          </w:tcPr>
          <w:p>
            <w:pPr>
              <w:spacing w:line="360" w:lineRule="auto"/>
              <w:jc w:val="center"/>
              <w:rPr>
                <w:rFonts w:cs="Times New Roman" w:asciiTheme="minorEastAsia" w:hAnsiTheme="minorEastAsia"/>
                <w:color w:val="auto"/>
                <w:szCs w:val="21"/>
                <w:highlight w:val="none"/>
              </w:rPr>
            </w:pPr>
          </w:p>
        </w:tc>
        <w:tc>
          <w:tcPr>
            <w:tcW w:w="704" w:type="dxa"/>
            <w:vAlign w:val="center"/>
          </w:tcPr>
          <w:p>
            <w:pPr>
              <w:spacing w:line="360" w:lineRule="auto"/>
              <w:jc w:val="center"/>
              <w:rPr>
                <w:rFonts w:cs="Times New Roman" w:asciiTheme="minorEastAsia" w:hAnsiTheme="minorEastAsia"/>
                <w:color w:val="auto"/>
                <w:szCs w:val="21"/>
                <w:highlight w:val="none"/>
              </w:rPr>
            </w:pPr>
            <w:r>
              <w:rPr>
                <w:rFonts w:cs="Times New Roman" w:asciiTheme="minorEastAsia" w:hAnsiTheme="minorEastAsia"/>
                <w:color w:val="auto"/>
                <w:szCs w:val="21"/>
                <w:highlight w:val="none"/>
              </w:rPr>
              <w:t>2</w:t>
            </w:r>
          </w:p>
        </w:tc>
        <w:tc>
          <w:tcPr>
            <w:tcW w:w="540"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2</w:t>
            </w:r>
            <w:r>
              <w:rPr>
                <w:rFonts w:cs="Times New Roman" w:asciiTheme="minorEastAsia" w:hAnsiTheme="minorEastAsia"/>
                <w:color w:val="auto"/>
                <w:szCs w:val="21"/>
                <w:highlight w:val="none"/>
              </w:rPr>
              <w:t>3</w:t>
            </w:r>
          </w:p>
        </w:tc>
        <w:tc>
          <w:tcPr>
            <w:tcW w:w="900"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0</w:t>
            </w:r>
          </w:p>
        </w:tc>
        <w:tc>
          <w:tcPr>
            <w:tcW w:w="900" w:type="dxa"/>
            <w:vAlign w:val="center"/>
          </w:tcPr>
          <w:p>
            <w:pPr>
              <w:spacing w:line="360" w:lineRule="auto"/>
              <w:jc w:val="center"/>
              <w:rPr>
                <w:rFonts w:cs="Times New Roman" w:asciiTheme="minorEastAsia" w:hAnsiTheme="minorEastAsia"/>
                <w:color w:val="auto"/>
                <w:szCs w:val="21"/>
                <w:highlight w:val="none"/>
              </w:rPr>
            </w:pPr>
            <w:r>
              <w:rPr>
                <w:rFonts w:cs="Times New Roman" w:asciiTheme="minorEastAsia" w:hAnsiTheme="minorEastAsia"/>
                <w:color w:val="auto"/>
                <w:szCs w:val="21"/>
                <w:highlight w:val="none"/>
              </w:rPr>
              <w:t>8%</w:t>
            </w:r>
          </w:p>
        </w:tc>
        <w:tc>
          <w:tcPr>
            <w:tcW w:w="1036" w:type="dxa"/>
            <w:vAlign w:val="center"/>
          </w:tcPr>
          <w:p>
            <w:pPr>
              <w:spacing w:line="360" w:lineRule="auto"/>
              <w:jc w:val="center"/>
              <w:rPr>
                <w:rFonts w:cs="Times New Roman" w:asciiTheme="minorEastAsia" w:hAnsiTheme="minorEastAsia"/>
                <w:color w:val="auto"/>
                <w:szCs w:val="21"/>
                <w:highlight w:val="none"/>
              </w:rPr>
            </w:pPr>
            <w:r>
              <w:rPr>
                <w:rFonts w:cs="Times New Roman" w:asciiTheme="minorEastAsia" w:hAnsiTheme="minorEastAsia"/>
                <w:color w:val="auto"/>
                <w:szCs w:val="21"/>
                <w:highlight w:val="none"/>
              </w:rPr>
              <w:t>92</w:t>
            </w:r>
            <w:r>
              <w:rPr>
                <w:rFonts w:hint="eastAsia" w:cs="Times New Roman" w:asciiTheme="minorEastAsia" w:hAnsiTheme="minorEastAsia"/>
                <w:color w:val="auto"/>
                <w:szCs w:val="21"/>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1714" w:type="dxa"/>
            <w:tcBorders>
              <w:left w:val="single" w:color="auto" w:sz="4" w:space="0"/>
            </w:tcBorders>
            <w:vAlign w:val="center"/>
          </w:tcPr>
          <w:p>
            <w:pPr>
              <w:spacing w:line="360" w:lineRule="auto"/>
              <w:jc w:val="center"/>
              <w:rPr>
                <w:rFonts w:cs="Times New Roman" w:asciiTheme="minorEastAsia" w:hAnsiTheme="minorEastAsia"/>
                <w:b/>
                <w:color w:val="auto"/>
                <w:szCs w:val="21"/>
                <w:highlight w:val="none"/>
              </w:rPr>
            </w:pPr>
            <w:r>
              <w:rPr>
                <w:rFonts w:cs="Times New Roman" w:asciiTheme="minorEastAsia" w:hAnsiTheme="minorEastAsia"/>
                <w:b/>
                <w:color w:val="auto"/>
                <w:szCs w:val="21"/>
                <w:highlight w:val="none"/>
              </w:rPr>
              <w:t>合  计</w:t>
            </w:r>
          </w:p>
        </w:tc>
        <w:tc>
          <w:tcPr>
            <w:tcW w:w="705" w:type="dxa"/>
            <w:vAlign w:val="center"/>
          </w:tcPr>
          <w:p>
            <w:pPr>
              <w:spacing w:line="360" w:lineRule="auto"/>
              <w:jc w:val="center"/>
              <w:rPr>
                <w:rFonts w:hint="default"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color w:val="auto"/>
                <w:szCs w:val="21"/>
                <w:highlight w:val="none"/>
                <w:lang w:val="en-US" w:eastAsia="zh-CN"/>
              </w:rPr>
              <w:t>51</w:t>
            </w:r>
          </w:p>
        </w:tc>
        <w:tc>
          <w:tcPr>
            <w:tcW w:w="795" w:type="dxa"/>
            <w:vAlign w:val="center"/>
          </w:tcPr>
          <w:p>
            <w:pPr>
              <w:spacing w:line="360" w:lineRule="auto"/>
              <w:jc w:val="center"/>
              <w:rPr>
                <w:rFonts w:hint="eastAsia" w:cs="Times New Roman" w:asciiTheme="minorEastAsia" w:hAnsiTheme="minorEastAsia" w:eastAsiaTheme="minorEastAsia"/>
                <w:color w:val="auto"/>
                <w:szCs w:val="21"/>
                <w:highlight w:val="none"/>
                <w:lang w:eastAsia="zh-CN"/>
              </w:rPr>
            </w:pPr>
            <w:r>
              <w:rPr>
                <w:rFonts w:hint="eastAsia" w:cs="Times New Roman" w:asciiTheme="minorEastAsia" w:hAnsiTheme="minorEastAsia"/>
                <w:color w:val="auto"/>
                <w:szCs w:val="21"/>
                <w:highlight w:val="none"/>
              </w:rPr>
              <w:t>1</w:t>
            </w:r>
            <w:r>
              <w:rPr>
                <w:rFonts w:cs="Times New Roman" w:asciiTheme="minorEastAsia" w:hAnsiTheme="minorEastAsia"/>
                <w:color w:val="auto"/>
                <w:szCs w:val="21"/>
                <w:highlight w:val="none"/>
              </w:rPr>
              <w:t>5</w:t>
            </w:r>
            <w:r>
              <w:rPr>
                <w:rFonts w:hint="eastAsia" w:cs="Times New Roman" w:asciiTheme="minorEastAsia" w:hAnsiTheme="minorEastAsia"/>
                <w:color w:val="auto"/>
                <w:szCs w:val="21"/>
                <w:highlight w:val="none"/>
                <w:lang w:val="en-US" w:eastAsia="zh-CN"/>
              </w:rPr>
              <w:t>5</w:t>
            </w:r>
          </w:p>
        </w:tc>
        <w:tc>
          <w:tcPr>
            <w:tcW w:w="506"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20</w:t>
            </w:r>
          </w:p>
        </w:tc>
        <w:tc>
          <w:tcPr>
            <w:tcW w:w="704" w:type="dxa"/>
            <w:vAlign w:val="center"/>
          </w:tcPr>
          <w:p>
            <w:pPr>
              <w:spacing w:line="360" w:lineRule="auto"/>
              <w:jc w:val="center"/>
              <w:rPr>
                <w:rFonts w:hint="eastAsia" w:cs="Times New Roman" w:asciiTheme="minorEastAsia" w:hAnsiTheme="minorEastAsia" w:eastAsiaTheme="minorEastAsia"/>
                <w:color w:val="auto"/>
                <w:szCs w:val="21"/>
                <w:highlight w:val="none"/>
                <w:lang w:eastAsia="zh-CN"/>
              </w:rPr>
            </w:pPr>
            <w:r>
              <w:rPr>
                <w:rFonts w:cs="Times New Roman" w:asciiTheme="minorEastAsia" w:hAnsiTheme="minorEastAsia"/>
                <w:color w:val="auto"/>
                <w:szCs w:val="21"/>
                <w:highlight w:val="none"/>
              </w:rPr>
              <w:t>1</w:t>
            </w:r>
            <w:r>
              <w:rPr>
                <w:rFonts w:hint="eastAsia" w:cs="Times New Roman" w:asciiTheme="minorEastAsia" w:hAnsiTheme="minorEastAsia"/>
                <w:color w:val="auto"/>
                <w:szCs w:val="21"/>
                <w:highlight w:val="none"/>
              </w:rPr>
              <w:t>1</w:t>
            </w:r>
            <w:r>
              <w:rPr>
                <w:rFonts w:hint="eastAsia" w:cs="Times New Roman" w:asciiTheme="minorEastAsia" w:hAnsiTheme="minorEastAsia"/>
                <w:color w:val="auto"/>
                <w:szCs w:val="21"/>
                <w:highlight w:val="none"/>
                <w:lang w:val="en-US" w:eastAsia="zh-CN"/>
              </w:rPr>
              <w:t>2</w:t>
            </w:r>
          </w:p>
        </w:tc>
        <w:tc>
          <w:tcPr>
            <w:tcW w:w="540" w:type="dxa"/>
            <w:vAlign w:val="center"/>
          </w:tcPr>
          <w:p>
            <w:pPr>
              <w:spacing w:line="360" w:lineRule="auto"/>
              <w:jc w:val="center"/>
              <w:rPr>
                <w:rFonts w:cs="Times New Roman" w:asciiTheme="minorEastAsia" w:hAnsiTheme="minorEastAsia"/>
                <w:color w:val="auto"/>
                <w:szCs w:val="21"/>
                <w:highlight w:val="none"/>
              </w:rPr>
            </w:pPr>
            <w:r>
              <w:rPr>
                <w:rFonts w:cs="Times New Roman" w:asciiTheme="minorEastAsia" w:hAnsiTheme="minorEastAsia"/>
                <w:color w:val="auto"/>
                <w:szCs w:val="21"/>
                <w:highlight w:val="none"/>
              </w:rPr>
              <w:t>23</w:t>
            </w:r>
          </w:p>
        </w:tc>
        <w:tc>
          <w:tcPr>
            <w:tcW w:w="900" w:type="dxa"/>
            <w:vAlign w:val="center"/>
          </w:tcPr>
          <w:p>
            <w:pPr>
              <w:spacing w:line="360" w:lineRule="auto"/>
              <w:jc w:val="center"/>
              <w:rPr>
                <w:rFonts w:hint="eastAsia" w:cs="Times New Roman" w:asciiTheme="minorEastAsia" w:hAnsiTheme="minorEastAsia" w:eastAsiaTheme="minorEastAsia"/>
                <w:color w:val="auto"/>
                <w:szCs w:val="21"/>
                <w:highlight w:val="none"/>
                <w:lang w:eastAsia="zh-CN"/>
              </w:rPr>
            </w:pPr>
            <w:r>
              <w:rPr>
                <w:rFonts w:hint="eastAsia" w:cs="Times New Roman" w:asciiTheme="minorEastAsia" w:hAnsiTheme="minorEastAsia"/>
                <w:color w:val="auto"/>
                <w:szCs w:val="21"/>
                <w:highlight w:val="none"/>
              </w:rPr>
              <w:t>1</w:t>
            </w:r>
            <w:r>
              <w:rPr>
                <w:rFonts w:hint="eastAsia" w:cs="Times New Roman" w:asciiTheme="minorEastAsia" w:hAnsiTheme="minorEastAsia"/>
                <w:color w:val="auto"/>
                <w:szCs w:val="21"/>
                <w:highlight w:val="none"/>
                <w:lang w:val="en-US" w:eastAsia="zh-CN"/>
              </w:rPr>
              <w:t>2</w:t>
            </w:r>
            <w:r>
              <w:rPr>
                <w:rFonts w:hint="eastAsia" w:cs="Times New Roman" w:asciiTheme="minorEastAsia" w:hAnsiTheme="minorEastAsia"/>
                <w:color w:val="auto"/>
                <w:szCs w:val="21"/>
                <w:highlight w:val="none"/>
              </w:rPr>
              <w:t>.</w:t>
            </w:r>
            <w:r>
              <w:rPr>
                <w:rFonts w:hint="eastAsia" w:cs="Times New Roman" w:asciiTheme="minorEastAsia" w:hAnsiTheme="minorEastAsia"/>
                <w:color w:val="auto"/>
                <w:szCs w:val="21"/>
                <w:highlight w:val="none"/>
                <w:lang w:val="en-US" w:eastAsia="zh-CN"/>
              </w:rPr>
              <w:t>9</w:t>
            </w:r>
          </w:p>
        </w:tc>
        <w:tc>
          <w:tcPr>
            <w:tcW w:w="900"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7</w:t>
            </w:r>
            <w:r>
              <w:rPr>
                <w:rFonts w:hint="eastAsia" w:cs="Times New Roman" w:asciiTheme="minorEastAsia" w:hAnsiTheme="minorEastAsia"/>
                <w:color w:val="auto"/>
                <w:szCs w:val="21"/>
                <w:highlight w:val="none"/>
                <w:lang w:val="en-US" w:eastAsia="zh-CN"/>
              </w:rPr>
              <w:t>2</w:t>
            </w:r>
            <w:r>
              <w:rPr>
                <w:rFonts w:hint="eastAsia" w:cs="Times New Roman" w:asciiTheme="minorEastAsia" w:hAnsiTheme="minorEastAsia"/>
                <w:color w:val="auto"/>
                <w:szCs w:val="21"/>
                <w:highlight w:val="none"/>
              </w:rPr>
              <w:t>.</w:t>
            </w:r>
            <w:r>
              <w:rPr>
                <w:rFonts w:hint="eastAsia" w:cs="Times New Roman" w:asciiTheme="minorEastAsia" w:hAnsiTheme="minorEastAsia"/>
                <w:color w:val="auto"/>
                <w:szCs w:val="21"/>
                <w:highlight w:val="none"/>
                <w:lang w:val="en-US" w:eastAsia="zh-CN"/>
              </w:rPr>
              <w:t>3</w:t>
            </w:r>
            <w:r>
              <w:rPr>
                <w:rFonts w:hint="eastAsia" w:cs="Times New Roman" w:asciiTheme="minorEastAsia" w:hAnsiTheme="minorEastAsia"/>
                <w:color w:val="auto"/>
                <w:szCs w:val="21"/>
                <w:highlight w:val="none"/>
              </w:rPr>
              <w:t>%</w:t>
            </w:r>
          </w:p>
        </w:tc>
        <w:tc>
          <w:tcPr>
            <w:tcW w:w="1036"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lang w:val="en-US" w:eastAsia="zh-CN"/>
              </w:rPr>
              <w:t>14.8</w:t>
            </w:r>
            <w:r>
              <w:rPr>
                <w:rFonts w:hint="eastAsia" w:cs="Times New Roman" w:asciiTheme="minorEastAsia" w:hAnsiTheme="minorEastAsia"/>
                <w:color w:val="auto"/>
                <w:szCs w:val="21"/>
                <w:highlight w:val="none"/>
              </w:rPr>
              <w:t>%</w:t>
            </w:r>
          </w:p>
        </w:tc>
      </w:tr>
    </w:tbl>
    <w:p>
      <w:pPr>
        <w:spacing w:line="360" w:lineRule="auto"/>
        <w:rPr>
          <w:rFonts w:ascii="宋体" w:hAnsi="宋体"/>
          <w:color w:val="auto"/>
          <w:sz w:val="24"/>
          <w:highlight w:val="none"/>
        </w:rPr>
      </w:pPr>
    </w:p>
    <w:p>
      <w:pPr>
        <w:numPr>
          <w:ilvl w:val="0"/>
          <w:numId w:val="3"/>
        </w:numPr>
        <w:spacing w:line="360" w:lineRule="auto"/>
        <w:rPr>
          <w:rFonts w:hint="eastAsia"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取证要求：</w:t>
      </w:r>
    </w:p>
    <w:p>
      <w:pPr>
        <w:numPr>
          <w:ilvl w:val="0"/>
          <w:numId w:val="0"/>
        </w:numPr>
        <w:spacing w:line="360" w:lineRule="auto"/>
        <w:ind w:firstLine="720" w:firstLineChars="300"/>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i w:val="0"/>
          <w:caps w:val="0"/>
          <w:color w:val="auto"/>
          <w:spacing w:val="0"/>
          <w:sz w:val="24"/>
          <w:szCs w:val="24"/>
          <w:highlight w:val="none"/>
          <w:shd w:val="clear" w:fill="FFFFFF"/>
          <w:lang w:val="en-US" w:eastAsia="zh-CN"/>
        </w:rPr>
        <w:t>依据</w:t>
      </w:r>
      <w:r>
        <w:rPr>
          <w:rFonts w:hint="eastAsia" w:asciiTheme="majorEastAsia" w:hAnsiTheme="majorEastAsia" w:eastAsiaTheme="majorEastAsia" w:cstheme="majorEastAsia"/>
          <w:i w:val="0"/>
          <w:caps w:val="0"/>
          <w:color w:val="auto"/>
          <w:spacing w:val="0"/>
          <w:sz w:val="24"/>
          <w:szCs w:val="24"/>
          <w:highlight w:val="none"/>
          <w:shd w:val="clear" w:fill="FFFFFF"/>
        </w:rPr>
        <w:t>《国家职业教育改革实施方案》</w:t>
      </w:r>
      <w:r>
        <w:rPr>
          <w:rFonts w:hint="eastAsia" w:asciiTheme="majorEastAsia" w:hAnsiTheme="majorEastAsia" w:eastAsiaTheme="majorEastAsia" w:cstheme="majorEastAsia"/>
          <w:i w:val="0"/>
          <w:caps w:val="0"/>
          <w:color w:val="auto"/>
          <w:spacing w:val="0"/>
          <w:sz w:val="24"/>
          <w:szCs w:val="24"/>
          <w:highlight w:val="none"/>
          <w:shd w:val="clear" w:fill="FFFFFF"/>
          <w:lang w:eastAsia="zh-CN"/>
        </w:rPr>
        <w:t>，</w:t>
      </w:r>
      <w:r>
        <w:rPr>
          <w:rFonts w:hint="eastAsia" w:asciiTheme="majorEastAsia" w:hAnsiTheme="majorEastAsia" w:eastAsiaTheme="majorEastAsia" w:cstheme="majorEastAsia"/>
          <w:i w:val="0"/>
          <w:caps w:val="0"/>
          <w:color w:val="auto"/>
          <w:spacing w:val="0"/>
          <w:sz w:val="24"/>
          <w:szCs w:val="24"/>
          <w:highlight w:val="none"/>
          <w:shd w:val="clear" w:fill="FFFFFF"/>
          <w:lang w:val="en-US" w:eastAsia="zh-CN"/>
        </w:rPr>
        <w:t>本专业</w:t>
      </w:r>
      <w:r>
        <w:rPr>
          <w:rFonts w:hint="eastAsia" w:asciiTheme="majorEastAsia" w:hAnsiTheme="majorEastAsia" w:eastAsiaTheme="majorEastAsia" w:cstheme="majorEastAsia"/>
          <w:i w:val="0"/>
          <w:caps w:val="0"/>
          <w:color w:val="auto"/>
          <w:spacing w:val="0"/>
          <w:sz w:val="24"/>
          <w:szCs w:val="24"/>
          <w:highlight w:val="none"/>
          <w:shd w:val="clear" w:fill="FFFFFF"/>
        </w:rPr>
        <w:t>借鉴国际职业教育培训普遍做法，启动1+X证书制度</w:t>
      </w:r>
      <w:r>
        <w:rPr>
          <w:rFonts w:hint="eastAsia" w:asciiTheme="majorEastAsia" w:hAnsiTheme="majorEastAsia" w:eastAsiaTheme="majorEastAsia" w:cstheme="majorEastAsia"/>
          <w:i w:val="0"/>
          <w:caps w:val="0"/>
          <w:color w:val="auto"/>
          <w:spacing w:val="0"/>
          <w:sz w:val="24"/>
          <w:szCs w:val="24"/>
          <w:highlight w:val="none"/>
          <w:shd w:val="clear" w:fill="FFFFFF"/>
          <w:lang w:eastAsia="zh-CN"/>
        </w:rPr>
        <w:t>，</w:t>
      </w:r>
      <w:r>
        <w:rPr>
          <w:rFonts w:hint="eastAsia" w:asciiTheme="majorEastAsia" w:hAnsiTheme="majorEastAsia" w:eastAsiaTheme="majorEastAsia" w:cstheme="majorEastAsia"/>
          <w:i w:val="0"/>
          <w:caps w:val="0"/>
          <w:color w:val="auto"/>
          <w:spacing w:val="0"/>
          <w:sz w:val="24"/>
          <w:szCs w:val="24"/>
          <w:highlight w:val="none"/>
          <w:shd w:val="clear" w:fill="FFFFFF"/>
          <w:lang w:val="en-US" w:eastAsia="zh-CN"/>
        </w:rPr>
        <w:t>鼓</w:t>
      </w:r>
      <w:r>
        <w:rPr>
          <w:rFonts w:hint="eastAsia" w:asciiTheme="majorEastAsia" w:hAnsiTheme="majorEastAsia" w:eastAsiaTheme="majorEastAsia" w:cstheme="majorEastAsia"/>
          <w:i w:val="0"/>
          <w:caps w:val="0"/>
          <w:color w:val="auto"/>
          <w:spacing w:val="0"/>
          <w:sz w:val="24"/>
          <w:szCs w:val="24"/>
          <w:highlight w:val="none"/>
          <w:shd w:val="clear" w:fill="FFFFFF"/>
        </w:rPr>
        <w:t>励学生</w:t>
      </w:r>
      <w:r>
        <w:rPr>
          <w:rFonts w:hint="eastAsia" w:asciiTheme="majorEastAsia" w:hAnsiTheme="majorEastAsia" w:eastAsiaTheme="majorEastAsia" w:cstheme="majorEastAsia"/>
          <w:i w:val="0"/>
          <w:caps w:val="0"/>
          <w:color w:val="auto"/>
          <w:spacing w:val="0"/>
          <w:sz w:val="24"/>
          <w:szCs w:val="24"/>
          <w:highlight w:val="none"/>
          <w:shd w:val="clear" w:fill="FFFFFF"/>
          <w:lang w:val="en-US" w:eastAsia="zh-CN"/>
        </w:rPr>
        <w:t>在</w:t>
      </w:r>
      <w:r>
        <w:rPr>
          <w:rFonts w:hint="eastAsia" w:asciiTheme="majorEastAsia" w:hAnsiTheme="majorEastAsia" w:eastAsiaTheme="majorEastAsia" w:cstheme="majorEastAsia"/>
          <w:i w:val="0"/>
          <w:caps w:val="0"/>
          <w:color w:val="auto"/>
          <w:spacing w:val="0"/>
          <w:sz w:val="24"/>
          <w:szCs w:val="24"/>
          <w:highlight w:val="none"/>
          <w:shd w:val="clear" w:fill="FFFFFF"/>
        </w:rPr>
        <w:t>获得学历证书的同时，积极取得</w:t>
      </w:r>
      <w:r>
        <w:rPr>
          <w:rFonts w:hint="eastAsia" w:asciiTheme="majorEastAsia" w:hAnsiTheme="majorEastAsia" w:eastAsiaTheme="majorEastAsia" w:cstheme="majorEastAsia"/>
          <w:i w:val="0"/>
          <w:caps w:val="0"/>
          <w:color w:val="auto"/>
          <w:spacing w:val="0"/>
          <w:sz w:val="24"/>
          <w:szCs w:val="24"/>
          <w:highlight w:val="none"/>
          <w:shd w:val="clear" w:fill="FFFFFF"/>
          <w:lang w:val="en-US" w:eastAsia="zh-CN"/>
        </w:rPr>
        <w:t>如普通话证、计算机等级证等</w:t>
      </w:r>
      <w:r>
        <w:rPr>
          <w:rFonts w:hint="eastAsia" w:asciiTheme="majorEastAsia" w:hAnsiTheme="majorEastAsia" w:eastAsiaTheme="majorEastAsia" w:cstheme="majorEastAsia"/>
          <w:i w:val="0"/>
          <w:caps w:val="0"/>
          <w:color w:val="auto"/>
          <w:spacing w:val="0"/>
          <w:sz w:val="24"/>
          <w:szCs w:val="24"/>
          <w:highlight w:val="none"/>
          <w:shd w:val="clear" w:fill="FFFFFF"/>
        </w:rPr>
        <w:t>多类职业技能等级证书，拓展就业创业本领，缓</w:t>
      </w:r>
      <w:r>
        <w:rPr>
          <w:rFonts w:hint="eastAsia" w:asciiTheme="majorEastAsia" w:hAnsiTheme="majorEastAsia" w:eastAsiaTheme="majorEastAsia" w:cstheme="majorEastAsia"/>
          <w:i w:val="0"/>
          <w:caps w:val="0"/>
          <w:color w:val="auto"/>
          <w:spacing w:val="0"/>
          <w:sz w:val="24"/>
          <w:szCs w:val="24"/>
          <w:highlight w:val="none"/>
          <w:shd w:val="clear" w:fill="FFFFFF"/>
          <w:lang w:val="en-US" w:eastAsia="zh-CN"/>
        </w:rPr>
        <w:t>解</w:t>
      </w:r>
      <w:r>
        <w:rPr>
          <w:rFonts w:hint="eastAsia" w:asciiTheme="majorEastAsia" w:hAnsiTheme="majorEastAsia" w:eastAsiaTheme="majorEastAsia" w:cstheme="majorEastAsia"/>
          <w:i w:val="0"/>
          <w:caps w:val="0"/>
          <w:color w:val="auto"/>
          <w:spacing w:val="0"/>
          <w:sz w:val="24"/>
          <w:szCs w:val="24"/>
          <w:highlight w:val="none"/>
          <w:shd w:val="clear" w:fill="FFFFFF"/>
        </w:rPr>
        <w:t>就业矛盾。</w:t>
      </w:r>
    </w:p>
    <w:p>
      <w:pPr>
        <w:pStyle w:val="3"/>
        <w:rPr>
          <w:b w:val="0"/>
          <w:bCs/>
          <w:color w:val="auto"/>
          <w:highlight w:val="none"/>
        </w:rPr>
      </w:pPr>
      <w:bookmarkStart w:id="25" w:name="_Toc2059"/>
      <w:r>
        <w:rPr>
          <w:rFonts w:hint="eastAsia"/>
          <w:b w:val="0"/>
          <w:bCs/>
          <w:color w:val="auto"/>
          <w:highlight w:val="none"/>
        </w:rPr>
        <w:t>十、学习深造建议</w:t>
      </w:r>
      <w:bookmarkEnd w:id="25"/>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本专业学生可以采用以下渠道接受更高层次教育：</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1</w:t>
      </w:r>
      <w:r>
        <w:rPr>
          <w:rFonts w:hint="eastAsia" w:ascii="宋体" w:hAnsi="宋体" w:eastAsia="宋体" w:cs="Times New Roman"/>
          <w:color w:val="auto"/>
          <w:sz w:val="24"/>
          <w:highlight w:val="none"/>
          <w:lang w:eastAsia="zh-CN"/>
        </w:rPr>
        <w:t>.</w:t>
      </w:r>
      <w:r>
        <w:rPr>
          <w:rFonts w:hint="eastAsia" w:ascii="宋体" w:hAnsi="宋体" w:eastAsia="宋体" w:cs="Times New Roman"/>
          <w:color w:val="auto"/>
          <w:sz w:val="24"/>
          <w:highlight w:val="none"/>
        </w:rPr>
        <w:t>学生在校期间可通过参加专升本考试继续读本科，而后读研进行专业知识方面的深造学习；</w:t>
      </w:r>
    </w:p>
    <w:p>
      <w:pPr>
        <w:spacing w:line="360" w:lineRule="auto"/>
        <w:ind w:firstLine="480" w:firstLineChars="200"/>
        <w:rPr>
          <w:rFonts w:ascii="宋体" w:hAnsi="宋体" w:eastAsia="宋体" w:cs="Times New Roman"/>
          <w:color w:val="auto"/>
          <w:sz w:val="24"/>
          <w:highlight w:val="none"/>
        </w:rPr>
      </w:pPr>
      <w:r>
        <w:rPr>
          <w:rFonts w:hint="eastAsia" w:ascii="宋体" w:hAnsi="宋体" w:eastAsia="宋体" w:cs="Times New Roman"/>
          <w:color w:val="auto"/>
          <w:sz w:val="24"/>
          <w:highlight w:val="none"/>
        </w:rPr>
        <w:t>2</w:t>
      </w:r>
      <w:r>
        <w:rPr>
          <w:rFonts w:hint="eastAsia" w:ascii="宋体" w:hAnsi="宋体" w:eastAsia="宋体" w:cs="Times New Roman"/>
          <w:color w:val="auto"/>
          <w:sz w:val="24"/>
          <w:highlight w:val="none"/>
          <w:lang w:eastAsia="zh-CN"/>
        </w:rPr>
        <w:t>.</w:t>
      </w:r>
      <w:r>
        <w:rPr>
          <w:rFonts w:hint="eastAsia" w:ascii="宋体" w:hAnsi="宋体" w:eastAsia="宋体" w:cs="Times New Roman"/>
          <w:color w:val="auto"/>
          <w:sz w:val="24"/>
          <w:highlight w:val="none"/>
        </w:rPr>
        <w:t>已经毕业参加工作的学生可通过参加成人高考、读函授夜大的专升本或通过自学考试，直接读专科起点的本科；也可以通过脱产的专升本进行深造学习，以扩充自己的专业知识；</w:t>
      </w:r>
    </w:p>
    <w:p>
      <w:pPr>
        <w:spacing w:line="360" w:lineRule="auto"/>
        <w:ind w:firstLine="480" w:firstLineChars="200"/>
        <w:rPr>
          <w:rFonts w:ascii="黑体" w:hAnsi="黑体" w:eastAsia="黑体" w:cs="黑体"/>
          <w:b w:val="0"/>
          <w:bCs w:val="0"/>
          <w:color w:val="auto"/>
          <w:sz w:val="36"/>
          <w:szCs w:val="36"/>
          <w:highlight w:val="none"/>
        </w:rPr>
      </w:pPr>
      <w:r>
        <w:rPr>
          <w:rFonts w:hint="eastAsia" w:ascii="宋体" w:hAnsi="宋体" w:eastAsia="宋体" w:cs="Times New Roman"/>
          <w:color w:val="auto"/>
          <w:sz w:val="24"/>
          <w:highlight w:val="none"/>
        </w:rPr>
        <w:t>3</w:t>
      </w:r>
      <w:r>
        <w:rPr>
          <w:rFonts w:hint="eastAsia" w:ascii="宋体" w:hAnsi="宋体" w:eastAsia="宋体" w:cs="Times New Roman"/>
          <w:color w:val="auto"/>
          <w:sz w:val="24"/>
          <w:highlight w:val="none"/>
          <w:lang w:eastAsia="zh-CN"/>
        </w:rPr>
        <w:t>.</w:t>
      </w:r>
      <w:r>
        <w:rPr>
          <w:rFonts w:hint="eastAsia" w:ascii="宋体" w:hAnsi="宋体" w:eastAsia="宋体" w:cs="Times New Roman"/>
          <w:color w:val="auto"/>
          <w:sz w:val="24"/>
          <w:highlight w:val="none"/>
        </w:rPr>
        <w:t>已经工作且在管理岗位任职的学生也可通过自考、函授、夜大等形式继续学习管理方面的知识，为今后的工作打下一定的基础。</w:t>
      </w:r>
    </w:p>
    <w:p>
      <w:pPr>
        <w:pStyle w:val="2"/>
        <w:spacing w:line="360" w:lineRule="auto"/>
        <w:jc w:val="center"/>
        <w:rPr>
          <w:rFonts w:ascii="黑体" w:hAnsi="黑体" w:eastAsia="黑体" w:cs="黑体"/>
          <w:b w:val="0"/>
          <w:bCs w:val="0"/>
          <w:color w:val="auto"/>
          <w:sz w:val="36"/>
          <w:szCs w:val="36"/>
          <w:highlight w:val="none"/>
        </w:rPr>
      </w:pPr>
      <w:bookmarkStart w:id="26" w:name="_Toc22005"/>
      <w:r>
        <w:rPr>
          <w:rFonts w:hint="eastAsia" w:ascii="黑体" w:hAnsi="黑体" w:eastAsia="黑体" w:cs="黑体"/>
          <w:b w:val="0"/>
          <w:bCs w:val="0"/>
          <w:color w:val="auto"/>
          <w:sz w:val="36"/>
          <w:szCs w:val="36"/>
          <w:highlight w:val="none"/>
        </w:rPr>
        <w:t>第二部分 煤化工技术专业人才需求</w:t>
      </w:r>
      <w:bookmarkEnd w:id="26"/>
    </w:p>
    <w:p>
      <w:pPr>
        <w:pStyle w:val="2"/>
        <w:spacing w:line="360" w:lineRule="auto"/>
        <w:jc w:val="center"/>
        <w:rPr>
          <w:rFonts w:ascii="黑体" w:hAnsi="黑体" w:eastAsia="黑体" w:cs="黑体"/>
          <w:b w:val="0"/>
          <w:bCs w:val="0"/>
          <w:color w:val="auto"/>
          <w:sz w:val="36"/>
          <w:szCs w:val="36"/>
          <w:highlight w:val="none"/>
        </w:rPr>
      </w:pPr>
      <w:bookmarkStart w:id="27" w:name="_Toc12282"/>
      <w:bookmarkStart w:id="28" w:name="_Toc27605"/>
      <w:bookmarkStart w:id="29" w:name="_Toc3627"/>
      <w:r>
        <w:rPr>
          <w:rFonts w:hint="eastAsia" w:ascii="黑体" w:hAnsi="黑体" w:eastAsia="黑体" w:cs="黑体"/>
          <w:b w:val="0"/>
          <w:bCs w:val="0"/>
          <w:color w:val="auto"/>
          <w:sz w:val="36"/>
          <w:szCs w:val="36"/>
          <w:highlight w:val="none"/>
          <w:lang w:val="en-US" w:eastAsia="zh-CN"/>
        </w:rPr>
        <w:t xml:space="preserve">     </w:t>
      </w:r>
      <w:r>
        <w:rPr>
          <w:rFonts w:hint="eastAsia" w:ascii="黑体" w:hAnsi="黑体" w:eastAsia="黑体" w:cs="黑体"/>
          <w:b w:val="0"/>
          <w:bCs w:val="0"/>
          <w:color w:val="auto"/>
          <w:sz w:val="36"/>
          <w:szCs w:val="36"/>
          <w:highlight w:val="none"/>
        </w:rPr>
        <w:t>与专业建设调研报告</w:t>
      </w:r>
      <w:bookmarkEnd w:id="27"/>
      <w:bookmarkEnd w:id="28"/>
      <w:bookmarkEnd w:id="29"/>
    </w:p>
    <w:p>
      <w:pPr>
        <w:pStyle w:val="3"/>
        <w:spacing w:before="0" w:after="0" w:line="360" w:lineRule="auto"/>
        <w:ind w:firstLine="640" w:firstLineChars="200"/>
        <w:rPr>
          <w:b w:val="0"/>
          <w:bCs/>
          <w:color w:val="auto"/>
          <w:highlight w:val="none"/>
        </w:rPr>
      </w:pPr>
      <w:bookmarkStart w:id="30" w:name="_Toc339985608"/>
      <w:bookmarkStart w:id="31" w:name="_Toc341338637"/>
      <w:bookmarkStart w:id="32" w:name="_Toc29128"/>
      <w:bookmarkStart w:id="33" w:name="_Toc339913807"/>
      <w:r>
        <w:rPr>
          <w:rFonts w:hint="eastAsia"/>
          <w:b w:val="0"/>
          <w:bCs/>
          <w:color w:val="auto"/>
          <w:highlight w:val="none"/>
        </w:rPr>
        <w:t>一、专业人才需求与专业建设调研基本思路与方法</w:t>
      </w:r>
      <w:bookmarkEnd w:id="30"/>
      <w:bookmarkEnd w:id="31"/>
      <w:bookmarkEnd w:id="32"/>
      <w:bookmarkEnd w:id="33"/>
    </w:p>
    <w:p>
      <w:pPr>
        <w:spacing w:line="360" w:lineRule="auto"/>
        <w:ind w:firstLine="300" w:firstLineChars="100"/>
        <w:rPr>
          <w:rFonts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 xml:space="preserve">（一）指导思想 </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坚持以科学发展观为指导，以《教育部关于职业院校专业人才培养方案制订与实施工作的指导意见》（教职成〔2019〕13号）为依据，结合《高等职业学校煤化工技术专业教学标准》（2019版），充分尊重行业用人单位对生产管理与服务一线应用型人才的客观要求，综合本专业毕业生从业现状和职业生涯发展的需求，以就业为导向，以能力为本位，以岗位群的能力需要为依据，把握用人单位对本专业的需求，明确专业培养目标，探索煤化工技术专业建设的思路与方案。</w:t>
      </w:r>
    </w:p>
    <w:p>
      <w:pPr>
        <w:spacing w:line="360" w:lineRule="auto"/>
        <w:ind w:firstLine="300" w:firstLineChars="100"/>
        <w:rPr>
          <w:rFonts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 xml:space="preserve">（二）基本思路 </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为使煤化工技术专业人才培养的目标与用人单位需求实现“零距离”对接，使煤化工技术专业人才培养方案科学合理，深入与本专业联系较为紧密的企业调研，从宏观上把握煤化工行业发展以及煤化工企业的人才需求，从而实现专业发展与区域产业对接、课程内容与职业标准对接、教学过程与生产过程对接的目标。</w:t>
      </w:r>
    </w:p>
    <w:p>
      <w:pPr>
        <w:spacing w:line="360" w:lineRule="auto"/>
        <w:ind w:firstLine="300" w:firstLineChars="100"/>
        <w:rPr>
          <w:rFonts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 xml:space="preserve">（三）调研方法 </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行业调研：掌握行业发展现况、方向以及存在问题和人才需求情况；</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企业调研：筛选部分有代表性的煤化工企业，调查企业发展状况和人才需求情况，搞清楚对人才质量及规格的要求；</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走访毕业生就业单位：了解初始就业岗位、岗位变化情况、企业对毕业生的评价、毕业生对学校与专业教学的意见与建议；</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兄弟院校调研：了解应用煤化工生产技术专业设置、学生人数、教学情况、就业方向。</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调研方法主要有问卷调查、走访调查、专题座谈、信息查询、专题研讨等行式。通过对我市及周边地区煤化工企业走访，与企业相关人员座谈，与职业资格鉴定部门、职业教育研究机构咨询，与我院煤炭专业毕业生座谈，了解企业需求和企业对毕业生专业知识与技能的要求。</w:t>
      </w:r>
    </w:p>
    <w:p>
      <w:pPr>
        <w:pStyle w:val="3"/>
        <w:spacing w:before="0" w:after="0" w:line="360" w:lineRule="auto"/>
        <w:ind w:firstLine="640" w:firstLineChars="200"/>
        <w:rPr>
          <w:b w:val="0"/>
          <w:bCs/>
          <w:color w:val="auto"/>
          <w:highlight w:val="none"/>
        </w:rPr>
      </w:pPr>
      <w:bookmarkStart w:id="34" w:name="_Toc30181"/>
      <w:r>
        <w:rPr>
          <w:rFonts w:hint="eastAsia"/>
          <w:b w:val="0"/>
          <w:bCs/>
          <w:color w:val="auto"/>
          <w:highlight w:val="none"/>
        </w:rPr>
        <w:t>二、专业人才需求调研</w:t>
      </w:r>
      <w:bookmarkEnd w:id="0"/>
      <w:bookmarkEnd w:id="1"/>
      <w:bookmarkEnd w:id="2"/>
      <w:bookmarkEnd w:id="34"/>
    </w:p>
    <w:p>
      <w:pPr>
        <w:spacing w:line="360" w:lineRule="auto"/>
        <w:ind w:firstLine="300" w:firstLineChars="100"/>
        <w:rPr>
          <w:rFonts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（一）行业发展社会背景与政策</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为贯彻落实中央、山西省委经济工作会议，加快我省化工行业转型升级，推动煤炭资源清洁高效利用，山西省印发《山西省化工行业2019年行动计划》（晋工信化工字〔2019〕82号），提出加快形成大型化、多联产、一体化的现代煤化工产业格局，实现煤化工行业“三转变”，即产品由资源型向材料型转变，产业链由上游向下游转变，价值链由低端向高端转变”，加快行业创新、集聚、绿色发展。结合煤化工技术专业发展，整理文件重点任务如下：</w:t>
      </w:r>
    </w:p>
    <w:p>
      <w:pPr>
        <w:numPr>
          <w:ilvl w:val="0"/>
          <w:numId w:val="4"/>
        </w:numPr>
        <w:spacing w:line="360" w:lineRule="auto"/>
        <w:ind w:firstLine="480" w:firstLineChars="200"/>
        <w:rPr>
          <w:rFonts w:ascii="宋体" w:hAnsi="宋体"/>
          <w:color w:val="auto"/>
          <w:sz w:val="24"/>
          <w:highlight w:val="none"/>
        </w:rPr>
      </w:pPr>
      <w:r>
        <w:rPr>
          <w:rFonts w:hint="eastAsia" w:ascii="宋体" w:hAnsi="宋体"/>
          <w:color w:val="auto"/>
          <w:sz w:val="24"/>
          <w:highlight w:val="none"/>
        </w:rPr>
        <w:t>以新型煤化工重大项目建设为抓手，以重点企业为依托，积极推进长治-晋纤维和5万吨/年锦纶6高性能工业纤维项目、鸿通煤化工年产20万吨乙二醇项目等十六个重点项目。</w:t>
      </w:r>
    </w:p>
    <w:p>
      <w:pPr>
        <w:numPr>
          <w:ilvl w:val="0"/>
          <w:numId w:val="4"/>
        </w:numPr>
        <w:spacing w:line="360" w:lineRule="auto"/>
        <w:ind w:firstLine="480" w:firstLineChars="200"/>
        <w:rPr>
          <w:rFonts w:ascii="宋体" w:hAnsi="宋体"/>
          <w:color w:val="auto"/>
          <w:sz w:val="24"/>
          <w:highlight w:val="none"/>
        </w:rPr>
      </w:pPr>
      <w:r>
        <w:rPr>
          <w:rFonts w:hint="eastAsia" w:ascii="宋体" w:hAnsi="宋体"/>
          <w:color w:val="auto"/>
          <w:sz w:val="24"/>
          <w:highlight w:val="none"/>
        </w:rPr>
        <w:t>鼓励企业创新发展，支持企业开展工业性试验示范装置建设。支持省内化工企业与行业龙头企业、中央企业开展多种形式的联合重组，实现技术、资本、产业的优势耦合。</w:t>
      </w:r>
    </w:p>
    <w:p>
      <w:pPr>
        <w:numPr>
          <w:ilvl w:val="0"/>
          <w:numId w:val="4"/>
        </w:num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加快我省传统煤化工转型创新步伐，大力推进焦化化产深加工，实现传统煤化工产业提质升级。鼓励现有化肥、甲醇、电石、聚氯乙烯等装置开展技术改造和智能化改造，优化工艺流程，提升装置水平。</w:t>
      </w:r>
    </w:p>
    <w:p>
      <w:pPr>
        <w:numPr>
          <w:ilvl w:val="0"/>
          <w:numId w:val="4"/>
        </w:num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拟定产业发展指导意见，引导行业合理布局，在行业规划、产业政策、法规标准方面做好安全、环保、节能等工作，促进行业安全绿色发展。</w:t>
      </w:r>
    </w:p>
    <w:p>
      <w:pPr>
        <w:numPr>
          <w:ilvl w:val="0"/>
          <w:numId w:val="4"/>
        </w:numPr>
        <w:spacing w:line="360" w:lineRule="auto"/>
        <w:ind w:firstLine="480" w:firstLineChars="200"/>
        <w:rPr>
          <w:rFonts w:ascii="宋体" w:hAnsi="宋体"/>
          <w:color w:val="auto"/>
          <w:sz w:val="24"/>
          <w:highlight w:val="none"/>
        </w:rPr>
      </w:pPr>
      <w:r>
        <w:rPr>
          <w:rFonts w:hint="eastAsia" w:ascii="宋体" w:hAnsi="宋体"/>
          <w:color w:val="auto"/>
          <w:sz w:val="24"/>
          <w:highlight w:val="none"/>
        </w:rPr>
        <w:t>鼓励和引导企业组建创新联盟和产业联盟，实现技术、人才优势互补，产业链耦合优化，推进产业集群化、系统化、协同化发展。</w:t>
      </w:r>
    </w:p>
    <w:p>
      <w:pPr>
        <w:widowControl/>
        <w:snapToGrid w:val="0"/>
        <w:spacing w:line="360" w:lineRule="auto"/>
        <w:ind w:firstLine="480" w:firstLineChars="200"/>
        <w:jc w:val="left"/>
        <w:rPr>
          <w:rFonts w:ascii="宋体" w:hAnsi="宋体"/>
          <w:color w:val="auto"/>
          <w:sz w:val="24"/>
          <w:highlight w:val="none"/>
        </w:rPr>
      </w:pPr>
      <w:r>
        <w:rPr>
          <w:rFonts w:ascii="Times New Roman" w:hAnsi="Times New Roman"/>
          <w:color w:val="auto"/>
          <w:kern w:val="0"/>
          <w:sz w:val="24"/>
          <w:highlight w:val="none"/>
        </w:rPr>
        <w:t>晋城市以天泽、兰花等大企业大集团为龙头，以巴公、高平西部、北留周村等化工园区为载体，围绕</w:t>
      </w:r>
      <w:r>
        <w:rPr>
          <w:rFonts w:hint="eastAsia" w:ascii="Times New Roman" w:hAnsi="Times New Roman"/>
          <w:color w:val="auto"/>
          <w:kern w:val="0"/>
          <w:sz w:val="24"/>
          <w:highlight w:val="none"/>
        </w:rPr>
        <w:t>“</w:t>
      </w:r>
      <w:r>
        <w:rPr>
          <w:rFonts w:ascii="Times New Roman" w:hAnsi="Times New Roman"/>
          <w:color w:val="auto"/>
          <w:kern w:val="0"/>
          <w:sz w:val="24"/>
          <w:highlight w:val="none"/>
        </w:rPr>
        <w:t>肥、醇、醚、烃、油</w:t>
      </w:r>
      <w:r>
        <w:rPr>
          <w:rFonts w:hint="eastAsia" w:ascii="Times New Roman" w:hAnsi="Times New Roman"/>
          <w:color w:val="auto"/>
          <w:kern w:val="0"/>
          <w:sz w:val="24"/>
          <w:highlight w:val="none"/>
        </w:rPr>
        <w:t>”</w:t>
      </w:r>
      <w:r>
        <w:rPr>
          <w:rFonts w:ascii="Times New Roman" w:hAnsi="Times New Roman"/>
          <w:color w:val="auto"/>
          <w:kern w:val="0"/>
          <w:sz w:val="24"/>
          <w:highlight w:val="none"/>
        </w:rPr>
        <w:t>五条发展主线，拉长产业链条，增加附加值，形成</w:t>
      </w:r>
      <w:r>
        <w:rPr>
          <w:rFonts w:hint="eastAsia" w:ascii="Times New Roman" w:hAnsi="Times New Roman"/>
          <w:color w:val="auto"/>
          <w:kern w:val="0"/>
          <w:sz w:val="24"/>
          <w:highlight w:val="none"/>
        </w:rPr>
        <w:t>了</w:t>
      </w:r>
      <w:r>
        <w:rPr>
          <w:rFonts w:ascii="Times New Roman" w:hAnsi="Times New Roman"/>
          <w:color w:val="auto"/>
          <w:kern w:val="0"/>
          <w:sz w:val="24"/>
          <w:highlight w:val="none"/>
        </w:rPr>
        <w:t>煤、肥、电和醇、醚、烃及精细化工并举的格局。</w:t>
      </w:r>
      <w:r>
        <w:rPr>
          <w:rFonts w:hint="eastAsia" w:ascii="宋体" w:hAnsi="宋体" w:eastAsia="宋体" w:cs="宋体"/>
          <w:i w:val="0"/>
          <w:caps w:val="0"/>
          <w:color w:val="auto"/>
          <w:spacing w:val="0"/>
          <w:sz w:val="24"/>
          <w:szCs w:val="24"/>
          <w:highlight w:val="none"/>
          <w:shd w:val="clear" w:fill="FFFFFF"/>
        </w:rPr>
        <w:t>目前，晋城市煤化工产业已形成年产400万吨合成氨、600万吨尿素的产能，在全国有了举足轻重的地位。从产业链延伸方面看，随着一批新型煤化工产品相继推出，已建成年产200万吨甲醇、60万吨煤制油、25万吨二甲醚、12万吨甲醛、10万吨己内酰胺、1.5万吨三聚氰胺、1万吨乌洛托品生产能力，形成了以合成氨、尿素为主体，包括甲醇、煤制油、甲醛、己内酰胺、二甲醚、乌洛托品等产品的新格局。</w:t>
      </w:r>
    </w:p>
    <w:p>
      <w:pPr>
        <w:spacing w:line="360" w:lineRule="auto"/>
        <w:ind w:firstLine="300" w:firstLineChars="100"/>
        <w:rPr>
          <w:rFonts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（二）行业发展与人才需求</w:t>
      </w:r>
    </w:p>
    <w:p>
      <w:pPr>
        <w:numPr>
          <w:ilvl w:val="0"/>
          <w:numId w:val="0"/>
        </w:numPr>
        <w:spacing w:line="360" w:lineRule="auto"/>
        <w:ind w:firstLine="480" w:firstLineChars="200"/>
        <w:rPr>
          <w:rFonts w:ascii="宋体" w:hAnsi="宋体"/>
          <w:b/>
          <w:bCs/>
          <w:color w:val="auto"/>
          <w:sz w:val="24"/>
          <w:highlight w:val="none"/>
        </w:rPr>
      </w:pPr>
      <w:r>
        <w:rPr>
          <w:rFonts w:hint="eastAsia" w:ascii="宋体" w:hAnsi="宋体"/>
          <w:color w:val="auto"/>
          <w:sz w:val="24"/>
          <w:highlight w:val="none"/>
        </w:rPr>
        <w:t>在学术委员会的支持下，</w:t>
      </w:r>
      <w:r>
        <w:rPr>
          <w:rFonts w:hint="eastAsia" w:ascii="Times New Roman" w:hAnsi="Times New Roman"/>
          <w:color w:val="auto"/>
          <w:sz w:val="24"/>
          <w:highlight w:val="none"/>
          <w:lang w:val="en-US" w:eastAsia="zh-CN"/>
        </w:rPr>
        <w:t>在晋城职业技术学院领导支持下，借助中德合作办学的平台，组织专业教师</w:t>
      </w:r>
      <w:r>
        <w:rPr>
          <w:rFonts w:hint="eastAsia" w:ascii="Times New Roman" w:hAnsi="Times New Roman"/>
          <w:color w:val="auto"/>
          <w:sz w:val="24"/>
          <w:highlight w:val="none"/>
        </w:rPr>
        <w:t>对晋城市</w:t>
      </w:r>
      <w:r>
        <w:rPr>
          <w:rFonts w:hint="eastAsia" w:ascii="Times New Roman" w:hAnsi="Times New Roman"/>
          <w:color w:val="auto"/>
          <w:sz w:val="24"/>
          <w:highlight w:val="none"/>
          <w:lang w:val="en-US" w:eastAsia="zh-CN"/>
        </w:rPr>
        <w:t>兰花集团人力资源部，晋煤集团华昱煤化工等</w:t>
      </w:r>
      <w:r>
        <w:rPr>
          <w:rFonts w:hint="eastAsia" w:ascii="Times New Roman" w:hAnsi="Times New Roman"/>
          <w:color w:val="auto"/>
          <w:sz w:val="24"/>
          <w:highlight w:val="none"/>
        </w:rPr>
        <w:t>相关企业</w:t>
      </w:r>
      <w:r>
        <w:rPr>
          <w:rFonts w:hint="eastAsia" w:ascii="Times New Roman" w:hAnsi="Times New Roman"/>
          <w:color w:val="auto"/>
          <w:sz w:val="24"/>
          <w:highlight w:val="none"/>
          <w:lang w:val="en-US" w:eastAsia="zh-CN"/>
        </w:rPr>
        <w:t>进行走访调研，</w:t>
      </w:r>
      <w:r>
        <w:rPr>
          <w:rFonts w:hint="eastAsia" w:ascii="Times New Roman" w:hAnsi="Times New Roman"/>
          <w:color w:val="auto"/>
          <w:sz w:val="24"/>
          <w:highlight w:val="none"/>
        </w:rPr>
        <w:t>了解到晋城煤化工</w:t>
      </w:r>
      <w:r>
        <w:rPr>
          <w:rFonts w:hint="eastAsia" w:ascii="Times New Roman" w:hAnsi="Times New Roman"/>
          <w:color w:val="auto"/>
          <w:sz w:val="24"/>
          <w:highlight w:val="none"/>
          <w:lang w:val="en-US" w:eastAsia="zh-CN"/>
        </w:rPr>
        <w:t>行业以环境保护倒逼落后产能退出、转型传统产业升级，正紧锣密鼓上马诸如“气化岛”这样的推动高质量转型发展的新项目，这些新项目目前处于专题探讨阶段，等开工之后</w:t>
      </w:r>
      <w:r>
        <w:rPr>
          <w:rFonts w:hint="eastAsia" w:ascii="Times New Roman" w:hAnsi="Times New Roman"/>
          <w:color w:val="auto"/>
          <w:sz w:val="24"/>
          <w:highlight w:val="none"/>
        </w:rPr>
        <w:t>仍需要高技能人才担任</w:t>
      </w:r>
      <w:r>
        <w:rPr>
          <w:rFonts w:hint="eastAsia" w:ascii="Times New Roman" w:hAnsi="Times New Roman"/>
          <w:color w:val="auto"/>
          <w:sz w:val="24"/>
          <w:highlight w:val="none"/>
          <w:lang w:val="en-US" w:eastAsia="zh-CN"/>
        </w:rPr>
        <w:t>设备操作和</w:t>
      </w:r>
      <w:r>
        <w:rPr>
          <w:rFonts w:hint="eastAsia" w:ascii="Times New Roman" w:hAnsi="Times New Roman"/>
          <w:color w:val="auto"/>
          <w:sz w:val="24"/>
          <w:highlight w:val="none"/>
        </w:rPr>
        <w:t>技改</w:t>
      </w:r>
      <w:r>
        <w:rPr>
          <w:rFonts w:hint="eastAsia" w:ascii="Times New Roman" w:hAnsi="Times New Roman"/>
          <w:color w:val="auto"/>
          <w:sz w:val="24"/>
          <w:highlight w:val="none"/>
          <w:lang w:val="en-US" w:eastAsia="zh-CN"/>
        </w:rPr>
        <w:t>的</w:t>
      </w:r>
      <w:r>
        <w:rPr>
          <w:rFonts w:hint="eastAsia" w:ascii="Times New Roman" w:hAnsi="Times New Roman"/>
          <w:color w:val="auto"/>
          <w:sz w:val="24"/>
          <w:highlight w:val="none"/>
        </w:rPr>
        <w:t>重任</w:t>
      </w:r>
      <w:r>
        <w:rPr>
          <w:rFonts w:hint="eastAsia" w:ascii="Times New Roman" w:hAnsi="Times New Roman"/>
          <w:color w:val="auto"/>
          <w:sz w:val="24"/>
          <w:highlight w:val="none"/>
          <w:lang w:eastAsia="zh-CN"/>
        </w:rPr>
        <w:t>。</w:t>
      </w:r>
      <w:r>
        <w:rPr>
          <w:rFonts w:hint="eastAsia" w:ascii="Times New Roman" w:hAnsi="Times New Roman"/>
          <w:color w:val="auto"/>
          <w:sz w:val="24"/>
          <w:highlight w:val="none"/>
          <w:lang w:val="en-US" w:eastAsia="zh-CN"/>
        </w:rPr>
        <w:t>兰花</w:t>
      </w:r>
      <w:r>
        <w:rPr>
          <w:rFonts w:hint="eastAsia" w:ascii="Times New Roman" w:hAnsi="Times New Roman"/>
          <w:color w:val="auto"/>
          <w:sz w:val="24"/>
          <w:highlight w:val="none"/>
        </w:rPr>
        <w:t>人力资源部负责人提到</w:t>
      </w:r>
      <w:r>
        <w:rPr>
          <w:rFonts w:hint="eastAsia" w:ascii="Times New Roman" w:hAnsi="Times New Roman"/>
          <w:color w:val="auto"/>
          <w:sz w:val="24"/>
          <w:highlight w:val="none"/>
          <w:lang w:val="en-US" w:eastAsia="zh-CN"/>
        </w:rPr>
        <w:t>这些高技能人才一部分从在集团内部进行招考，有能力者居之，一部分从院校招聘，校园招聘对于新进</w:t>
      </w:r>
      <w:r>
        <w:rPr>
          <w:rFonts w:hint="eastAsia" w:ascii="Times New Roman" w:hAnsi="Times New Roman"/>
          <w:color w:val="auto"/>
          <w:sz w:val="24"/>
          <w:highlight w:val="none"/>
        </w:rPr>
        <w:t>高技能人才具体有四点要求：讲奉献精神、快速融入企业文化；动手能力强，不需要企业花费二、三年的时间进行培养；安全意识强，要把安全意识融入到点滴工作中。</w:t>
      </w:r>
      <w:r>
        <w:rPr>
          <w:rFonts w:hint="eastAsia" w:ascii="Times New Roman" w:hAnsi="Times New Roman"/>
          <w:color w:val="auto"/>
          <w:sz w:val="24"/>
          <w:highlight w:val="none"/>
          <w:lang w:val="en-US" w:eastAsia="zh-CN"/>
        </w:rPr>
        <w:t>晋煤集团华昱煤化工的负责人表示华昱煤化工是晋煤集团“高硫煤洁净利用循环经济工业园”项目的一个子项目，分三期实施建设，其中一期为高硫煤洁净利用年产百万吨清洁燃料项目。华昱作为一个年轻的企业</w:t>
      </w:r>
      <w:r>
        <w:rPr>
          <w:rFonts w:hint="eastAsia" w:ascii="Times New Roman" w:hAnsi="Times New Roman"/>
          <w:color w:val="auto"/>
          <w:sz w:val="24"/>
          <w:highlight w:val="none"/>
        </w:rPr>
        <w:t>需要大量高、初级技术人才和销售人才。</w:t>
      </w:r>
      <w:r>
        <w:rPr>
          <w:rFonts w:hint="eastAsia" w:ascii="Times New Roman" w:hAnsi="Times New Roman"/>
          <w:color w:val="auto"/>
          <w:sz w:val="24"/>
          <w:highlight w:val="none"/>
          <w:lang w:val="en-US" w:eastAsia="zh-CN"/>
        </w:rPr>
        <w:t>针对职业院校培养的初级技术人才要求在掌握基础知识和实操经验的前提下，必须有很高的安全意识、基本职业素养，要能踏实肯干，坚守枯燥的技术岗位。</w:t>
      </w:r>
    </w:p>
    <w:p>
      <w:pPr>
        <w:spacing w:line="360" w:lineRule="auto"/>
        <w:ind w:firstLine="300" w:firstLineChars="100"/>
        <w:rPr>
          <w:rFonts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（三）区域专业对应的职业岗位分析</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为适应晋城市区域经济的发展，</w:t>
      </w:r>
      <w:r>
        <w:rPr>
          <w:rFonts w:ascii="宋体" w:hAnsi="宋体"/>
          <w:color w:val="auto"/>
          <w:sz w:val="24"/>
          <w:highlight w:val="none"/>
        </w:rPr>
        <w:t>学院投入大量资金组成专业调研团队，深入企业和行业协会进行了充分的调研论证，经调研</w:t>
      </w:r>
      <w:r>
        <w:rPr>
          <w:rFonts w:hint="eastAsia" w:ascii="宋体" w:hAnsi="宋体"/>
          <w:color w:val="auto"/>
          <w:sz w:val="24"/>
          <w:highlight w:val="none"/>
        </w:rPr>
        <w:t>煤化工行业</w:t>
      </w:r>
      <w:r>
        <w:rPr>
          <w:rFonts w:ascii="宋体" w:hAnsi="宋体"/>
          <w:color w:val="auto"/>
          <w:sz w:val="24"/>
          <w:highlight w:val="none"/>
        </w:rPr>
        <w:t>主要</w:t>
      </w:r>
      <w:r>
        <w:rPr>
          <w:rFonts w:hint="eastAsia" w:ascii="宋体" w:hAnsi="宋体"/>
          <w:color w:val="auto"/>
          <w:sz w:val="24"/>
          <w:highlight w:val="none"/>
        </w:rPr>
        <w:t>人才需求岗</w:t>
      </w:r>
      <w:r>
        <w:rPr>
          <w:rFonts w:ascii="宋体" w:hAnsi="宋体"/>
          <w:color w:val="auto"/>
          <w:sz w:val="24"/>
          <w:highlight w:val="none"/>
        </w:rPr>
        <w:t>位包括：煤化工工艺操作、DCS操作、设备维护、仪表控制、产品质量控制和检测、安全管理和产品营销等。这为</w:t>
      </w:r>
      <w:r>
        <w:rPr>
          <w:rFonts w:hint="eastAsia" w:ascii="宋体" w:hAnsi="宋体"/>
          <w:color w:val="auto"/>
          <w:sz w:val="24"/>
          <w:highlight w:val="none"/>
        </w:rPr>
        <w:t>煤化工生产技术</w:t>
      </w:r>
      <w:r>
        <w:rPr>
          <w:rFonts w:ascii="宋体" w:hAnsi="宋体"/>
          <w:color w:val="auto"/>
          <w:sz w:val="24"/>
          <w:highlight w:val="none"/>
        </w:rPr>
        <w:t>专业的发展提供了前所未有的机遇。</w:t>
      </w:r>
    </w:p>
    <w:p>
      <w:pPr>
        <w:spacing w:line="360" w:lineRule="auto"/>
        <w:ind w:firstLine="480" w:firstLineChars="200"/>
        <w:rPr>
          <w:rFonts w:ascii="宋体" w:hAnsi="宋体"/>
          <w:color w:val="auto"/>
          <w:sz w:val="24"/>
          <w:highlight w:val="none"/>
        </w:rPr>
      </w:pPr>
    </w:p>
    <w:p>
      <w:pPr>
        <w:spacing w:line="360" w:lineRule="auto"/>
        <w:ind w:firstLine="480" w:firstLineChars="200"/>
        <w:rPr>
          <w:rFonts w:ascii="宋体" w:hAnsi="宋体"/>
          <w:color w:val="auto"/>
          <w:sz w:val="24"/>
          <w:highlight w:val="none"/>
        </w:rPr>
      </w:pPr>
    </w:p>
    <w:p>
      <w:pPr>
        <w:spacing w:line="360" w:lineRule="auto"/>
        <w:ind w:firstLine="480" w:firstLineChars="200"/>
        <w:rPr>
          <w:rFonts w:ascii="宋体" w:hAnsi="宋体"/>
          <w:color w:val="auto"/>
          <w:sz w:val="24"/>
          <w:highlight w:val="none"/>
        </w:rPr>
      </w:pPr>
    </w:p>
    <w:p>
      <w:pPr>
        <w:spacing w:line="360" w:lineRule="auto"/>
        <w:ind w:firstLine="480" w:firstLineChars="200"/>
        <w:rPr>
          <w:rFonts w:ascii="宋体" w:hAnsi="宋体"/>
          <w:color w:val="auto"/>
          <w:sz w:val="24"/>
          <w:highlight w:val="none"/>
        </w:rPr>
      </w:pPr>
    </w:p>
    <w:p>
      <w:pPr>
        <w:spacing w:line="360" w:lineRule="auto"/>
        <w:rPr>
          <w:rFonts w:ascii="宋体" w:hAnsi="宋体"/>
          <w:color w:val="auto"/>
          <w:sz w:val="24"/>
          <w:highlight w:val="none"/>
        </w:rPr>
      </w:pPr>
    </w:p>
    <w:p>
      <w:pPr>
        <w:spacing w:line="360" w:lineRule="auto"/>
        <w:rPr>
          <w:rFonts w:ascii="宋体" w:hAnsi="宋体"/>
          <w:color w:val="auto"/>
          <w:sz w:val="24"/>
          <w:highlight w:val="none"/>
        </w:rPr>
      </w:pPr>
      <w:r>
        <w:rPr>
          <w:rFonts w:ascii="宋体" w:hAnsi="宋体"/>
          <w:color w:val="auto"/>
          <w:sz w:val="24"/>
          <w:highlight w:val="none"/>
        </w:rPr>
        <mc:AlternateContent>
          <mc:Choice Requires="wps">
            <w:drawing>
              <wp:anchor distT="0" distB="0" distL="114300" distR="114300" simplePos="0" relativeHeight="251688960" behindDoc="0" locked="0" layoutInCell="1" allowOverlap="1">
                <wp:simplePos x="0" y="0"/>
                <wp:positionH relativeFrom="column">
                  <wp:posOffset>2063115</wp:posOffset>
                </wp:positionH>
                <wp:positionV relativeFrom="paragraph">
                  <wp:posOffset>127000</wp:posOffset>
                </wp:positionV>
                <wp:extent cx="1371600" cy="302895"/>
                <wp:effectExtent l="4445" t="5080" r="14605" b="15875"/>
                <wp:wrapNone/>
                <wp:docPr id="67" name="文本框 49"/>
                <wp:cNvGraphicFramePr/>
                <a:graphic xmlns:a="http://schemas.openxmlformats.org/drawingml/2006/main">
                  <a:graphicData uri="http://schemas.microsoft.com/office/word/2010/wordprocessingShape">
                    <wps:wsp>
                      <wps:cNvSpPr txBox="1"/>
                      <wps:spPr>
                        <a:xfrm>
                          <a:off x="0" y="0"/>
                          <a:ext cx="1371600" cy="30289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ind w:left="210" w:leftChars="50" w:hanging="105" w:hangingChars="50"/>
                            </w:pPr>
                            <w:r>
                              <w:rPr>
                                <w:rFonts w:hint="eastAsia"/>
                              </w:rPr>
                              <w:t>煤化工生产技术</w:t>
                            </w:r>
                          </w:p>
                        </w:txbxContent>
                      </wps:txbx>
                      <wps:bodyPr upright="1"/>
                    </wps:wsp>
                  </a:graphicData>
                </a:graphic>
              </wp:anchor>
            </w:drawing>
          </mc:Choice>
          <mc:Fallback>
            <w:pict>
              <v:shape id="文本框 49" o:spid="_x0000_s1026" o:spt="202" type="#_x0000_t202" style="position:absolute;left:0pt;margin-left:162.45pt;margin-top:10pt;height:23.85pt;width:108pt;z-index:251688960;mso-width-relative:page;mso-height-relative:page;" fillcolor="#FFFFFF" filled="t" stroked="t" coordsize="21600,21600" o:gfxdata="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TJNEhtgAAAAJAQAADwAAAAAAAAABACAAAAAiAAAAZHJzL2Rvd25yZXYueG1s&#10;UEsBAhQAFAAAAAgAh07iQD4Y0Or4AQAA+AMAAA4AAAAAAAAAAQAgAAAAJwEAAGRycy9lMm9Eb2Mu&#10;eG1sUEsFBgAAAAAGAAYAWQEAAJEFAAAAAA==&#10;">
                <v:fill on="t" focussize="0,0"/>
                <v:stroke color="#000000" joinstyle="miter"/>
                <v:imagedata o:title=""/>
                <o:lock v:ext="edit" aspectratio="f"/>
                <v:textbox>
                  <w:txbxContent>
                    <w:p>
                      <w:pPr>
                        <w:ind w:left="210" w:leftChars="50" w:hanging="105" w:hangingChars="50"/>
                      </w:pPr>
                      <w:r>
                        <w:rPr>
                          <w:rFonts w:hint="eastAsia"/>
                        </w:rPr>
                        <w:t>煤化工生产技术</w:t>
                      </w:r>
                    </w:p>
                  </w:txbxContent>
                </v:textbox>
              </v:shape>
            </w:pict>
          </mc:Fallback>
        </mc:AlternateContent>
      </w:r>
    </w:p>
    <w:p>
      <w:pPr>
        <w:spacing w:line="360" w:lineRule="auto"/>
        <w:ind w:firstLine="600" w:firstLineChars="250"/>
        <w:rPr>
          <w:rFonts w:ascii="宋体" w:hAnsi="宋体"/>
          <w:color w:val="auto"/>
          <w:szCs w:val="21"/>
          <w:highlight w:val="none"/>
        </w:rPr>
      </w:pPr>
      <w:r>
        <w:rPr>
          <w:rFonts w:ascii="宋体" w:hAnsi="宋体"/>
          <w:color w:val="auto"/>
          <w:sz w:val="24"/>
          <w:highlight w:val="none"/>
        </w:rPr>
        <mc:AlternateContent>
          <mc:Choice Requires="wps">
            <w:drawing>
              <wp:anchor distT="0" distB="0" distL="114300" distR="114300" simplePos="0" relativeHeight="251662336" behindDoc="0" locked="0" layoutInCell="1" allowOverlap="1">
                <wp:simplePos x="0" y="0"/>
                <wp:positionH relativeFrom="column">
                  <wp:posOffset>1600200</wp:posOffset>
                </wp:positionH>
                <wp:positionV relativeFrom="paragraph">
                  <wp:posOffset>166370</wp:posOffset>
                </wp:positionV>
                <wp:extent cx="1143000" cy="1089660"/>
                <wp:effectExtent l="3175" t="3175" r="15875" b="12065"/>
                <wp:wrapNone/>
                <wp:docPr id="50" name="直接连接符 50"/>
                <wp:cNvGraphicFramePr/>
                <a:graphic xmlns:a="http://schemas.openxmlformats.org/drawingml/2006/main">
                  <a:graphicData uri="http://schemas.microsoft.com/office/word/2010/wordprocessingShape">
                    <wps:wsp>
                      <wps:cNvCnPr/>
                      <wps:spPr>
                        <a:xfrm flipH="1">
                          <a:off x="0" y="0"/>
                          <a:ext cx="1143000" cy="108966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x;margin-left:126pt;margin-top:13.1pt;height:85.8pt;width:90pt;z-index:251662336;mso-width-relative:page;mso-height-relative:page;" filled="f" stroked="t" coordsize="21600,21600" o:gfxdata="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T8epJ2AAAAAoBAAAPAAAAAAAAAAEAIAAAACIAAABkcnMvZG93bnJldi54bWxQSwECFAAUAAAA&#10;CACHTuJAa2SfcO4BAAC2AwAADgAAAAAAAAABACAAAAAnAQAAZHJzL2Uyb0RvYy54bWxQSwUGAAAA&#10;AAYABgBZAQAAhwUAAAAA&#10;">
                <v:fill on="f" focussize="0,0"/>
                <v:stroke color="#000000" joinstyle="round"/>
                <v:imagedata o:title=""/>
                <o:lock v:ext="edit" aspectratio="f"/>
              </v:line>
            </w:pict>
          </mc:Fallback>
        </mc:AlternateContent>
      </w:r>
      <w:r>
        <w:rPr>
          <w:rFonts w:ascii="宋体" w:hAnsi="宋体"/>
          <w:color w:val="auto"/>
          <w:sz w:val="24"/>
          <w:highlight w:val="none"/>
        </w:rPr>
        <mc:AlternateContent>
          <mc:Choice Requires="wps">
            <w:drawing>
              <wp:anchor distT="0" distB="0" distL="114300" distR="114300" simplePos="0" relativeHeight="251663360" behindDoc="0" locked="0" layoutInCell="1" allowOverlap="1">
                <wp:simplePos x="0" y="0"/>
                <wp:positionH relativeFrom="column">
                  <wp:posOffset>2743200</wp:posOffset>
                </wp:positionH>
                <wp:positionV relativeFrom="paragraph">
                  <wp:posOffset>198120</wp:posOffset>
                </wp:positionV>
                <wp:extent cx="684530" cy="859790"/>
                <wp:effectExtent l="3810" t="3175" r="16510" b="13335"/>
                <wp:wrapNone/>
                <wp:docPr id="41" name="直接连接符 40"/>
                <wp:cNvGraphicFramePr/>
                <a:graphic xmlns:a="http://schemas.openxmlformats.org/drawingml/2006/main">
                  <a:graphicData uri="http://schemas.microsoft.com/office/word/2010/wordprocessingShape">
                    <wps:wsp>
                      <wps:cNvCnPr/>
                      <wps:spPr>
                        <a:xfrm>
                          <a:off x="0" y="0"/>
                          <a:ext cx="685800" cy="85979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接连接符 40" o:spid="_x0000_s1026" o:spt="20" style="position:absolute;left:0pt;margin-left:216pt;margin-top:15.6pt;height:67.7pt;width:53.9pt;z-index:251663360;mso-width-relative:page;mso-height-relative:page;" filled="f" stroked="t" coordsize="21600,21600" o:gfxdata="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uwAOu2AAA&#10;AAoBAAAPAAAAAAAAAAEAIAAAACIAAABkcnMvZG93bnJldi54bWxQSwECFAAUAAAACACHTuJADs7P&#10;4OUBAACqAwAADgAAAAAAAAABACAAAAAnAQAAZHJzL2Uyb0RvYy54bWxQSwUGAAAAAAYABgBZAQAA&#10;fgUAAAAA&#10;">
                <v:fill on="f" focussize="0,0"/>
                <v:stroke color="#000000" joinstyle="round"/>
                <v:imagedata o:title=""/>
                <o:lock v:ext="edit" aspectratio="f"/>
              </v:line>
            </w:pict>
          </mc:Fallback>
        </mc:AlternateContent>
      </w:r>
      <w:r>
        <w:rPr>
          <w:rFonts w:ascii="宋体" w:hAnsi="宋体"/>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2743200</wp:posOffset>
                </wp:positionH>
                <wp:positionV relativeFrom="paragraph">
                  <wp:posOffset>198120</wp:posOffset>
                </wp:positionV>
                <wp:extent cx="2284730" cy="562610"/>
                <wp:effectExtent l="1270" t="4445" r="19050" b="23495"/>
                <wp:wrapNone/>
                <wp:docPr id="54" name="直接连接符 54"/>
                <wp:cNvGraphicFramePr/>
                <a:graphic xmlns:a="http://schemas.openxmlformats.org/drawingml/2006/main">
                  <a:graphicData uri="http://schemas.microsoft.com/office/word/2010/wordprocessingShape">
                    <wps:wsp>
                      <wps:cNvCnPr/>
                      <wps:spPr>
                        <a:xfrm>
                          <a:off x="0" y="0"/>
                          <a:ext cx="2286000" cy="56261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216pt;margin-top:15.6pt;height:44.3pt;width:179.9pt;z-index:251661312;mso-width-relative:page;mso-height-relative:page;" filled="f" stroked="t" coordsize="21600,21600" o:gfxdata="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0Oyi3NgA&#10;AAAKAQAADwAAAAAAAAABACAAAAAiAAAAZHJzL2Rvd25yZXYueG1sUEsBAhQAFAAAAAgAh07iQEGK&#10;IFHmAQAAqwMAAA4AAAAAAAAAAQAgAAAAJwEAAGRycy9lMm9Eb2MueG1sUEsFBgAAAAAGAAYAWQEA&#10;AH8FAAAAAA==&#10;">
                <v:fill on="f" focussize="0,0"/>
                <v:stroke color="#000000" joinstyle="round"/>
                <v:imagedata o:title=""/>
                <o:lock v:ext="edit" aspectratio="f"/>
              </v:line>
            </w:pict>
          </mc:Fallback>
        </mc:AlternateContent>
      </w:r>
      <w:r>
        <w:rPr>
          <w:rFonts w:ascii="宋体" w:hAnsi="宋体"/>
          <w:color w:val="auto"/>
          <w:sz w:val="24"/>
          <w:highlight w:val="none"/>
        </w:rPr>
        <mc:AlternateContent>
          <mc:Choice Requires="wps">
            <w:drawing>
              <wp:anchor distT="0" distB="0" distL="114300" distR="114300" simplePos="0" relativeHeight="251664384" behindDoc="0" locked="0" layoutInCell="1" allowOverlap="1">
                <wp:simplePos x="0" y="0"/>
                <wp:positionH relativeFrom="column">
                  <wp:posOffset>342900</wp:posOffset>
                </wp:positionH>
                <wp:positionV relativeFrom="paragraph">
                  <wp:posOffset>198120</wp:posOffset>
                </wp:positionV>
                <wp:extent cx="2400300" cy="562610"/>
                <wp:effectExtent l="1270" t="4445" r="17780" b="23495"/>
                <wp:wrapNone/>
                <wp:docPr id="55" name="直接连接符 55"/>
                <wp:cNvGraphicFramePr/>
                <a:graphic xmlns:a="http://schemas.openxmlformats.org/drawingml/2006/main">
                  <a:graphicData uri="http://schemas.microsoft.com/office/word/2010/wordprocessingShape">
                    <wps:wsp>
                      <wps:cNvCnPr/>
                      <wps:spPr>
                        <a:xfrm flipH="1">
                          <a:off x="0" y="0"/>
                          <a:ext cx="2400300" cy="56261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x;margin-left:27pt;margin-top:15.6pt;height:44.3pt;width:189pt;z-index:251664384;mso-width-relative:page;mso-height-relative:page;" filled="f" stroked="t" coordsize="21600,21600" o:gfxdata="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OYAVzzXAAAACQEAAA8AAAAAAAAAAQAgAAAAIgAAAGRycy9kb3ducmV2LnhtbFBLAQIUABQAAAAI&#10;AIdO4kA8COjO7gEAALUDAAAOAAAAAAAAAAEAIAAAACYBAABkcnMvZTJvRG9jLnhtbFBLBQYAAAAA&#10;BgAGAFkBAACGBQAAAAA=&#10;">
                <v:fill on="f" focussize="0,0"/>
                <v:stroke color="#000000" joinstyle="round"/>
                <v:imagedata o:title=""/>
                <o:lock v:ext="edit" aspectratio="f"/>
              </v:line>
            </w:pict>
          </mc:Fallback>
        </mc:AlternateContent>
      </w:r>
    </w:p>
    <w:p>
      <w:pPr>
        <w:spacing w:line="360" w:lineRule="auto"/>
        <w:rPr>
          <w:rFonts w:ascii="宋体" w:hAnsi="宋体"/>
          <w:color w:val="auto"/>
          <w:sz w:val="24"/>
          <w:highlight w:val="none"/>
        </w:rPr>
      </w:pPr>
    </w:p>
    <w:p>
      <w:pPr>
        <w:spacing w:line="360" w:lineRule="auto"/>
        <w:ind w:firstLine="600" w:firstLineChars="250"/>
        <w:rPr>
          <w:rFonts w:ascii="宋体" w:hAnsi="宋体"/>
          <w:color w:val="auto"/>
          <w:sz w:val="24"/>
          <w:highlight w:val="none"/>
        </w:rPr>
      </w:pPr>
      <w:r>
        <w:rPr>
          <w:rFonts w:ascii="宋体" w:hAnsi="宋体"/>
          <w:color w:val="auto"/>
          <w:sz w:val="24"/>
          <w:highlight w:val="none"/>
        </w:rPr>
        <mc:AlternateContent>
          <mc:Choice Requires="wps">
            <w:drawing>
              <wp:anchor distT="0" distB="0" distL="114300" distR="114300" simplePos="0" relativeHeight="251687936" behindDoc="0" locked="0" layoutInCell="1" allowOverlap="1">
                <wp:simplePos x="0" y="0"/>
                <wp:positionH relativeFrom="column">
                  <wp:posOffset>4686300</wp:posOffset>
                </wp:positionH>
                <wp:positionV relativeFrom="paragraph">
                  <wp:posOffset>1057910</wp:posOffset>
                </wp:positionV>
                <wp:extent cx="342900" cy="1188720"/>
                <wp:effectExtent l="4445" t="5080" r="14605" b="6350"/>
                <wp:wrapNone/>
                <wp:docPr id="66" name="文本框 36"/>
                <wp:cNvGraphicFramePr/>
                <a:graphic xmlns:a="http://schemas.openxmlformats.org/drawingml/2006/main">
                  <a:graphicData uri="http://schemas.microsoft.com/office/word/2010/wordprocessingShape">
                    <wps:wsp>
                      <wps:cNvSpPr txBox="1"/>
                      <wps:spPr>
                        <a:xfrm>
                          <a:off x="0" y="0"/>
                          <a:ext cx="342900" cy="11887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sz w:val="18"/>
                                <w:szCs w:val="18"/>
                              </w:rPr>
                            </w:pPr>
                            <w:r>
                              <w:rPr>
                                <w:rFonts w:hint="eastAsia"/>
                                <w:sz w:val="18"/>
                                <w:szCs w:val="18"/>
                              </w:rPr>
                              <w:t>危险产品管理岗位</w:t>
                            </w:r>
                          </w:p>
                        </w:txbxContent>
                      </wps:txbx>
                      <wps:bodyPr vert="eaVert" upright="1"/>
                    </wps:wsp>
                  </a:graphicData>
                </a:graphic>
              </wp:anchor>
            </w:drawing>
          </mc:Choice>
          <mc:Fallback>
            <w:pict>
              <v:shape id="文本框 36" o:spid="_x0000_s1026" o:spt="202" type="#_x0000_t202" style="position:absolute;left:0pt;margin-left:369pt;margin-top:83.3pt;height:93.6pt;width:27pt;z-index:251687936;mso-width-relative:page;mso-height-relative:page;" fillcolor="#FFFFFF" filled="t" stroked="t" coordsize="21600,21600" o:gfxdata="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ben1ftkAAAALAQAADwAAAAAAAAABACAAAAAiAAAAZHJz&#10;L2Rvd25yZXYueG1sUEsBAhQAFAAAAAgAh07iQDeVtvcDAgAABgQAAA4AAAAAAAAAAQAgAAAAKAEA&#10;AGRycy9lMm9Eb2MueG1sUEsFBgAAAAAGAAYAWQEAAJ0FAAAAAA==&#10;">
                <v:fill on="t" focussize="0,0"/>
                <v:stroke color="#000000" joinstyle="miter"/>
                <v:imagedata o:title=""/>
                <o:lock v:ext="edit" aspectratio="f"/>
                <v:textbox style="layout-flow:vertical-ideographic;">
                  <w:txbxContent>
                    <w:p>
                      <w:pPr>
                        <w:rPr>
                          <w:sz w:val="18"/>
                          <w:szCs w:val="18"/>
                        </w:rPr>
                      </w:pPr>
                      <w:r>
                        <w:rPr>
                          <w:rFonts w:hint="eastAsia"/>
                          <w:sz w:val="18"/>
                          <w:szCs w:val="18"/>
                        </w:rPr>
                        <w:t>危险产品管理岗位</w:t>
                      </w:r>
                    </w:p>
                  </w:txbxContent>
                </v:textbox>
              </v:shape>
            </w:pict>
          </mc:Fallback>
        </mc:AlternateContent>
      </w:r>
      <w:r>
        <w:rPr>
          <w:rFonts w:ascii="仿宋_GB2312" w:hAnsi="仿宋_GB2312" w:eastAsia="仿宋_GB2312"/>
          <w:color w:val="auto"/>
          <w:szCs w:val="21"/>
          <w:highlight w:val="none"/>
        </w:rPr>
        <mc:AlternateContent>
          <mc:Choice Requires="wps">
            <w:drawing>
              <wp:anchor distT="0" distB="0" distL="114300" distR="114300" simplePos="0" relativeHeight="251686912" behindDoc="0" locked="0" layoutInCell="1" allowOverlap="1">
                <wp:simplePos x="0" y="0"/>
                <wp:positionH relativeFrom="column">
                  <wp:posOffset>4229100</wp:posOffset>
                </wp:positionH>
                <wp:positionV relativeFrom="paragraph">
                  <wp:posOffset>1057910</wp:posOffset>
                </wp:positionV>
                <wp:extent cx="343535" cy="1188720"/>
                <wp:effectExtent l="4445" t="5080" r="13970" b="6350"/>
                <wp:wrapNone/>
                <wp:docPr id="65" name="文本框 51"/>
                <wp:cNvGraphicFramePr/>
                <a:graphic xmlns:a="http://schemas.openxmlformats.org/drawingml/2006/main">
                  <a:graphicData uri="http://schemas.microsoft.com/office/word/2010/wordprocessingShape">
                    <wps:wsp>
                      <wps:cNvSpPr txBox="1"/>
                      <wps:spPr>
                        <a:xfrm>
                          <a:off x="0" y="0"/>
                          <a:ext cx="343535" cy="11887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ind w:firstLine="180" w:firstLineChars="100"/>
                              <w:rPr>
                                <w:sz w:val="18"/>
                                <w:szCs w:val="18"/>
                              </w:rPr>
                            </w:pPr>
                            <w:r>
                              <w:rPr>
                                <w:rFonts w:hint="eastAsia"/>
                                <w:sz w:val="18"/>
                                <w:szCs w:val="18"/>
                              </w:rPr>
                              <w:t>安全生产管理能力</w:t>
                            </w:r>
                          </w:p>
                        </w:txbxContent>
                      </wps:txbx>
                      <wps:bodyPr vert="eaVert" upright="1"/>
                    </wps:wsp>
                  </a:graphicData>
                </a:graphic>
              </wp:anchor>
            </w:drawing>
          </mc:Choice>
          <mc:Fallback>
            <w:pict>
              <v:shape id="文本框 51" o:spid="_x0000_s1026" o:spt="202" type="#_x0000_t202" style="position:absolute;left:0pt;margin-left:333pt;margin-top:83.3pt;height:93.6pt;width:27.05pt;z-index:251686912;mso-width-relative:page;mso-height-relative:page;" fillcolor="#FFFFFF" filled="t" stroked="t" coordsize="21600,21600" o:gfxdata="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CuH+9DYAAAACwEAAA8AAAAAAAAAAQAgAAAAIgAAAGRycy9k&#10;b3ducmV2LnhtbFBLAQIUABQAAAAIAIdO4kBci/NOAgIAAAYEAAAOAAAAAAAAAAEAIAAAACcBAABk&#10;cnMvZTJvRG9jLnhtbFBLBQYAAAAABgAGAFkBAACbBQAAAAA=&#10;">
                <v:fill on="t" focussize="0,0"/>
                <v:stroke color="#000000" joinstyle="miter"/>
                <v:imagedata o:title=""/>
                <o:lock v:ext="edit" aspectratio="f"/>
                <v:textbox style="layout-flow:vertical-ideographic;">
                  <w:txbxContent>
                    <w:p>
                      <w:pPr>
                        <w:ind w:firstLine="180" w:firstLineChars="100"/>
                        <w:rPr>
                          <w:sz w:val="18"/>
                          <w:szCs w:val="18"/>
                        </w:rPr>
                      </w:pPr>
                      <w:r>
                        <w:rPr>
                          <w:rFonts w:hint="eastAsia"/>
                          <w:sz w:val="18"/>
                          <w:szCs w:val="18"/>
                        </w:rPr>
                        <w:t>安全生产管理能力</w:t>
                      </w:r>
                    </w:p>
                  </w:txbxContent>
                </v:textbox>
              </v:shape>
            </w:pict>
          </mc:Fallback>
        </mc:AlternateContent>
      </w:r>
      <w:r>
        <w:rPr>
          <w:rFonts w:ascii="仿宋_GB2312" w:hAnsi="仿宋_GB2312" w:eastAsia="仿宋_GB2312"/>
          <w:color w:val="auto"/>
          <w:szCs w:val="21"/>
          <w:highlight w:val="none"/>
        </w:rPr>
        <mc:AlternateContent>
          <mc:Choice Requires="wps">
            <w:drawing>
              <wp:anchor distT="0" distB="0" distL="114300" distR="114300" simplePos="0" relativeHeight="251685888" behindDoc="0" locked="0" layoutInCell="1" allowOverlap="1">
                <wp:simplePos x="0" y="0"/>
                <wp:positionH relativeFrom="column">
                  <wp:posOffset>3429000</wp:posOffset>
                </wp:positionH>
                <wp:positionV relativeFrom="paragraph">
                  <wp:posOffset>1057910</wp:posOffset>
                </wp:positionV>
                <wp:extent cx="343535" cy="1188720"/>
                <wp:effectExtent l="4445" t="5080" r="13970" b="6350"/>
                <wp:wrapNone/>
                <wp:docPr id="64" name="文本框 33"/>
                <wp:cNvGraphicFramePr/>
                <a:graphic xmlns:a="http://schemas.openxmlformats.org/drawingml/2006/main">
                  <a:graphicData uri="http://schemas.microsoft.com/office/word/2010/wordprocessingShape">
                    <wps:wsp>
                      <wps:cNvSpPr txBox="1"/>
                      <wps:spPr>
                        <a:xfrm>
                          <a:off x="0" y="0"/>
                          <a:ext cx="343535" cy="11887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sz w:val="18"/>
                                <w:szCs w:val="18"/>
                              </w:rPr>
                            </w:pPr>
                            <w:r>
                              <w:rPr>
                                <w:rFonts w:hint="eastAsia"/>
                                <w:sz w:val="18"/>
                                <w:szCs w:val="18"/>
                              </w:rPr>
                              <w:t xml:space="preserve"> 产品质量检测岗位</w:t>
                            </w:r>
                          </w:p>
                        </w:txbxContent>
                      </wps:txbx>
                      <wps:bodyPr vert="eaVert" upright="1"/>
                    </wps:wsp>
                  </a:graphicData>
                </a:graphic>
              </wp:anchor>
            </w:drawing>
          </mc:Choice>
          <mc:Fallback>
            <w:pict>
              <v:shape id="文本框 33" o:spid="_x0000_s1026" o:spt="202" type="#_x0000_t202" style="position:absolute;left:0pt;margin-left:270pt;margin-top:83.3pt;height:93.6pt;width:27.05pt;z-index:251685888;mso-width-relative:page;mso-height-relative:page;" fillcolor="#FFFFFF" filled="t" stroked="t" coordsize="21600,21600" o:gfxdata="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SnBB72QAAAAsBAAAPAAAAAAAAAAEAIAAAACIAAABkcnMv&#10;ZG93bnJldi54bWxQSwECFAAUAAAACACHTuJA8a9k/gICAAAGBAAADgAAAAAAAAABACAAAAAoAQAA&#10;ZHJzL2Uyb0RvYy54bWxQSwUGAAAAAAYABgBZAQAAnAUAAAAA&#10;">
                <v:fill on="t" focussize="0,0"/>
                <v:stroke color="#000000" joinstyle="miter"/>
                <v:imagedata o:title=""/>
                <o:lock v:ext="edit" aspectratio="f"/>
                <v:textbox style="layout-flow:vertical-ideographic;">
                  <w:txbxContent>
                    <w:p>
                      <w:pPr>
                        <w:rPr>
                          <w:sz w:val="18"/>
                          <w:szCs w:val="18"/>
                        </w:rPr>
                      </w:pPr>
                      <w:r>
                        <w:rPr>
                          <w:rFonts w:hint="eastAsia"/>
                          <w:sz w:val="18"/>
                          <w:szCs w:val="18"/>
                        </w:rPr>
                        <w:t xml:space="preserve"> 产品质量检测岗位</w:t>
                      </w:r>
                    </w:p>
                  </w:txbxContent>
                </v:textbox>
              </v:shape>
            </w:pict>
          </mc:Fallback>
        </mc:AlternateContent>
      </w:r>
      <w:r>
        <w:rPr>
          <w:rFonts w:ascii="仿宋_GB2312" w:hAnsi="仿宋_GB2312" w:eastAsia="仿宋_GB2312"/>
          <w:color w:val="auto"/>
          <w:szCs w:val="21"/>
          <w:highlight w:val="none"/>
        </w:rPr>
        <mc:AlternateContent>
          <mc:Choice Requires="wps">
            <w:drawing>
              <wp:anchor distT="0" distB="0" distL="114300" distR="114300" simplePos="0" relativeHeight="251684864" behindDoc="0" locked="0" layoutInCell="1" allowOverlap="1">
                <wp:simplePos x="0" y="0"/>
                <wp:positionH relativeFrom="column">
                  <wp:posOffset>2857500</wp:posOffset>
                </wp:positionH>
                <wp:positionV relativeFrom="paragraph">
                  <wp:posOffset>1057910</wp:posOffset>
                </wp:positionV>
                <wp:extent cx="342900" cy="1188720"/>
                <wp:effectExtent l="4445" t="5080" r="14605" b="6350"/>
                <wp:wrapNone/>
                <wp:docPr id="63" name="文本框 56"/>
                <wp:cNvGraphicFramePr/>
                <a:graphic xmlns:a="http://schemas.openxmlformats.org/drawingml/2006/main">
                  <a:graphicData uri="http://schemas.microsoft.com/office/word/2010/wordprocessingShape">
                    <wps:wsp>
                      <wps:cNvSpPr txBox="1"/>
                      <wps:spPr>
                        <a:xfrm>
                          <a:off x="0" y="0"/>
                          <a:ext cx="342900" cy="11887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ind w:firstLine="180" w:firstLineChars="100"/>
                              <w:rPr>
                                <w:sz w:val="18"/>
                                <w:szCs w:val="18"/>
                              </w:rPr>
                            </w:pPr>
                            <w:r>
                              <w:rPr>
                                <w:rFonts w:hint="eastAsia"/>
                                <w:sz w:val="18"/>
                                <w:szCs w:val="18"/>
                              </w:rPr>
                              <w:t>产品质量控制岗位</w:t>
                            </w:r>
                          </w:p>
                          <w:p/>
                        </w:txbxContent>
                      </wps:txbx>
                      <wps:bodyPr vert="eaVert" upright="1"/>
                    </wps:wsp>
                  </a:graphicData>
                </a:graphic>
              </wp:anchor>
            </w:drawing>
          </mc:Choice>
          <mc:Fallback>
            <w:pict>
              <v:shape id="文本框 56" o:spid="_x0000_s1026" o:spt="202" type="#_x0000_t202" style="position:absolute;left:0pt;margin-left:225pt;margin-top:83.3pt;height:93.6pt;width:27pt;z-index:251684864;mso-width-relative:page;mso-height-relative:page;" fillcolor="#FFFFFF" filled="t" stroked="t" coordsize="21600,21600" o:gfxdata="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JX1rM2QAAAAsBAAAPAAAAAAAAAAEAIAAAACIAAABkcnMv&#10;ZG93bnJldi54bWxQSwECFAAUAAAACACHTuJA79a65QICAAAGBAAADgAAAAAAAAABACAAAAAoAQAA&#10;ZHJzL2Uyb0RvYy54bWxQSwUGAAAAAAYABgBZAQAAnAUAAAAA&#10;">
                <v:fill on="t" focussize="0,0"/>
                <v:stroke color="#000000" joinstyle="miter"/>
                <v:imagedata o:title=""/>
                <o:lock v:ext="edit" aspectratio="f"/>
                <v:textbox style="layout-flow:vertical-ideographic;">
                  <w:txbxContent>
                    <w:p>
                      <w:pPr>
                        <w:ind w:firstLine="180" w:firstLineChars="100"/>
                        <w:rPr>
                          <w:sz w:val="18"/>
                          <w:szCs w:val="18"/>
                        </w:rPr>
                      </w:pPr>
                      <w:r>
                        <w:rPr>
                          <w:rFonts w:hint="eastAsia"/>
                          <w:sz w:val="18"/>
                          <w:szCs w:val="18"/>
                        </w:rPr>
                        <w:t>产品质量控制岗位</w:t>
                      </w:r>
                    </w:p>
                    <w:p/>
                  </w:txbxContent>
                </v:textbox>
              </v:shape>
            </w:pict>
          </mc:Fallback>
        </mc:AlternateContent>
      </w:r>
      <w:r>
        <w:rPr>
          <w:rFonts w:ascii="仿宋_GB2312" w:hAnsi="仿宋_GB2312" w:eastAsia="仿宋_GB2312"/>
          <w:color w:val="auto"/>
          <w:szCs w:val="21"/>
          <w:highlight w:val="none"/>
        </w:rPr>
        <mc:AlternateContent>
          <mc:Choice Requires="wps">
            <w:drawing>
              <wp:anchor distT="0" distB="0" distL="114300" distR="114300" simplePos="0" relativeHeight="251683840" behindDoc="0" locked="0" layoutInCell="1" allowOverlap="1">
                <wp:simplePos x="0" y="0"/>
                <wp:positionH relativeFrom="column">
                  <wp:posOffset>1943100</wp:posOffset>
                </wp:positionH>
                <wp:positionV relativeFrom="paragraph">
                  <wp:posOffset>1057910</wp:posOffset>
                </wp:positionV>
                <wp:extent cx="342900" cy="1188720"/>
                <wp:effectExtent l="4445" t="5080" r="14605" b="6350"/>
                <wp:wrapNone/>
                <wp:docPr id="62" name="文本框 44"/>
                <wp:cNvGraphicFramePr/>
                <a:graphic xmlns:a="http://schemas.openxmlformats.org/drawingml/2006/main">
                  <a:graphicData uri="http://schemas.microsoft.com/office/word/2010/wordprocessingShape">
                    <wps:wsp>
                      <wps:cNvSpPr txBox="1"/>
                      <wps:spPr>
                        <a:xfrm>
                          <a:off x="0" y="0"/>
                          <a:ext cx="342900" cy="11887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ind w:firstLine="180" w:firstLineChars="100"/>
                            </w:pPr>
                            <w:r>
                              <w:rPr>
                                <w:rFonts w:hint="eastAsia"/>
                                <w:sz w:val="18"/>
                                <w:szCs w:val="18"/>
                              </w:rPr>
                              <w:t>典型工艺管理岗</w:t>
                            </w:r>
                            <w:r>
                              <w:rPr>
                                <w:rFonts w:hint="eastAsia"/>
                              </w:rPr>
                              <w:t>位</w:t>
                            </w:r>
                          </w:p>
                          <w:p/>
                        </w:txbxContent>
                      </wps:txbx>
                      <wps:bodyPr vert="eaVert" upright="1"/>
                    </wps:wsp>
                  </a:graphicData>
                </a:graphic>
              </wp:anchor>
            </w:drawing>
          </mc:Choice>
          <mc:Fallback>
            <w:pict>
              <v:shape id="文本框 44" o:spid="_x0000_s1026" o:spt="202" type="#_x0000_t202" style="position:absolute;left:0pt;margin-left:153pt;margin-top:83.3pt;height:93.6pt;width:27pt;z-index:251683840;mso-width-relative:page;mso-height-relative:page;" fillcolor="#FFFFFF" filled="t" stroked="t" coordsize="21600,21600" o:gfxdata="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Gpl1J2AAAAAsBAAAPAAAAAAAAAAEAIAAAACIAAABkcnMv&#10;ZG93bnJldi54bWxQSwECFAAUAAAACACHTuJAnxe6pwMCAAAGBAAADgAAAAAAAAABACAAAAAnAQAA&#10;ZHJzL2Uyb0RvYy54bWxQSwUGAAAAAAYABgBZAQAAnAUAAAAA&#10;">
                <v:fill on="t" focussize="0,0"/>
                <v:stroke color="#000000" joinstyle="miter"/>
                <v:imagedata o:title=""/>
                <o:lock v:ext="edit" aspectratio="f"/>
                <v:textbox style="layout-flow:vertical-ideographic;">
                  <w:txbxContent>
                    <w:p>
                      <w:pPr>
                        <w:ind w:firstLine="180" w:firstLineChars="100"/>
                      </w:pPr>
                      <w:r>
                        <w:rPr>
                          <w:rFonts w:hint="eastAsia"/>
                          <w:sz w:val="18"/>
                          <w:szCs w:val="18"/>
                        </w:rPr>
                        <w:t>典型工艺管理岗</w:t>
                      </w:r>
                      <w:r>
                        <w:rPr>
                          <w:rFonts w:hint="eastAsia"/>
                        </w:rPr>
                        <w:t>位</w:t>
                      </w:r>
                    </w:p>
                    <w:p/>
                  </w:txbxContent>
                </v:textbox>
              </v:shape>
            </w:pict>
          </mc:Fallback>
        </mc:AlternateContent>
      </w:r>
      <w:r>
        <w:rPr>
          <w:rFonts w:ascii="仿宋_GB2312" w:hAnsi="仿宋_GB2312" w:eastAsia="仿宋_GB2312"/>
          <w:color w:val="auto"/>
          <w:szCs w:val="21"/>
          <w:highlight w:val="none"/>
        </w:rPr>
        <mc:AlternateContent>
          <mc:Choice Requires="wps">
            <w:drawing>
              <wp:anchor distT="0" distB="0" distL="114300" distR="114300" simplePos="0" relativeHeight="251682816" behindDoc="0" locked="0" layoutInCell="1" allowOverlap="1">
                <wp:simplePos x="0" y="0"/>
                <wp:positionH relativeFrom="column">
                  <wp:posOffset>1485900</wp:posOffset>
                </wp:positionH>
                <wp:positionV relativeFrom="paragraph">
                  <wp:posOffset>1057910</wp:posOffset>
                </wp:positionV>
                <wp:extent cx="342900" cy="1188720"/>
                <wp:effectExtent l="4445" t="5080" r="14605" b="6350"/>
                <wp:wrapNone/>
                <wp:docPr id="61" name="文本框 52"/>
                <wp:cNvGraphicFramePr/>
                <a:graphic xmlns:a="http://schemas.openxmlformats.org/drawingml/2006/main">
                  <a:graphicData uri="http://schemas.microsoft.com/office/word/2010/wordprocessingShape">
                    <wps:wsp>
                      <wps:cNvSpPr txBox="1"/>
                      <wps:spPr>
                        <a:xfrm>
                          <a:off x="0" y="0"/>
                          <a:ext cx="342900" cy="11887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ind w:firstLine="180" w:firstLineChars="100"/>
                              <w:rPr>
                                <w:sz w:val="18"/>
                                <w:szCs w:val="18"/>
                              </w:rPr>
                            </w:pPr>
                            <w:r>
                              <w:rPr>
                                <w:rFonts w:hint="eastAsia"/>
                                <w:sz w:val="18"/>
                                <w:szCs w:val="18"/>
                              </w:rPr>
                              <w:t>普通工艺管理岗位</w:t>
                            </w:r>
                          </w:p>
                          <w:p/>
                        </w:txbxContent>
                      </wps:txbx>
                      <wps:bodyPr vert="eaVert" upright="1"/>
                    </wps:wsp>
                  </a:graphicData>
                </a:graphic>
              </wp:anchor>
            </w:drawing>
          </mc:Choice>
          <mc:Fallback>
            <w:pict>
              <v:shape id="文本框 52" o:spid="_x0000_s1026" o:spt="202" type="#_x0000_t202" style="position:absolute;left:0pt;margin-left:117pt;margin-top:83.3pt;height:93.6pt;width:27pt;z-index:251682816;mso-width-relative:page;mso-height-relative:page;" fillcolor="#FFFFFF" filled="t" stroked="t" coordsize="21600,21600" o:gfxdata="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50ypD2AAAAAsBAAAPAAAAAAAAAAEAIAAAACIAAABkcnMv&#10;ZG93bnJldi54bWxQSwECFAAUAAAACACHTuJAKnvJaAMCAAAGBAAADgAAAAAAAAABACAAAAAnAQAA&#10;ZHJzL2Uyb0RvYy54bWxQSwUGAAAAAAYABgBZAQAAnAUAAAAA&#10;">
                <v:fill on="t" focussize="0,0"/>
                <v:stroke color="#000000" joinstyle="miter"/>
                <v:imagedata o:title=""/>
                <o:lock v:ext="edit" aspectratio="f"/>
                <v:textbox style="layout-flow:vertical-ideographic;">
                  <w:txbxContent>
                    <w:p>
                      <w:pPr>
                        <w:ind w:firstLine="180" w:firstLineChars="100"/>
                        <w:rPr>
                          <w:sz w:val="18"/>
                          <w:szCs w:val="18"/>
                        </w:rPr>
                      </w:pPr>
                      <w:r>
                        <w:rPr>
                          <w:rFonts w:hint="eastAsia"/>
                          <w:sz w:val="18"/>
                          <w:szCs w:val="18"/>
                        </w:rPr>
                        <w:t>普通工艺管理岗位</w:t>
                      </w:r>
                    </w:p>
                    <w:p/>
                  </w:txbxContent>
                </v:textbox>
              </v:shape>
            </w:pict>
          </mc:Fallback>
        </mc:AlternateContent>
      </w:r>
      <w:r>
        <w:rPr>
          <w:rFonts w:ascii="宋体" w:hAnsi="宋体"/>
          <w:color w:val="auto"/>
          <w:sz w:val="24"/>
          <w:highlight w:val="none"/>
        </w:rPr>
        <mc:AlternateContent>
          <mc:Choice Requires="wps">
            <w:drawing>
              <wp:anchor distT="0" distB="0" distL="114300" distR="114300" simplePos="0" relativeHeight="251681792" behindDoc="0" locked="0" layoutInCell="1" allowOverlap="1">
                <wp:simplePos x="0" y="0"/>
                <wp:positionH relativeFrom="column">
                  <wp:posOffset>685800</wp:posOffset>
                </wp:positionH>
                <wp:positionV relativeFrom="paragraph">
                  <wp:posOffset>1057910</wp:posOffset>
                </wp:positionV>
                <wp:extent cx="342265" cy="1188720"/>
                <wp:effectExtent l="4445" t="5080" r="15240" b="6350"/>
                <wp:wrapNone/>
                <wp:docPr id="60" name="文本框 43"/>
                <wp:cNvGraphicFramePr/>
                <a:graphic xmlns:a="http://schemas.openxmlformats.org/drawingml/2006/main">
                  <a:graphicData uri="http://schemas.microsoft.com/office/word/2010/wordprocessingShape">
                    <wps:wsp>
                      <wps:cNvSpPr txBox="1"/>
                      <wps:spPr>
                        <a:xfrm>
                          <a:off x="0" y="0"/>
                          <a:ext cx="342265" cy="11887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ind w:firstLine="270" w:firstLineChars="150"/>
                              <w:rPr>
                                <w:sz w:val="18"/>
                                <w:szCs w:val="18"/>
                              </w:rPr>
                            </w:pPr>
                            <w:r>
                              <w:rPr>
                                <w:rFonts w:hint="eastAsia"/>
                                <w:sz w:val="18"/>
                                <w:szCs w:val="18"/>
                              </w:rPr>
                              <w:t>化工仪表操作岗位</w:t>
                            </w:r>
                          </w:p>
                          <w:p/>
                        </w:txbxContent>
                      </wps:txbx>
                      <wps:bodyPr vert="eaVert" upright="1"/>
                    </wps:wsp>
                  </a:graphicData>
                </a:graphic>
              </wp:anchor>
            </w:drawing>
          </mc:Choice>
          <mc:Fallback>
            <w:pict>
              <v:shape id="文本框 43" o:spid="_x0000_s1026" o:spt="202" type="#_x0000_t202" style="position:absolute;left:0pt;margin-left:54pt;margin-top:83.3pt;height:93.6pt;width:26.95pt;z-index:251681792;mso-width-relative:page;mso-height-relative:page;" fillcolor="#FFFFFF" filled="t" stroked="t" coordsize="21600,21600" o:gfxdata="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KeJA6/YAAAACwEAAA8AAAAAAAAAAQAgAAAAIgAAAGRycy9k&#10;b3ducmV2LnhtbFBLAQIUABQAAAAIAIdO4kB+cJQSAgIAAAYEAAAOAAAAAAAAAAEAIAAAACcBAABk&#10;cnMvZTJvRG9jLnhtbFBLBQYAAAAABgAGAFkBAACbBQAAAAA=&#10;">
                <v:fill on="t" focussize="0,0"/>
                <v:stroke color="#000000" joinstyle="miter"/>
                <v:imagedata o:title=""/>
                <o:lock v:ext="edit" aspectratio="f"/>
                <v:textbox style="layout-flow:vertical-ideographic;">
                  <w:txbxContent>
                    <w:p>
                      <w:pPr>
                        <w:ind w:firstLine="270" w:firstLineChars="150"/>
                        <w:rPr>
                          <w:sz w:val="18"/>
                          <w:szCs w:val="18"/>
                        </w:rPr>
                      </w:pPr>
                      <w:r>
                        <w:rPr>
                          <w:rFonts w:hint="eastAsia"/>
                          <w:sz w:val="18"/>
                          <w:szCs w:val="18"/>
                        </w:rPr>
                        <w:t>化工仪表操作岗位</w:t>
                      </w:r>
                    </w:p>
                    <w:p/>
                  </w:txbxContent>
                </v:textbox>
              </v:shape>
            </w:pict>
          </mc:Fallback>
        </mc:AlternateContent>
      </w:r>
      <w:r>
        <w:rPr>
          <w:rFonts w:ascii="宋体" w:hAnsi="宋体"/>
          <w:color w:val="auto"/>
          <w:sz w:val="24"/>
          <w:highlight w:val="none"/>
        </w:rPr>
        <mc:AlternateContent>
          <mc:Choice Requires="wps">
            <w:drawing>
              <wp:anchor distT="0" distB="0" distL="114300" distR="114300" simplePos="0" relativeHeight="251680768" behindDoc="0" locked="0" layoutInCell="1" allowOverlap="1">
                <wp:simplePos x="0" y="0"/>
                <wp:positionH relativeFrom="column">
                  <wp:posOffset>228600</wp:posOffset>
                </wp:positionH>
                <wp:positionV relativeFrom="paragraph">
                  <wp:posOffset>1057910</wp:posOffset>
                </wp:positionV>
                <wp:extent cx="342265" cy="1188720"/>
                <wp:effectExtent l="4445" t="5080" r="15240" b="6350"/>
                <wp:wrapNone/>
                <wp:docPr id="59" name="文本框 53"/>
                <wp:cNvGraphicFramePr/>
                <a:graphic xmlns:a="http://schemas.openxmlformats.org/drawingml/2006/main">
                  <a:graphicData uri="http://schemas.microsoft.com/office/word/2010/wordprocessingShape">
                    <wps:wsp>
                      <wps:cNvSpPr txBox="1"/>
                      <wps:spPr>
                        <a:xfrm>
                          <a:off x="0" y="0"/>
                          <a:ext cx="342265" cy="11887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ind w:firstLine="360" w:firstLineChars="200"/>
                              <w:rPr>
                                <w:sz w:val="18"/>
                                <w:szCs w:val="18"/>
                              </w:rPr>
                            </w:pPr>
                            <w:r>
                              <w:rPr>
                                <w:rFonts w:hint="eastAsia"/>
                                <w:sz w:val="18"/>
                                <w:szCs w:val="18"/>
                              </w:rPr>
                              <w:t>DCS操作岗位</w:t>
                            </w:r>
                          </w:p>
                          <w:p/>
                        </w:txbxContent>
                      </wps:txbx>
                      <wps:bodyPr vert="eaVert" upright="1"/>
                    </wps:wsp>
                  </a:graphicData>
                </a:graphic>
              </wp:anchor>
            </w:drawing>
          </mc:Choice>
          <mc:Fallback>
            <w:pict>
              <v:shape id="文本框 53" o:spid="_x0000_s1026" o:spt="202" type="#_x0000_t202" style="position:absolute;left:0pt;margin-left:18pt;margin-top:83.3pt;height:93.6pt;width:26.95pt;z-index:251680768;mso-width-relative:page;mso-height-relative:page;" fillcolor="#FFFFFF" filled="t" stroked="t" coordsize="21600,21600" o:gfxdata="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OZ/h7/XAAAACQEAAA8AAAAAAAAAAQAgAAAAIgAAAGRycy9k&#10;b3ducmV2LnhtbFBLAQIUABQAAAAIAIdO4kDE+9PcAwIAAAYEAAAOAAAAAAAAAAEAIAAAACYBAABk&#10;cnMvZTJvRG9jLnhtbFBLBQYAAAAABgAGAFkBAACbBQAAAAA=&#10;">
                <v:fill on="t" focussize="0,0"/>
                <v:stroke color="#000000" joinstyle="miter"/>
                <v:imagedata o:title=""/>
                <o:lock v:ext="edit" aspectratio="f"/>
                <v:textbox style="layout-flow:vertical-ideographic;">
                  <w:txbxContent>
                    <w:p>
                      <w:pPr>
                        <w:ind w:firstLine="360" w:firstLineChars="200"/>
                        <w:rPr>
                          <w:sz w:val="18"/>
                          <w:szCs w:val="18"/>
                        </w:rPr>
                      </w:pPr>
                      <w:r>
                        <w:rPr>
                          <w:rFonts w:hint="eastAsia"/>
                          <w:sz w:val="18"/>
                          <w:szCs w:val="18"/>
                        </w:rPr>
                        <w:t>DCS操作岗位</w:t>
                      </w:r>
                    </w:p>
                    <w:p/>
                  </w:txbxContent>
                </v:textbox>
              </v:shape>
            </w:pict>
          </mc:Fallback>
        </mc:AlternateContent>
      </w:r>
      <w:r>
        <w:rPr>
          <w:rFonts w:ascii="宋体" w:hAnsi="宋体"/>
          <w:color w:val="auto"/>
          <w:sz w:val="28"/>
          <w:highlight w:val="none"/>
        </w:rPr>
        <mc:AlternateContent>
          <mc:Choice Requires="wps">
            <w:drawing>
              <wp:anchor distT="0" distB="0" distL="114300" distR="114300" simplePos="0" relativeHeight="251679744" behindDoc="0" locked="0" layoutInCell="1" allowOverlap="1">
                <wp:simplePos x="0" y="0"/>
                <wp:positionH relativeFrom="column">
                  <wp:posOffset>-228600</wp:posOffset>
                </wp:positionH>
                <wp:positionV relativeFrom="paragraph">
                  <wp:posOffset>1057910</wp:posOffset>
                </wp:positionV>
                <wp:extent cx="342265" cy="1188720"/>
                <wp:effectExtent l="4445" t="5080" r="15240" b="6350"/>
                <wp:wrapNone/>
                <wp:docPr id="58" name="文本框 30"/>
                <wp:cNvGraphicFramePr/>
                <a:graphic xmlns:a="http://schemas.openxmlformats.org/drawingml/2006/main">
                  <a:graphicData uri="http://schemas.microsoft.com/office/word/2010/wordprocessingShape">
                    <wps:wsp>
                      <wps:cNvSpPr txBox="1"/>
                      <wps:spPr>
                        <a:xfrm>
                          <a:off x="0" y="0"/>
                          <a:ext cx="342265" cy="11887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ind w:firstLine="90" w:firstLineChars="50"/>
                              <w:rPr>
                                <w:sz w:val="18"/>
                                <w:szCs w:val="18"/>
                              </w:rPr>
                            </w:pPr>
                            <w:r>
                              <w:rPr>
                                <w:rFonts w:hint="eastAsia"/>
                                <w:sz w:val="18"/>
                                <w:szCs w:val="18"/>
                              </w:rPr>
                              <w:t>煤化工工艺操作岗位</w:t>
                            </w:r>
                          </w:p>
                        </w:txbxContent>
                      </wps:txbx>
                      <wps:bodyPr vert="eaVert" upright="1"/>
                    </wps:wsp>
                  </a:graphicData>
                </a:graphic>
              </wp:anchor>
            </w:drawing>
          </mc:Choice>
          <mc:Fallback>
            <w:pict>
              <v:shape id="文本框 30" o:spid="_x0000_s1026" o:spt="202" type="#_x0000_t202" style="position:absolute;left:0pt;margin-left:-18pt;margin-top:83.3pt;height:93.6pt;width:26.95pt;z-index:251679744;mso-width-relative:page;mso-height-relative:page;" fillcolor="#FFFFFF" filled="t" stroked="t" coordsize="21600,21600" o:gfxdata="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fWX+n1wAAAAoBAAAPAAAAAAAAAAEAIAAAACIAAABkcnMvZG93&#10;bnJldi54bWxQSwECFAAUAAAACACHTuJAb1h1DgECAAAGBAAADgAAAAAAAAABACAAAAAmAQAAZHJz&#10;L2Uyb0RvYy54bWxQSwUGAAAAAAYABgBZAQAAmQUAAAAA&#10;">
                <v:fill on="t" focussize="0,0"/>
                <v:stroke color="#000000" joinstyle="miter"/>
                <v:imagedata o:title=""/>
                <o:lock v:ext="edit" aspectratio="f"/>
                <v:textbox style="layout-flow:vertical-ideographic;">
                  <w:txbxContent>
                    <w:p>
                      <w:pPr>
                        <w:ind w:firstLine="90" w:firstLineChars="50"/>
                        <w:rPr>
                          <w:sz w:val="18"/>
                          <w:szCs w:val="18"/>
                        </w:rPr>
                      </w:pPr>
                      <w:r>
                        <w:rPr>
                          <w:rFonts w:hint="eastAsia"/>
                          <w:sz w:val="18"/>
                          <w:szCs w:val="18"/>
                        </w:rPr>
                        <w:t>煤化工工艺操作岗位</w:t>
                      </w:r>
                    </w:p>
                  </w:txbxContent>
                </v:textbox>
              </v:shape>
            </w:pict>
          </mc:Fallback>
        </mc:AlternateContent>
      </w:r>
      <w:r>
        <w:rPr>
          <w:rFonts w:ascii="宋体" w:hAnsi="宋体"/>
          <w:color w:val="auto"/>
          <w:sz w:val="28"/>
          <w:highlight w:val="none"/>
        </w:rPr>
        <mc:AlternateContent>
          <mc:Choice Requires="wps">
            <w:drawing>
              <wp:anchor distT="0" distB="0" distL="114300" distR="114300" simplePos="0" relativeHeight="251674624" behindDoc="0" locked="0" layoutInCell="1" allowOverlap="1">
                <wp:simplePos x="0" y="0"/>
                <wp:positionH relativeFrom="column">
                  <wp:posOffset>228600</wp:posOffset>
                </wp:positionH>
                <wp:positionV relativeFrom="paragraph">
                  <wp:posOffset>661670</wp:posOffset>
                </wp:positionV>
                <wp:extent cx="114300" cy="594360"/>
                <wp:effectExtent l="4445" t="635" r="14605" b="14605"/>
                <wp:wrapNone/>
                <wp:docPr id="51" name="直接连接符 31"/>
                <wp:cNvGraphicFramePr/>
                <a:graphic xmlns:a="http://schemas.openxmlformats.org/drawingml/2006/main">
                  <a:graphicData uri="http://schemas.microsoft.com/office/word/2010/wordprocessingShape">
                    <wps:wsp>
                      <wps:cNvCnPr/>
                      <wps:spPr>
                        <a:xfrm>
                          <a:off x="0" y="0"/>
                          <a:ext cx="114300" cy="59436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接连接符 31" o:spid="_x0000_s1026" o:spt="20" style="position:absolute;left:0pt;margin-left:18pt;margin-top:52.1pt;height:46.8pt;width:9pt;z-index:251674624;mso-width-relative:page;mso-height-relative:page;" filled="f" stroked="t" coordsize="21600,21600" o:gfxdata="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96Jy39cA&#10;AAAJAQAADwAAAAAAAAABACAAAAAiAAAAZHJzL2Rvd25yZXYueG1sUEsBAhQAFAAAAAgAh07iQPVu&#10;WCHnAQAAqgMAAA4AAAAAAAAAAQAgAAAAJgEAAGRycy9lMm9Eb2MueG1sUEsFBgAAAAAGAAYAWQEA&#10;AH8FAAAAAA==&#10;">
                <v:fill on="f" focussize="0,0"/>
                <v:stroke color="#000000" joinstyle="round"/>
                <v:imagedata o:title=""/>
                <o:lock v:ext="edit" aspectratio="f"/>
              </v:line>
            </w:pict>
          </mc:Fallback>
        </mc:AlternateContent>
      </w:r>
      <w:r>
        <w:rPr>
          <w:rFonts w:ascii="宋体" w:hAnsi="宋体"/>
          <w:color w:val="auto"/>
          <w:sz w:val="28"/>
          <w:highlight w:val="none"/>
        </w:rPr>
        <mc:AlternateContent>
          <mc:Choice Requires="wps">
            <w:drawing>
              <wp:anchor distT="0" distB="0" distL="114300" distR="114300" simplePos="0" relativeHeight="251675648" behindDoc="0" locked="0" layoutInCell="1" allowOverlap="1">
                <wp:simplePos x="0" y="0"/>
                <wp:positionH relativeFrom="column">
                  <wp:posOffset>228600</wp:posOffset>
                </wp:positionH>
                <wp:positionV relativeFrom="paragraph">
                  <wp:posOffset>661670</wp:posOffset>
                </wp:positionV>
                <wp:extent cx="457200" cy="396240"/>
                <wp:effectExtent l="3175" t="3810" r="15875" b="19050"/>
                <wp:wrapNone/>
                <wp:docPr id="52" name="直接连接符 34"/>
                <wp:cNvGraphicFramePr/>
                <a:graphic xmlns:a="http://schemas.openxmlformats.org/drawingml/2006/main">
                  <a:graphicData uri="http://schemas.microsoft.com/office/word/2010/wordprocessingShape">
                    <wps:wsp>
                      <wps:cNvCnPr/>
                      <wps:spPr>
                        <a:xfrm>
                          <a:off x="0" y="0"/>
                          <a:ext cx="457200" cy="39624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接连接符 34" o:spid="_x0000_s1026" o:spt="20" style="position:absolute;left:0pt;margin-left:18pt;margin-top:52.1pt;height:31.2pt;width:36pt;z-index:251675648;mso-width-relative:page;mso-height-relative:page;" filled="f" stroked="t" coordsize="21600,21600" o:gfxdata="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wRAD1wAA&#10;AAoBAAAPAAAAAAAAAAEAIAAAACIAAABkcnMvZG93bnJldi54bWxQSwECFAAUAAAACACHTuJAu26E&#10;BuYBAACqAwAADgAAAAAAAAABACAAAAAmAQAAZHJzL2Uyb0RvYy54bWxQSwUGAAAAAAYABgBZAQAA&#10;fgUAAAAA&#10;">
                <v:fill on="f" focussize="0,0"/>
                <v:stroke color="#000000" joinstyle="round"/>
                <v:imagedata o:title=""/>
                <o:lock v:ext="edit" aspectratio="f"/>
              </v:line>
            </w:pict>
          </mc:Fallback>
        </mc:AlternateContent>
      </w:r>
      <w:r>
        <w:rPr>
          <w:rFonts w:ascii="宋体" w:hAnsi="宋体"/>
          <w:color w:val="auto"/>
          <w:sz w:val="28"/>
          <w:highlight w:val="none"/>
        </w:rPr>
        <mc:AlternateContent>
          <mc:Choice Requires="wps">
            <w:drawing>
              <wp:anchor distT="0" distB="0" distL="114300" distR="114300" simplePos="0" relativeHeight="251665408" behindDoc="0" locked="0" layoutInCell="1" allowOverlap="1">
                <wp:simplePos x="0" y="0"/>
                <wp:positionH relativeFrom="column">
                  <wp:posOffset>-114300</wp:posOffset>
                </wp:positionH>
                <wp:positionV relativeFrom="paragraph">
                  <wp:posOffset>661670</wp:posOffset>
                </wp:positionV>
                <wp:extent cx="342900" cy="495300"/>
                <wp:effectExtent l="3810" t="2540" r="15240" b="16510"/>
                <wp:wrapNone/>
                <wp:docPr id="42" name="直接连接符 32"/>
                <wp:cNvGraphicFramePr/>
                <a:graphic xmlns:a="http://schemas.openxmlformats.org/drawingml/2006/main">
                  <a:graphicData uri="http://schemas.microsoft.com/office/word/2010/wordprocessingShape">
                    <wps:wsp>
                      <wps:cNvCnPr/>
                      <wps:spPr>
                        <a:xfrm flipH="1">
                          <a:off x="0" y="0"/>
                          <a:ext cx="342900" cy="49530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接连接符 32" o:spid="_x0000_s1026" o:spt="20" style="position:absolute;left:0pt;flip:x;margin-left:-9pt;margin-top:52.1pt;height:39pt;width:27pt;z-index:251665408;mso-width-relative:page;mso-height-relative:page;" filled="f" stroked="t" coordsize="21600,21600" o:gfxdata="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gKR&#10;5dcAAAAKAQAADwAAAAAAAAABACAAAAAiAAAAZHJzL2Rvd25yZXYueG1sUEsBAhQAFAAAAAgAh07i&#10;QADLMd7qAQAAtAMAAA4AAAAAAAAAAQAgAAAAJgEAAGRycy9lMm9Eb2MueG1sUEsFBgAAAAAGAAYA&#10;WQEAAIIFAAAAAA==&#10;">
                <v:fill on="f" focussize="0,0"/>
                <v:stroke color="#000000" joinstyle="round"/>
                <v:imagedata o:title=""/>
                <o:lock v:ext="edit" aspectratio="f"/>
              </v:line>
            </w:pict>
          </mc:Fallback>
        </mc:AlternateContent>
      </w:r>
      <w:r>
        <w:rPr>
          <w:rFonts w:ascii="宋体" w:hAnsi="宋体"/>
          <w:color w:val="auto"/>
          <w:sz w:val="28"/>
          <w:highlight w:val="none"/>
        </w:rPr>
        <mc:AlternateContent>
          <mc:Choice Requires="wps">
            <w:drawing>
              <wp:anchor distT="0" distB="0" distL="114300" distR="114300" simplePos="0" relativeHeight="251676672" behindDoc="0" locked="0" layoutInCell="1" allowOverlap="1">
                <wp:simplePos x="0" y="0"/>
                <wp:positionH relativeFrom="column">
                  <wp:posOffset>1828800</wp:posOffset>
                </wp:positionH>
                <wp:positionV relativeFrom="paragraph">
                  <wp:posOffset>661670</wp:posOffset>
                </wp:positionV>
                <wp:extent cx="227330" cy="495300"/>
                <wp:effectExtent l="4445" t="1905" r="15875" b="17145"/>
                <wp:wrapNone/>
                <wp:docPr id="53" name="直接连接符 37"/>
                <wp:cNvGraphicFramePr/>
                <a:graphic xmlns:a="http://schemas.openxmlformats.org/drawingml/2006/main">
                  <a:graphicData uri="http://schemas.microsoft.com/office/word/2010/wordprocessingShape">
                    <wps:wsp>
                      <wps:cNvCnPr/>
                      <wps:spPr>
                        <a:xfrm>
                          <a:off x="0" y="0"/>
                          <a:ext cx="228600" cy="49530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接连接符 37" o:spid="_x0000_s1026" o:spt="20" style="position:absolute;left:0pt;margin-left:144pt;margin-top:52.1pt;height:39pt;width:17.9pt;z-index:251676672;mso-width-relative:page;mso-height-relative:page;" filled="f" stroked="t" coordsize="21600,21600" o:gfxdata="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n8fLNcAAAAL&#10;AQAADwAAAAAAAAABACAAAAAiAAAAZHJzL2Rvd25yZXYueG1sUEsBAhQAFAAAAAgAh07iQH6HQpXk&#10;AQAAqgMAAA4AAAAAAAAAAQAgAAAAJgEAAGRycy9lMm9Eb2MueG1sUEsFBgAAAAAGAAYAWQEAAHwF&#10;AAAAAA==&#10;">
                <v:fill on="f" focussize="0,0"/>
                <v:stroke color="#000000" joinstyle="round"/>
                <v:imagedata o:title=""/>
                <o:lock v:ext="edit" aspectratio="f"/>
              </v:line>
            </w:pict>
          </mc:Fallback>
        </mc:AlternateContent>
      </w:r>
      <w:r>
        <w:rPr>
          <w:rFonts w:ascii="宋体" w:hAnsi="宋体"/>
          <w:color w:val="auto"/>
          <w:sz w:val="28"/>
          <w:highlight w:val="none"/>
        </w:rPr>
        <mc:AlternateContent>
          <mc:Choice Requires="wps">
            <w:drawing>
              <wp:anchor distT="0" distB="0" distL="114300" distR="114300" simplePos="0" relativeHeight="251672576" behindDoc="0" locked="0" layoutInCell="1" allowOverlap="1">
                <wp:simplePos x="0" y="0"/>
                <wp:positionH relativeFrom="column">
                  <wp:posOffset>1600200</wp:posOffset>
                </wp:positionH>
                <wp:positionV relativeFrom="paragraph">
                  <wp:posOffset>661670</wp:posOffset>
                </wp:positionV>
                <wp:extent cx="228600" cy="495300"/>
                <wp:effectExtent l="4445" t="1905" r="14605" b="17145"/>
                <wp:wrapNone/>
                <wp:docPr id="45" name="直接连接符 35"/>
                <wp:cNvGraphicFramePr/>
                <a:graphic xmlns:a="http://schemas.openxmlformats.org/drawingml/2006/main">
                  <a:graphicData uri="http://schemas.microsoft.com/office/word/2010/wordprocessingShape">
                    <wps:wsp>
                      <wps:cNvCnPr/>
                      <wps:spPr>
                        <a:xfrm flipH="1">
                          <a:off x="0" y="0"/>
                          <a:ext cx="228600" cy="49530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接连接符 35" o:spid="_x0000_s1026" o:spt="20" style="position:absolute;left:0pt;flip:x;margin-left:126pt;margin-top:52.1pt;height:39pt;width:18pt;z-index:251672576;mso-width-relative:page;mso-height-relative:page;" filled="f" stroked="t" coordsize="21600,21600" o:gfxdata="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c&#10;mkJk1wAAAAsBAAAPAAAAAAAAAAEAIAAAACIAAABkcnMvZG93bnJldi54bWxQSwECFAAUAAAACACH&#10;TuJAnRZ2CuwBAAC0AwAADgAAAAAAAAABACAAAAAmAQAAZHJzL2Uyb0RvYy54bWxQSwUGAAAAAAYA&#10;BgBZAQAAhAUAAAAA&#10;">
                <v:fill on="f" focussize="0,0"/>
                <v:stroke color="#000000" joinstyle="round"/>
                <v:imagedata o:title=""/>
                <o:lock v:ext="edit" aspectratio="f"/>
              </v:line>
            </w:pict>
          </mc:Fallback>
        </mc:AlternateContent>
      </w:r>
      <w:r>
        <w:rPr>
          <w:rFonts w:ascii="宋体" w:hAnsi="宋体"/>
          <w:color w:val="auto"/>
          <w:sz w:val="28"/>
          <w:highlight w:val="none"/>
        </w:rPr>
        <mc:AlternateContent>
          <mc:Choice Requires="wps">
            <w:drawing>
              <wp:anchor distT="0" distB="0" distL="114300" distR="114300" simplePos="0" relativeHeight="251668480" behindDoc="0" locked="0" layoutInCell="1" allowOverlap="1">
                <wp:simplePos x="0" y="0"/>
                <wp:positionH relativeFrom="column">
                  <wp:posOffset>1600200</wp:posOffset>
                </wp:positionH>
                <wp:positionV relativeFrom="paragraph">
                  <wp:posOffset>166370</wp:posOffset>
                </wp:positionV>
                <wp:extent cx="685800" cy="495300"/>
                <wp:effectExtent l="4445" t="4445" r="14605" b="14605"/>
                <wp:wrapNone/>
                <wp:docPr id="43" name="文本框 38"/>
                <wp:cNvGraphicFramePr/>
                <a:graphic xmlns:a="http://schemas.openxmlformats.org/drawingml/2006/main">
                  <a:graphicData uri="http://schemas.microsoft.com/office/word/2010/wordprocessingShape">
                    <wps:wsp>
                      <wps:cNvSpPr txBox="1"/>
                      <wps:spPr>
                        <a:xfrm>
                          <a:off x="0" y="0"/>
                          <a:ext cx="685800" cy="4953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ind w:left="195" w:leftChars="50" w:hanging="90" w:hangingChars="50"/>
                              <w:rPr>
                                <w:sz w:val="18"/>
                                <w:szCs w:val="18"/>
                              </w:rPr>
                            </w:pPr>
                            <w:r>
                              <w:rPr>
                                <w:rFonts w:hint="eastAsia"/>
                                <w:sz w:val="18"/>
                                <w:szCs w:val="18"/>
                              </w:rPr>
                              <w:t>工艺管</w:t>
                            </w:r>
                          </w:p>
                          <w:p>
                            <w:pPr>
                              <w:ind w:left="195" w:leftChars="50" w:hanging="90" w:hangingChars="50"/>
                            </w:pPr>
                            <w:r>
                              <w:rPr>
                                <w:rFonts w:hint="eastAsia"/>
                                <w:sz w:val="18"/>
                                <w:szCs w:val="18"/>
                              </w:rPr>
                              <w:t>理岗位</w:t>
                            </w:r>
                          </w:p>
                        </w:txbxContent>
                      </wps:txbx>
                      <wps:bodyPr upright="1"/>
                    </wps:wsp>
                  </a:graphicData>
                </a:graphic>
              </wp:anchor>
            </w:drawing>
          </mc:Choice>
          <mc:Fallback>
            <w:pict>
              <v:shape id="文本框 38" o:spid="_x0000_s1026" o:spt="202" type="#_x0000_t202" style="position:absolute;left:0pt;margin-left:126pt;margin-top:13.1pt;height:39pt;width:54pt;z-index:251668480;mso-width-relative:page;mso-height-relative:page;" fillcolor="#FFFFFF" filled="t" stroked="t" coordsize="21600,21600" o:gfxdata="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dPUE/2AAAAAoBAAAPAAAAAAAAAAEAIAAAACIAAABkcnMvZG93bnJldi54bWxQ&#10;SwECFAAUAAAACACHTuJAQcZrQfcBAAD3AwAADgAAAAAAAAABACAAAAAnAQAAZHJzL2Uyb0RvYy54&#10;bWxQSwUGAAAAAAYABgBZAQAAkAUAAAAA&#10;">
                <v:fill on="t" focussize="0,0"/>
                <v:stroke color="#000000" joinstyle="miter"/>
                <v:imagedata o:title=""/>
                <o:lock v:ext="edit" aspectratio="f"/>
                <v:textbox>
                  <w:txbxContent>
                    <w:p>
                      <w:pPr>
                        <w:ind w:left="195" w:leftChars="50" w:hanging="90" w:hangingChars="50"/>
                        <w:rPr>
                          <w:sz w:val="18"/>
                          <w:szCs w:val="18"/>
                        </w:rPr>
                      </w:pPr>
                      <w:r>
                        <w:rPr>
                          <w:rFonts w:hint="eastAsia"/>
                          <w:sz w:val="18"/>
                          <w:szCs w:val="18"/>
                        </w:rPr>
                        <w:t>工艺管</w:t>
                      </w:r>
                    </w:p>
                    <w:p>
                      <w:pPr>
                        <w:ind w:left="195" w:leftChars="50" w:hanging="90" w:hangingChars="50"/>
                      </w:pPr>
                      <w:r>
                        <w:rPr>
                          <w:rFonts w:hint="eastAsia"/>
                          <w:sz w:val="18"/>
                          <w:szCs w:val="18"/>
                        </w:rPr>
                        <w:t>理岗位</w:t>
                      </w:r>
                    </w:p>
                  </w:txbxContent>
                </v:textbox>
              </v:shape>
            </w:pict>
          </mc:Fallback>
        </mc:AlternateContent>
      </w:r>
      <w:r>
        <w:rPr>
          <w:rFonts w:ascii="宋体" w:hAnsi="宋体"/>
          <w:color w:val="auto"/>
          <w:sz w:val="28"/>
          <w:highlight w:val="none"/>
        </w:rPr>
        <mc:AlternateContent>
          <mc:Choice Requires="wps">
            <w:drawing>
              <wp:anchor distT="0" distB="0" distL="114300" distR="114300" simplePos="0" relativeHeight="251671552" behindDoc="0" locked="0" layoutInCell="1" allowOverlap="1">
                <wp:simplePos x="0" y="0"/>
                <wp:positionH relativeFrom="column">
                  <wp:posOffset>4457700</wp:posOffset>
                </wp:positionH>
                <wp:positionV relativeFrom="paragraph">
                  <wp:posOffset>661670</wp:posOffset>
                </wp:positionV>
                <wp:extent cx="228600" cy="495300"/>
                <wp:effectExtent l="4445" t="1905" r="14605" b="17145"/>
                <wp:wrapNone/>
                <wp:docPr id="44" name="直接连接符 39"/>
                <wp:cNvGraphicFramePr/>
                <a:graphic xmlns:a="http://schemas.openxmlformats.org/drawingml/2006/main">
                  <a:graphicData uri="http://schemas.microsoft.com/office/word/2010/wordprocessingShape">
                    <wps:wsp>
                      <wps:cNvCnPr/>
                      <wps:spPr>
                        <a:xfrm flipH="1">
                          <a:off x="0" y="0"/>
                          <a:ext cx="228600" cy="49530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接连接符 39" o:spid="_x0000_s1026" o:spt="20" style="position:absolute;left:0pt;flip:x;margin-left:351pt;margin-top:52.1pt;height:39pt;width:18pt;z-index:251671552;mso-width-relative:page;mso-height-relative:page;" filled="f" stroked="t" coordsize="21600,21600" o:gfxdata="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As&#10;MDnXAAAACwEAAA8AAAAAAAAAAQAgAAAAIgAAAGRycy9kb3ducmV2LnhtbFBLAQIUABQAAAAIAIdO&#10;4kBZuWjo6wEAALQDAAAOAAAAAAAAAAEAIAAAACYBAABkcnMvZTJvRG9jLnhtbFBLBQYAAAAABgAG&#10;AFkBAACDBQAAAAA=&#10;">
                <v:fill on="f" focussize="0,0"/>
                <v:stroke color="#000000" joinstyle="round"/>
                <v:imagedata o:title=""/>
                <o:lock v:ext="edit" aspectratio="f"/>
              </v:line>
            </w:pict>
          </mc:Fallback>
        </mc:AlternateContent>
      </w:r>
      <w:r>
        <w:rPr>
          <w:rFonts w:ascii="宋体" w:hAnsi="宋体"/>
          <w:color w:val="auto"/>
          <w:sz w:val="28"/>
          <w:highlight w:val="none"/>
        </w:rPr>
        <mc:AlternateContent>
          <mc:Choice Requires="wps">
            <w:drawing>
              <wp:anchor distT="0" distB="0" distL="114300" distR="114300" simplePos="0" relativeHeight="251678720" behindDoc="0" locked="0" layoutInCell="1" allowOverlap="1">
                <wp:simplePos x="0" y="0"/>
                <wp:positionH relativeFrom="column">
                  <wp:posOffset>4686300</wp:posOffset>
                </wp:positionH>
                <wp:positionV relativeFrom="paragraph">
                  <wp:posOffset>661670</wp:posOffset>
                </wp:positionV>
                <wp:extent cx="228600" cy="495300"/>
                <wp:effectExtent l="4445" t="1905" r="14605" b="17145"/>
                <wp:wrapNone/>
                <wp:docPr id="57" name="直接连接符 41"/>
                <wp:cNvGraphicFramePr/>
                <a:graphic xmlns:a="http://schemas.openxmlformats.org/drawingml/2006/main">
                  <a:graphicData uri="http://schemas.microsoft.com/office/word/2010/wordprocessingShape">
                    <wps:wsp>
                      <wps:cNvCnPr/>
                      <wps:spPr>
                        <a:xfrm>
                          <a:off x="0" y="0"/>
                          <a:ext cx="228600" cy="49530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接连接符 41" o:spid="_x0000_s1026" o:spt="20" style="position:absolute;left:0pt;margin-left:369pt;margin-top:52.1pt;height:39pt;width:18pt;z-index:251678720;mso-width-relative:page;mso-height-relative:page;" filled="f" stroked="t" coordsize="21600,21600" o:gfxdata="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Vp4titgAAAAL&#10;AQAADwAAAAAAAAABACAAAAAiAAAAZHJzL2Rvd25yZXYueG1sUEsBAhQAFAAAAAgAh07iQEY5GHnj&#10;AQAAqgMAAA4AAAAAAAAAAQAgAAAAJwEAAGRycy9lMm9Eb2MueG1sUEsFBgAAAAAGAAYAWQEAAHwF&#10;AAAAAA==&#10;">
                <v:fill on="f" focussize="0,0"/>
                <v:stroke color="#000000" joinstyle="round"/>
                <v:imagedata o:title=""/>
                <o:lock v:ext="edit" aspectratio="f"/>
              </v:line>
            </w:pict>
          </mc:Fallback>
        </mc:AlternateContent>
      </w:r>
      <w:r>
        <w:rPr>
          <w:rFonts w:ascii="宋体" w:hAnsi="宋体"/>
          <w:color w:val="auto"/>
          <w:sz w:val="28"/>
          <w:highlight w:val="none"/>
        </w:rPr>
        <mc:AlternateContent>
          <mc:Choice Requires="wps">
            <w:drawing>
              <wp:anchor distT="0" distB="0" distL="114300" distR="114300" simplePos="0" relativeHeight="251673600" behindDoc="0" locked="0" layoutInCell="1" allowOverlap="1">
                <wp:simplePos x="0" y="0"/>
                <wp:positionH relativeFrom="column">
                  <wp:posOffset>3086100</wp:posOffset>
                </wp:positionH>
                <wp:positionV relativeFrom="paragraph">
                  <wp:posOffset>661670</wp:posOffset>
                </wp:positionV>
                <wp:extent cx="228600" cy="495300"/>
                <wp:effectExtent l="4445" t="1905" r="14605" b="17145"/>
                <wp:wrapNone/>
                <wp:docPr id="49" name="直接连接符 42"/>
                <wp:cNvGraphicFramePr/>
                <a:graphic xmlns:a="http://schemas.openxmlformats.org/drawingml/2006/main">
                  <a:graphicData uri="http://schemas.microsoft.com/office/word/2010/wordprocessingShape">
                    <wps:wsp>
                      <wps:cNvCnPr/>
                      <wps:spPr>
                        <a:xfrm flipH="1">
                          <a:off x="0" y="0"/>
                          <a:ext cx="228600" cy="49530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接连接符 42" o:spid="_x0000_s1026" o:spt="20" style="position:absolute;left:0pt;flip:x;margin-left:243pt;margin-top:52.1pt;height:39pt;width:18pt;z-index:251673600;mso-width-relative:page;mso-height-relative:page;" filled="f" stroked="t" coordsize="21600,21600" o:gfxdata="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BV&#10;vnLXAAAACwEAAA8AAAAAAAAAAQAgAAAAIgAAAGRycy9kb3ducmV2LnhtbFBLAQIUABQAAAAIAIdO&#10;4kCXL4Nq6wEAALQDAAAOAAAAAAAAAAEAIAAAACYBAABkcnMvZTJvRG9jLnhtbFBLBQYAAAAABgAG&#10;AFkBAACDBQAAAAA=&#10;">
                <v:fill on="f" focussize="0,0"/>
                <v:stroke color="#000000" joinstyle="round"/>
                <v:imagedata o:title=""/>
                <o:lock v:ext="edit" aspectratio="f"/>
              </v:line>
            </w:pict>
          </mc:Fallback>
        </mc:AlternateContent>
      </w:r>
      <w:r>
        <w:rPr>
          <w:rFonts w:ascii="宋体" w:hAnsi="宋体"/>
          <w:color w:val="auto"/>
          <w:sz w:val="28"/>
          <w:highlight w:val="none"/>
        </w:rPr>
        <mc:AlternateContent>
          <mc:Choice Requires="wps">
            <w:drawing>
              <wp:anchor distT="0" distB="0" distL="114300" distR="114300" simplePos="0" relativeHeight="251677696" behindDoc="0" locked="0" layoutInCell="1" allowOverlap="1">
                <wp:simplePos x="0" y="0"/>
                <wp:positionH relativeFrom="column">
                  <wp:posOffset>3314700</wp:posOffset>
                </wp:positionH>
                <wp:positionV relativeFrom="paragraph">
                  <wp:posOffset>661670</wp:posOffset>
                </wp:positionV>
                <wp:extent cx="228600" cy="495300"/>
                <wp:effectExtent l="4445" t="1905" r="14605" b="17145"/>
                <wp:wrapNone/>
                <wp:docPr id="56" name="直接连接符 45"/>
                <wp:cNvGraphicFramePr/>
                <a:graphic xmlns:a="http://schemas.openxmlformats.org/drawingml/2006/main">
                  <a:graphicData uri="http://schemas.microsoft.com/office/word/2010/wordprocessingShape">
                    <wps:wsp>
                      <wps:cNvCnPr/>
                      <wps:spPr>
                        <a:xfrm>
                          <a:off x="0" y="0"/>
                          <a:ext cx="228600" cy="49530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接连接符 45" o:spid="_x0000_s1026" o:spt="20" style="position:absolute;left:0pt;margin-left:261pt;margin-top:52.1pt;height:39pt;width:18pt;z-index:251677696;mso-width-relative:page;mso-height-relative:page;" filled="f" stroked="t" coordsize="21600,21600" o:gfxdata="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Ns5wdcAAAAL&#10;AQAADwAAAAAAAAABACAAAAAiAAAAZHJzL2Rvd25yZXYueG1sUEsBAhQAFAAAAAgAh07iQGqWPo7k&#10;AQAAqgMAAA4AAAAAAAAAAQAgAAAAJgEAAGRycy9lMm9Eb2MueG1sUEsFBgAAAAAGAAYAWQEAAHwF&#10;AAAAAA==&#10;">
                <v:fill on="f" focussize="0,0"/>
                <v:stroke color="#000000" joinstyle="round"/>
                <v:imagedata o:title=""/>
                <o:lock v:ext="edit" aspectratio="f"/>
              </v:line>
            </w:pict>
          </mc:Fallback>
        </mc:AlternateContent>
      </w:r>
      <w:r>
        <w:rPr>
          <w:rFonts w:ascii="宋体" w:hAnsi="宋体"/>
          <w:color w:val="auto"/>
          <w:sz w:val="28"/>
          <w:highlight w:val="none"/>
        </w:rPr>
        <mc:AlternateContent>
          <mc:Choice Requires="wps">
            <w:drawing>
              <wp:anchor distT="0" distB="0" distL="114300" distR="114300" simplePos="0" relativeHeight="251670528" behindDoc="0" locked="0" layoutInCell="1" allowOverlap="1">
                <wp:simplePos x="0" y="0"/>
                <wp:positionH relativeFrom="column">
                  <wp:posOffset>4457700</wp:posOffset>
                </wp:positionH>
                <wp:positionV relativeFrom="paragraph">
                  <wp:posOffset>166370</wp:posOffset>
                </wp:positionV>
                <wp:extent cx="686435" cy="495300"/>
                <wp:effectExtent l="4445" t="4445" r="13970" b="14605"/>
                <wp:wrapNone/>
                <wp:docPr id="46" name="文本框 46"/>
                <wp:cNvGraphicFramePr/>
                <a:graphic xmlns:a="http://schemas.openxmlformats.org/drawingml/2006/main">
                  <a:graphicData uri="http://schemas.microsoft.com/office/word/2010/wordprocessingShape">
                    <wps:wsp>
                      <wps:cNvSpPr txBox="1"/>
                      <wps:spPr>
                        <a:xfrm>
                          <a:off x="0" y="0"/>
                          <a:ext cx="686435" cy="4953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ind w:left="105" w:leftChars="50"/>
                              <w:rPr>
                                <w:sz w:val="18"/>
                                <w:szCs w:val="18"/>
                              </w:rPr>
                            </w:pPr>
                            <w:r>
                              <w:rPr>
                                <w:rFonts w:hint="eastAsia"/>
                                <w:sz w:val="18"/>
                                <w:szCs w:val="18"/>
                              </w:rPr>
                              <w:t>安全管理岗位</w:t>
                            </w:r>
                          </w:p>
                        </w:txbxContent>
                      </wps:txbx>
                      <wps:bodyPr upright="1"/>
                    </wps:wsp>
                  </a:graphicData>
                </a:graphic>
              </wp:anchor>
            </w:drawing>
          </mc:Choice>
          <mc:Fallback>
            <w:pict>
              <v:shape id="_x0000_s1026" o:spid="_x0000_s1026" o:spt="202" type="#_x0000_t202" style="position:absolute;left:0pt;margin-left:351pt;margin-top:13.1pt;height:39pt;width:54.05pt;z-index:251670528;mso-width-relative:page;mso-height-relative:page;" fillcolor="#FFFFFF" filled="t" stroked="t" coordsize="21600,21600" o:gfxdata="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J9pWzPYAAAACgEAAA8AAAAAAAAAAQAgAAAAIgAAAGRycy9kb3ducmV2Lnht&#10;bFBLAQIUABQAAAAIAIdO4kCrng+5+QEAAPcDAAAOAAAAAAAAAAEAIAAAACcBAABkcnMvZTJvRG9j&#10;LnhtbFBLBQYAAAAABgAGAFkBAACSBQAAAAA=&#10;">
                <v:fill on="t" focussize="0,0"/>
                <v:stroke color="#000000" joinstyle="miter"/>
                <v:imagedata o:title=""/>
                <o:lock v:ext="edit" aspectratio="f"/>
                <v:textbox>
                  <w:txbxContent>
                    <w:p>
                      <w:pPr>
                        <w:ind w:left="105" w:leftChars="50"/>
                        <w:rPr>
                          <w:sz w:val="18"/>
                          <w:szCs w:val="18"/>
                        </w:rPr>
                      </w:pPr>
                      <w:r>
                        <w:rPr>
                          <w:rFonts w:hint="eastAsia"/>
                          <w:sz w:val="18"/>
                          <w:szCs w:val="18"/>
                        </w:rPr>
                        <w:t>安全管理岗位</w:t>
                      </w:r>
                    </w:p>
                  </w:txbxContent>
                </v:textbox>
              </v:shape>
            </w:pict>
          </mc:Fallback>
        </mc:AlternateContent>
      </w:r>
      <w:r>
        <w:rPr>
          <w:rFonts w:ascii="宋体" w:hAnsi="宋体"/>
          <w:color w:val="auto"/>
          <w:sz w:val="28"/>
          <w:highlight w:val="none"/>
        </w:rPr>
        <mc:AlternateContent>
          <mc:Choice Requires="wps">
            <w:drawing>
              <wp:anchor distT="0" distB="0" distL="114300" distR="114300" simplePos="0" relativeHeight="251669504" behindDoc="0" locked="0" layoutInCell="1" allowOverlap="1">
                <wp:simplePos x="0" y="0"/>
                <wp:positionH relativeFrom="column">
                  <wp:posOffset>2971800</wp:posOffset>
                </wp:positionH>
                <wp:positionV relativeFrom="paragraph">
                  <wp:posOffset>166370</wp:posOffset>
                </wp:positionV>
                <wp:extent cx="686435" cy="495300"/>
                <wp:effectExtent l="4445" t="4445" r="13970" b="14605"/>
                <wp:wrapNone/>
                <wp:docPr id="47" name="文本框 47"/>
                <wp:cNvGraphicFramePr/>
                <a:graphic xmlns:a="http://schemas.openxmlformats.org/drawingml/2006/main">
                  <a:graphicData uri="http://schemas.microsoft.com/office/word/2010/wordprocessingShape">
                    <wps:wsp>
                      <wps:cNvSpPr txBox="1"/>
                      <wps:spPr>
                        <a:xfrm>
                          <a:off x="0" y="0"/>
                          <a:ext cx="686435" cy="4953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ind w:left="195" w:leftChars="50" w:hanging="90" w:hangingChars="50"/>
                              <w:rPr>
                                <w:sz w:val="18"/>
                                <w:szCs w:val="18"/>
                              </w:rPr>
                            </w:pPr>
                            <w:r>
                              <w:rPr>
                                <w:rFonts w:hint="eastAsia"/>
                                <w:sz w:val="18"/>
                                <w:szCs w:val="18"/>
                              </w:rPr>
                              <w:t>质量监控岗位</w:t>
                            </w:r>
                          </w:p>
                        </w:txbxContent>
                      </wps:txbx>
                      <wps:bodyPr upright="1"/>
                    </wps:wsp>
                  </a:graphicData>
                </a:graphic>
              </wp:anchor>
            </w:drawing>
          </mc:Choice>
          <mc:Fallback>
            <w:pict>
              <v:shape id="_x0000_s1026" o:spid="_x0000_s1026" o:spt="202" type="#_x0000_t202" style="position:absolute;left:0pt;margin-left:234pt;margin-top:13.1pt;height:39pt;width:54.05pt;z-index:251669504;mso-width-relative:page;mso-height-relative:page;" fillcolor="#FFFFFF" filled="t" stroked="t" coordsize="21600,21600" o:gfxdata="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sEbc02QAAAAoBAAAPAAAAAAAAAAEAIAAAACIAAABkcnMvZG93bnJldi54&#10;bWxQSwECFAAUAAAACACHTuJAIV9ftvkBAAD3AwAADgAAAAAAAAABACAAAAAoAQAAZHJzL2Uyb0Rv&#10;Yy54bWxQSwUGAAAAAAYABgBZAQAAkwUAAAAA&#10;">
                <v:fill on="t" focussize="0,0"/>
                <v:stroke color="#000000" joinstyle="miter"/>
                <v:imagedata o:title=""/>
                <o:lock v:ext="edit" aspectratio="f"/>
                <v:textbox>
                  <w:txbxContent>
                    <w:p>
                      <w:pPr>
                        <w:ind w:left="195" w:leftChars="50" w:hanging="90" w:hangingChars="50"/>
                        <w:rPr>
                          <w:sz w:val="18"/>
                          <w:szCs w:val="18"/>
                        </w:rPr>
                      </w:pPr>
                      <w:r>
                        <w:rPr>
                          <w:rFonts w:hint="eastAsia"/>
                          <w:sz w:val="18"/>
                          <w:szCs w:val="18"/>
                        </w:rPr>
                        <w:t>质量监控岗位</w:t>
                      </w:r>
                    </w:p>
                  </w:txbxContent>
                </v:textbox>
              </v:shape>
            </w:pict>
          </mc:Fallback>
        </mc:AlternateContent>
      </w:r>
      <w:r>
        <w:rPr>
          <w:rFonts w:ascii="宋体" w:hAnsi="宋体"/>
          <w:color w:val="auto"/>
          <w:sz w:val="28"/>
          <w:highlight w:val="none"/>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166370</wp:posOffset>
                </wp:positionV>
                <wp:extent cx="685800" cy="495300"/>
                <wp:effectExtent l="4445" t="4445" r="14605" b="14605"/>
                <wp:wrapNone/>
                <wp:docPr id="48" name="文本框 48"/>
                <wp:cNvGraphicFramePr/>
                <a:graphic xmlns:a="http://schemas.openxmlformats.org/drawingml/2006/main">
                  <a:graphicData uri="http://schemas.microsoft.com/office/word/2010/wordprocessingShape">
                    <wps:wsp>
                      <wps:cNvSpPr txBox="1"/>
                      <wps:spPr>
                        <a:xfrm>
                          <a:off x="0" y="0"/>
                          <a:ext cx="685800" cy="4953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ind w:left="90" w:hanging="90" w:hangingChars="50"/>
                              <w:jc w:val="center"/>
                              <w:rPr>
                                <w:sz w:val="18"/>
                                <w:szCs w:val="18"/>
                              </w:rPr>
                            </w:pPr>
                            <w:r>
                              <w:rPr>
                                <w:rFonts w:hint="eastAsia"/>
                                <w:sz w:val="18"/>
                                <w:szCs w:val="18"/>
                              </w:rPr>
                              <w:t>生产操</w:t>
                            </w:r>
                          </w:p>
                          <w:p>
                            <w:pPr>
                              <w:ind w:left="90" w:hanging="90" w:hangingChars="50"/>
                              <w:jc w:val="center"/>
                              <w:rPr>
                                <w:sz w:val="18"/>
                                <w:szCs w:val="18"/>
                              </w:rPr>
                            </w:pPr>
                            <w:r>
                              <w:rPr>
                                <w:rFonts w:hint="eastAsia"/>
                                <w:sz w:val="18"/>
                                <w:szCs w:val="18"/>
                              </w:rPr>
                              <w:t>作岗位</w:t>
                            </w:r>
                          </w:p>
                        </w:txbxContent>
                      </wps:txbx>
                      <wps:bodyPr upright="1"/>
                    </wps:wsp>
                  </a:graphicData>
                </a:graphic>
              </wp:anchor>
            </w:drawing>
          </mc:Choice>
          <mc:Fallback>
            <w:pict>
              <v:shape id="_x0000_s1026" o:spid="_x0000_s1026" o:spt="202" type="#_x0000_t202" style="position:absolute;left:0pt;margin-left:0pt;margin-top:13.1pt;height:39pt;width:54pt;z-index:251667456;mso-width-relative:page;mso-height-relative:page;" fillcolor="#FFFFFF" filled="t" stroked="t" coordsize="21600,21600" o:gfxdata="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SwmzK1gAAAAcBAAAPAAAAAAAAAAEAIAAAACIAAABkcnMvZG93bnJldi54bWxQSwEC&#10;FAAUAAAACACHTuJAM72S1vYBAAD3AwAADgAAAAAAAAABACAAAAAlAQAAZHJzL2Uyb0RvYy54bWxQ&#10;SwUGAAAAAAYABgBZAQAAjQUAAAAA&#10;">
                <v:fill on="t" focussize="0,0"/>
                <v:stroke color="#000000" joinstyle="miter"/>
                <v:imagedata o:title=""/>
                <o:lock v:ext="edit" aspectratio="f"/>
                <v:textbox>
                  <w:txbxContent>
                    <w:p>
                      <w:pPr>
                        <w:ind w:left="90" w:hanging="90" w:hangingChars="50"/>
                        <w:jc w:val="center"/>
                        <w:rPr>
                          <w:sz w:val="18"/>
                          <w:szCs w:val="18"/>
                        </w:rPr>
                      </w:pPr>
                      <w:r>
                        <w:rPr>
                          <w:rFonts w:hint="eastAsia"/>
                          <w:sz w:val="18"/>
                          <w:szCs w:val="18"/>
                        </w:rPr>
                        <w:t>生产操</w:t>
                      </w:r>
                    </w:p>
                    <w:p>
                      <w:pPr>
                        <w:ind w:left="90" w:hanging="90" w:hangingChars="50"/>
                        <w:jc w:val="center"/>
                        <w:rPr>
                          <w:sz w:val="18"/>
                          <w:szCs w:val="18"/>
                        </w:rPr>
                      </w:pPr>
                      <w:r>
                        <w:rPr>
                          <w:rFonts w:hint="eastAsia"/>
                          <w:sz w:val="18"/>
                          <w:szCs w:val="18"/>
                        </w:rPr>
                        <w:t>作岗位</w:t>
                      </w:r>
                    </w:p>
                  </w:txbxContent>
                </v:textbox>
              </v:shape>
            </w:pict>
          </mc:Fallback>
        </mc:AlternateContent>
      </w:r>
    </w:p>
    <w:p>
      <w:pPr>
        <w:spacing w:line="360" w:lineRule="auto"/>
        <w:ind w:firstLine="640" w:firstLineChars="200"/>
        <w:rPr>
          <w:rFonts w:ascii="黑体" w:hAnsi="宋体" w:eastAsia="黑体"/>
          <w:color w:val="auto"/>
          <w:sz w:val="32"/>
          <w:szCs w:val="32"/>
          <w:highlight w:val="none"/>
        </w:rPr>
      </w:pPr>
    </w:p>
    <w:p>
      <w:pPr>
        <w:spacing w:line="360" w:lineRule="auto"/>
        <w:rPr>
          <w:rFonts w:ascii="黑体" w:hAnsi="宋体" w:eastAsia="黑体"/>
          <w:color w:val="auto"/>
          <w:sz w:val="32"/>
          <w:szCs w:val="32"/>
          <w:highlight w:val="none"/>
        </w:rPr>
      </w:pPr>
    </w:p>
    <w:p>
      <w:pPr>
        <w:spacing w:line="360" w:lineRule="auto"/>
        <w:rPr>
          <w:rFonts w:ascii="黑体" w:hAnsi="宋体" w:eastAsia="黑体"/>
          <w:color w:val="auto"/>
          <w:sz w:val="32"/>
          <w:szCs w:val="32"/>
          <w:highlight w:val="none"/>
        </w:rPr>
      </w:pPr>
    </w:p>
    <w:p>
      <w:pPr>
        <w:spacing w:line="360" w:lineRule="auto"/>
        <w:rPr>
          <w:rFonts w:ascii="黑体" w:hAnsi="宋体" w:eastAsia="黑体"/>
          <w:color w:val="auto"/>
          <w:sz w:val="32"/>
          <w:szCs w:val="32"/>
          <w:highlight w:val="none"/>
        </w:rPr>
      </w:pPr>
    </w:p>
    <w:p>
      <w:pPr>
        <w:spacing w:line="360" w:lineRule="auto"/>
        <w:rPr>
          <w:rFonts w:hint="eastAsia" w:ascii="黑体" w:hAnsi="黑体" w:eastAsia="黑体" w:cs="黑体"/>
          <w:bCs/>
          <w:color w:val="auto"/>
          <w:sz w:val="30"/>
          <w:szCs w:val="30"/>
          <w:highlight w:val="none"/>
        </w:rPr>
      </w:pPr>
    </w:p>
    <w:p>
      <w:pPr>
        <w:spacing w:line="360" w:lineRule="auto"/>
        <w:ind w:firstLine="300" w:firstLineChars="100"/>
        <w:rPr>
          <w:rFonts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（四）人才结构分析</w:t>
      </w:r>
    </w:p>
    <w:p>
      <w:pPr>
        <w:spacing w:line="360" w:lineRule="auto"/>
        <w:ind w:firstLine="480" w:firstLineChars="200"/>
        <w:rPr>
          <w:rFonts w:ascii="宋体" w:hAnsi="宋体"/>
          <w:color w:val="auto"/>
          <w:sz w:val="24"/>
          <w:highlight w:val="none"/>
        </w:rPr>
      </w:pPr>
      <w:bookmarkStart w:id="35" w:name="_Toc339913809"/>
      <w:bookmarkStart w:id="36" w:name="_Toc341338639"/>
      <w:bookmarkStart w:id="37" w:name="_Toc339985610"/>
      <w:r>
        <w:rPr>
          <w:rFonts w:hint="eastAsia"/>
          <w:color w:val="auto"/>
          <w:sz w:val="24"/>
          <w:highlight w:val="none"/>
        </w:rPr>
        <w:t>在学术委员会的支持下，对晋城市相关企业职业结构进行调查，调查情况包括：就业前最高学历、是否受过培训、目前具有的专业技术职称和岗位资格证书等。调查结果表明，</w:t>
      </w:r>
      <w:r>
        <w:rPr>
          <w:rFonts w:hint="eastAsia" w:ascii="宋体" w:hAnsi="宋体"/>
          <w:color w:val="auto"/>
          <w:sz w:val="24"/>
          <w:highlight w:val="none"/>
        </w:rPr>
        <w:t>晋城市化工企业中生产人员占有比为73%，其次为管理人员，占有15%，工程技术人员和销售人员各占有5%的比例。</w:t>
      </w:r>
      <w:r>
        <w:rPr>
          <w:rFonts w:hint="eastAsia"/>
          <w:color w:val="auto"/>
          <w:sz w:val="24"/>
          <w:highlight w:val="none"/>
        </w:rPr>
        <w:t>在目前的人才结构分析中存在以下问题：</w:t>
      </w:r>
    </w:p>
    <w:p>
      <w:pPr>
        <w:spacing w:line="360" w:lineRule="auto"/>
        <w:ind w:firstLine="360" w:firstLineChars="150"/>
        <w:rPr>
          <w:color w:val="auto"/>
          <w:sz w:val="24"/>
          <w:highlight w:val="none"/>
        </w:rPr>
      </w:pPr>
      <w:r>
        <w:rPr>
          <w:rFonts w:hint="eastAsia"/>
          <w:color w:val="auto"/>
          <w:sz w:val="24"/>
          <w:highlight w:val="none"/>
        </w:rPr>
        <w:t>1</w:t>
      </w:r>
      <w:r>
        <w:rPr>
          <w:rFonts w:hint="eastAsia"/>
          <w:color w:val="auto"/>
          <w:sz w:val="24"/>
          <w:highlight w:val="none"/>
          <w:lang w:eastAsia="zh-CN"/>
        </w:rPr>
        <w:t>.</w:t>
      </w:r>
      <w:r>
        <w:rPr>
          <w:rFonts w:hint="eastAsia"/>
          <w:color w:val="auto"/>
          <w:sz w:val="24"/>
          <w:highlight w:val="none"/>
        </w:rPr>
        <w:t>从业人员整体文化素质水平不容乐观；</w:t>
      </w:r>
    </w:p>
    <w:p>
      <w:pPr>
        <w:spacing w:line="360" w:lineRule="auto"/>
        <w:ind w:firstLine="360" w:firstLineChars="150"/>
        <w:rPr>
          <w:color w:val="auto"/>
          <w:sz w:val="24"/>
          <w:highlight w:val="none"/>
        </w:rPr>
      </w:pPr>
      <w:r>
        <w:rPr>
          <w:rFonts w:hint="eastAsia"/>
          <w:color w:val="auto"/>
          <w:sz w:val="24"/>
          <w:highlight w:val="none"/>
        </w:rPr>
        <w:t>2</w:t>
      </w:r>
      <w:r>
        <w:rPr>
          <w:rFonts w:hint="eastAsia"/>
          <w:color w:val="auto"/>
          <w:sz w:val="24"/>
          <w:highlight w:val="none"/>
          <w:lang w:eastAsia="zh-CN"/>
        </w:rPr>
        <w:t>.</w:t>
      </w:r>
      <w:r>
        <w:rPr>
          <w:rFonts w:hint="eastAsia"/>
          <w:color w:val="auto"/>
          <w:sz w:val="24"/>
          <w:highlight w:val="none"/>
        </w:rPr>
        <w:t>行业员工结构有待改善；</w:t>
      </w:r>
    </w:p>
    <w:p>
      <w:pPr>
        <w:spacing w:line="360" w:lineRule="auto"/>
        <w:ind w:firstLine="360" w:firstLineChars="150"/>
        <w:rPr>
          <w:color w:val="auto"/>
          <w:sz w:val="24"/>
          <w:highlight w:val="none"/>
        </w:rPr>
      </w:pPr>
      <w:r>
        <w:rPr>
          <w:rFonts w:hint="eastAsia"/>
          <w:color w:val="auto"/>
          <w:sz w:val="24"/>
          <w:highlight w:val="none"/>
        </w:rPr>
        <w:t>3</w:t>
      </w:r>
      <w:r>
        <w:rPr>
          <w:rFonts w:hint="eastAsia"/>
          <w:color w:val="auto"/>
          <w:sz w:val="24"/>
          <w:highlight w:val="none"/>
          <w:lang w:eastAsia="zh-CN"/>
        </w:rPr>
        <w:t>.</w:t>
      </w:r>
      <w:r>
        <w:rPr>
          <w:rFonts w:hint="eastAsia"/>
          <w:color w:val="auto"/>
          <w:sz w:val="24"/>
          <w:highlight w:val="none"/>
        </w:rPr>
        <w:t>高级技能人员严重不足；</w:t>
      </w:r>
    </w:p>
    <w:p>
      <w:pPr>
        <w:spacing w:line="360" w:lineRule="auto"/>
        <w:ind w:firstLine="360" w:firstLineChars="150"/>
        <w:rPr>
          <w:color w:val="auto"/>
          <w:sz w:val="24"/>
          <w:highlight w:val="none"/>
        </w:rPr>
      </w:pPr>
      <w:r>
        <w:rPr>
          <w:rFonts w:hint="eastAsia"/>
          <w:color w:val="auto"/>
          <w:sz w:val="24"/>
          <w:highlight w:val="none"/>
        </w:rPr>
        <w:t>4</w:t>
      </w:r>
      <w:r>
        <w:rPr>
          <w:rFonts w:hint="eastAsia"/>
          <w:color w:val="auto"/>
          <w:sz w:val="24"/>
          <w:highlight w:val="none"/>
          <w:lang w:eastAsia="zh-CN"/>
        </w:rPr>
        <w:t>.</w:t>
      </w:r>
      <w:r>
        <w:rPr>
          <w:rFonts w:hint="eastAsia"/>
          <w:color w:val="auto"/>
          <w:sz w:val="24"/>
          <w:highlight w:val="none"/>
        </w:rPr>
        <w:t>从业人员中对口毕业的煤化工技术专业人才所占比例不高；</w:t>
      </w:r>
    </w:p>
    <w:p>
      <w:pPr>
        <w:spacing w:line="360" w:lineRule="auto"/>
        <w:ind w:firstLine="360" w:firstLineChars="150"/>
        <w:rPr>
          <w:color w:val="auto"/>
          <w:sz w:val="24"/>
          <w:highlight w:val="none"/>
        </w:rPr>
      </w:pPr>
      <w:r>
        <w:rPr>
          <w:rFonts w:hint="eastAsia"/>
          <w:color w:val="auto"/>
          <w:sz w:val="24"/>
          <w:highlight w:val="none"/>
        </w:rPr>
        <w:t>5</w:t>
      </w:r>
      <w:r>
        <w:rPr>
          <w:rFonts w:hint="eastAsia"/>
          <w:color w:val="auto"/>
          <w:sz w:val="24"/>
          <w:highlight w:val="none"/>
          <w:lang w:eastAsia="zh-CN"/>
        </w:rPr>
        <w:t>.</w:t>
      </w:r>
      <w:r>
        <w:rPr>
          <w:rFonts w:hint="eastAsia"/>
          <w:color w:val="auto"/>
          <w:sz w:val="24"/>
          <w:highlight w:val="none"/>
        </w:rPr>
        <w:t>从业人员培训欠佳，有待于加强。</w:t>
      </w:r>
    </w:p>
    <w:p>
      <w:pPr>
        <w:pStyle w:val="3"/>
        <w:spacing w:before="0" w:after="0" w:line="360" w:lineRule="auto"/>
        <w:ind w:firstLine="640" w:firstLineChars="200"/>
        <w:rPr>
          <w:b w:val="0"/>
          <w:bCs/>
          <w:color w:val="auto"/>
          <w:highlight w:val="none"/>
        </w:rPr>
      </w:pPr>
      <w:bookmarkStart w:id="38" w:name="_Toc8607"/>
      <w:r>
        <w:rPr>
          <w:rFonts w:hint="eastAsia"/>
          <w:b w:val="0"/>
          <w:bCs/>
          <w:color w:val="auto"/>
          <w:highlight w:val="none"/>
        </w:rPr>
        <w:t>三、专业现状调研</w:t>
      </w:r>
      <w:bookmarkEnd w:id="35"/>
      <w:bookmarkEnd w:id="36"/>
      <w:bookmarkEnd w:id="37"/>
      <w:bookmarkEnd w:id="38"/>
    </w:p>
    <w:p>
      <w:pPr>
        <w:spacing w:line="360" w:lineRule="auto"/>
        <w:ind w:firstLine="480" w:firstLineChars="200"/>
        <w:rPr>
          <w:color w:val="auto"/>
          <w:sz w:val="24"/>
          <w:highlight w:val="none"/>
        </w:rPr>
      </w:pPr>
      <w:r>
        <w:rPr>
          <w:color w:val="auto"/>
          <w:sz w:val="24"/>
          <w:highlight w:val="none"/>
        </w:rPr>
        <w:t>根据教育部2017年教育金秋系列发布会</w:t>
      </w:r>
      <w:r>
        <w:rPr>
          <w:rFonts w:hint="eastAsia"/>
          <w:color w:val="auto"/>
          <w:sz w:val="24"/>
          <w:highlight w:val="none"/>
        </w:rPr>
        <w:t>上</w:t>
      </w:r>
      <w:r>
        <w:rPr>
          <w:color w:val="auto"/>
          <w:sz w:val="24"/>
          <w:highlight w:val="none"/>
        </w:rPr>
        <w:t>教育部职成司司长王继平介绍了职业教育国家教学标准体系建设总体情况，全国共有职业院校</w:t>
      </w:r>
      <w:r>
        <w:rPr>
          <w:bCs/>
          <w:color w:val="auto"/>
          <w:sz w:val="24"/>
          <w:highlight w:val="none"/>
        </w:rPr>
        <w:t>1.23万所</w:t>
      </w:r>
      <w:r>
        <w:rPr>
          <w:color w:val="auto"/>
          <w:sz w:val="24"/>
          <w:highlight w:val="none"/>
        </w:rPr>
        <w:t>，年招生</w:t>
      </w:r>
      <w:r>
        <w:rPr>
          <w:bCs/>
          <w:color w:val="auto"/>
          <w:sz w:val="24"/>
          <w:highlight w:val="none"/>
        </w:rPr>
        <w:t>930.78万人</w:t>
      </w:r>
      <w:r>
        <w:rPr>
          <w:color w:val="auto"/>
          <w:sz w:val="24"/>
          <w:highlight w:val="none"/>
        </w:rPr>
        <w:t>，在校生</w:t>
      </w:r>
      <w:r>
        <w:rPr>
          <w:bCs/>
          <w:color w:val="auto"/>
          <w:sz w:val="24"/>
          <w:highlight w:val="none"/>
        </w:rPr>
        <w:t>2680.21万人</w:t>
      </w:r>
      <w:r>
        <w:rPr>
          <w:color w:val="auto"/>
          <w:sz w:val="24"/>
          <w:highlight w:val="none"/>
        </w:rPr>
        <w:t>，中职、高职教育分别占我国高中阶段教育和高等教育的“半壁江山”。全国职业院校共开设近千个专业、近10万个专业点</w:t>
      </w:r>
      <w:r>
        <w:rPr>
          <w:rFonts w:hint="eastAsia"/>
          <w:color w:val="auto"/>
          <w:sz w:val="24"/>
          <w:highlight w:val="none"/>
        </w:rPr>
        <w:t>。据山西省职业教育网2019公布，山西省独立设置的高职高专院校50所，2018年高职(专科)招生9.02万人，在校生26.26万人，规模占高等教育总规模的34.3%（表2.</w:t>
      </w:r>
      <w:r>
        <w:rPr>
          <w:rFonts w:hint="eastAsia"/>
          <w:color w:val="auto"/>
          <w:sz w:val="24"/>
          <w:highlight w:val="none"/>
          <w:lang w:val="en-US" w:eastAsia="zh-CN"/>
        </w:rPr>
        <w:t>1</w:t>
      </w:r>
      <w:r>
        <w:rPr>
          <w:rFonts w:hint="eastAsia"/>
          <w:color w:val="auto"/>
          <w:sz w:val="24"/>
          <w:highlight w:val="none"/>
        </w:rPr>
        <w:t>）。全省中高职院校共开设3230个专业点，涉及农林水利、资源环境、交通运输、装备制造、信息技术、医药卫生、文化艺术、旅游服务等19个专业大类，基本覆盖我省经济社会发展所有领域。全省建设12所省级高职示范校，30所中等职业学校和5所高等职业院校进入国家示范校项目建设行列，国家级、省级重点中职学校分别达到58所和118所。</w:t>
      </w:r>
    </w:p>
    <w:p>
      <w:pPr>
        <w:spacing w:line="360" w:lineRule="auto"/>
        <w:ind w:firstLine="480" w:firstLineChars="200"/>
        <w:rPr>
          <w:color w:val="auto"/>
          <w:sz w:val="24"/>
          <w:highlight w:val="none"/>
        </w:rPr>
      </w:pPr>
      <w:r>
        <w:rPr>
          <w:rFonts w:hint="eastAsia"/>
          <w:color w:val="auto"/>
          <w:sz w:val="24"/>
          <w:highlight w:val="none"/>
        </w:rPr>
        <w:t>2015 年，山西省独立高职院校共设置1004 个专业点，校均 21 个专业点，布点数位居前五位的是晋中职业技术学院、山西职业技术学院、运城职业技术学院、晋城职业技术学院、山西建筑职业技术学院。其中，晋中职业技术学院布点最多为42个，占布点总数的4.18%；阳泉职业技术学院最少为6个，占布点总数的0.6%，详见表2.</w:t>
      </w:r>
      <w:r>
        <w:rPr>
          <w:rFonts w:hint="eastAsia"/>
          <w:color w:val="auto"/>
          <w:sz w:val="24"/>
          <w:highlight w:val="none"/>
          <w:lang w:val="en-US" w:eastAsia="zh-CN"/>
        </w:rPr>
        <w:t>2</w:t>
      </w:r>
      <w:r>
        <w:rPr>
          <w:rFonts w:hint="eastAsia"/>
          <w:color w:val="auto"/>
          <w:sz w:val="24"/>
          <w:highlight w:val="none"/>
        </w:rPr>
        <w:t>。</w:t>
      </w:r>
    </w:p>
    <w:p>
      <w:pPr>
        <w:spacing w:line="360" w:lineRule="auto"/>
        <w:ind w:firstLine="2160" w:firstLineChars="900"/>
        <w:rPr>
          <w:color w:val="auto"/>
          <w:sz w:val="24"/>
          <w:highlight w:val="none"/>
        </w:rPr>
      </w:pPr>
      <w:r>
        <w:rPr>
          <w:rFonts w:hint="eastAsia"/>
          <w:color w:val="auto"/>
          <w:sz w:val="24"/>
          <w:highlight w:val="none"/>
        </w:rPr>
        <w:t>表2.</w:t>
      </w:r>
      <w:r>
        <w:rPr>
          <w:rFonts w:hint="eastAsia"/>
          <w:color w:val="auto"/>
          <w:sz w:val="24"/>
          <w:highlight w:val="none"/>
          <w:lang w:val="en-US" w:eastAsia="zh-CN"/>
        </w:rPr>
        <w:t>1</w:t>
      </w:r>
      <w:r>
        <w:rPr>
          <w:rFonts w:hint="eastAsia"/>
          <w:color w:val="auto"/>
          <w:sz w:val="24"/>
          <w:highlight w:val="none"/>
        </w:rPr>
        <w:t xml:space="preserve">     山西省高职专业大类分布情况</w:t>
      </w:r>
    </w:p>
    <w:tbl>
      <w:tblPr>
        <w:tblStyle w:val="1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
        <w:gridCol w:w="1673"/>
        <w:gridCol w:w="1065"/>
        <w:gridCol w:w="1065"/>
        <w:gridCol w:w="1065"/>
        <w:gridCol w:w="1065"/>
        <w:gridCol w:w="1066"/>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序号</w:t>
            </w:r>
          </w:p>
        </w:tc>
        <w:tc>
          <w:tcPr>
            <w:tcW w:w="1673"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专业大类</w:t>
            </w:r>
          </w:p>
        </w:tc>
        <w:tc>
          <w:tcPr>
            <w:tcW w:w="1065"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专业数</w:t>
            </w:r>
          </w:p>
        </w:tc>
        <w:tc>
          <w:tcPr>
            <w:tcW w:w="1065"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比例</w:t>
            </w:r>
            <w:r>
              <w:rPr>
                <w:rFonts w:hint="eastAsia" w:asciiTheme="minorEastAsia" w:hAnsiTheme="minorEastAsia"/>
                <w:color w:val="auto"/>
                <w:sz w:val="21"/>
                <w:szCs w:val="21"/>
                <w:highlight w:val="none"/>
              </w:rPr>
              <w:t>（%）</w:t>
            </w:r>
          </w:p>
        </w:tc>
        <w:tc>
          <w:tcPr>
            <w:tcW w:w="1065"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专业点数</w:t>
            </w:r>
          </w:p>
        </w:tc>
        <w:tc>
          <w:tcPr>
            <w:tcW w:w="1065"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比例</w:t>
            </w:r>
            <w:r>
              <w:rPr>
                <w:rFonts w:hint="eastAsia" w:asciiTheme="minorEastAsia" w:hAnsiTheme="minorEastAsia"/>
                <w:color w:val="auto"/>
                <w:sz w:val="21"/>
                <w:szCs w:val="21"/>
                <w:highlight w:val="none"/>
              </w:rPr>
              <w:t>（%）</w:t>
            </w:r>
          </w:p>
        </w:tc>
        <w:tc>
          <w:tcPr>
            <w:tcW w:w="106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开设院校数</w:t>
            </w:r>
          </w:p>
        </w:tc>
        <w:tc>
          <w:tcPr>
            <w:tcW w:w="106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比例</w:t>
            </w:r>
            <w:r>
              <w:rPr>
                <w:rFonts w:hint="eastAsia" w:asciiTheme="minorEastAsia" w:hAnsiTheme="minorEastAsia"/>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w:t>
            </w:r>
          </w:p>
        </w:tc>
        <w:tc>
          <w:tcPr>
            <w:tcW w:w="1673"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农林牧渔</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17</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5.23</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35</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3.49</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9</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w:t>
            </w:r>
          </w:p>
        </w:tc>
        <w:tc>
          <w:tcPr>
            <w:tcW w:w="1673"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交通运输</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16</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4.92</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23</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2.29</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13</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27.08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w:t>
            </w:r>
          </w:p>
        </w:tc>
        <w:tc>
          <w:tcPr>
            <w:tcW w:w="1673"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生化与药品</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11</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3.38</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27</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2.69</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10</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4</w:t>
            </w:r>
          </w:p>
        </w:tc>
        <w:tc>
          <w:tcPr>
            <w:tcW w:w="1673"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资源开发与测绘</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23</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7.08</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74</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7.37</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19</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5</w:t>
            </w:r>
          </w:p>
        </w:tc>
        <w:tc>
          <w:tcPr>
            <w:tcW w:w="1673"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材料</w:t>
            </w:r>
            <w:r>
              <w:rPr>
                <w:rFonts w:hint="eastAsia" w:asciiTheme="minorEastAsia" w:hAnsiTheme="minorEastAsia"/>
                <w:color w:val="auto"/>
                <w:sz w:val="21"/>
                <w:szCs w:val="21"/>
                <w:highlight w:val="none"/>
              </w:rPr>
              <w:t>与</w:t>
            </w:r>
            <w:r>
              <w:rPr>
                <w:rFonts w:asciiTheme="minorEastAsia" w:hAnsiTheme="minorEastAsia"/>
                <w:color w:val="auto"/>
                <w:sz w:val="21"/>
                <w:szCs w:val="21"/>
                <w:highlight w:val="none"/>
              </w:rPr>
              <w:t>能源</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20</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6.15</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32</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3.19</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12</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6</w:t>
            </w:r>
          </w:p>
        </w:tc>
        <w:tc>
          <w:tcPr>
            <w:tcW w:w="1673"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土建</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25</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7.69</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92</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9.16</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25</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52.08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7</w:t>
            </w:r>
          </w:p>
        </w:tc>
        <w:tc>
          <w:tcPr>
            <w:tcW w:w="1673"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水利</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9</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2.77</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9</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0.90</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8</w:t>
            </w:r>
          </w:p>
        </w:tc>
        <w:tc>
          <w:tcPr>
            <w:tcW w:w="1673"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制造</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25</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7.69</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112</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11.16</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24</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9</w:t>
            </w:r>
          </w:p>
        </w:tc>
        <w:tc>
          <w:tcPr>
            <w:tcW w:w="1673"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电子信息</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28</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8.62</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116</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11.55</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37</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77.08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10</w:t>
            </w:r>
          </w:p>
        </w:tc>
        <w:tc>
          <w:tcPr>
            <w:tcW w:w="1673"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环保</w:t>
            </w:r>
            <w:r>
              <w:rPr>
                <w:rFonts w:hint="eastAsia" w:asciiTheme="minorEastAsia" w:hAnsiTheme="minorEastAsia"/>
                <w:color w:val="auto"/>
                <w:sz w:val="21"/>
                <w:szCs w:val="21"/>
                <w:highlight w:val="none"/>
              </w:rPr>
              <w:t>、</w:t>
            </w:r>
            <w:r>
              <w:rPr>
                <w:rFonts w:asciiTheme="minorEastAsia" w:hAnsiTheme="minorEastAsia"/>
                <w:color w:val="auto"/>
                <w:sz w:val="21"/>
                <w:szCs w:val="21"/>
                <w:highlight w:val="none"/>
              </w:rPr>
              <w:t>气象与安全</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4</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1.23</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9</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0.90</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8</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11</w:t>
            </w:r>
          </w:p>
        </w:tc>
        <w:tc>
          <w:tcPr>
            <w:tcW w:w="1673"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轻纺食品</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8</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2.46</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18</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1.79</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9</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12</w:t>
            </w:r>
          </w:p>
        </w:tc>
        <w:tc>
          <w:tcPr>
            <w:tcW w:w="1673"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财经</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27</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8.31</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145</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14.44</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38</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79.17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13</w:t>
            </w:r>
          </w:p>
        </w:tc>
        <w:tc>
          <w:tcPr>
            <w:tcW w:w="1673"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医药卫生</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12</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3.69</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35</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3.49</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6</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14</w:t>
            </w:r>
          </w:p>
        </w:tc>
        <w:tc>
          <w:tcPr>
            <w:tcW w:w="1673"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旅游</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12</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3.69</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67</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6.67</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29</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60.42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15</w:t>
            </w:r>
          </w:p>
        </w:tc>
        <w:tc>
          <w:tcPr>
            <w:tcW w:w="1673"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公共事业</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7</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2.15</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9</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0.90</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7</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16</w:t>
            </w:r>
          </w:p>
        </w:tc>
        <w:tc>
          <w:tcPr>
            <w:tcW w:w="1673"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文化教育</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37</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11.38</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106</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10.56</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26</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54.17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17</w:t>
            </w:r>
          </w:p>
        </w:tc>
        <w:tc>
          <w:tcPr>
            <w:tcW w:w="1673"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艺术设计传媒</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29</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8.92</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76</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7.57</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28</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18</w:t>
            </w:r>
          </w:p>
        </w:tc>
        <w:tc>
          <w:tcPr>
            <w:tcW w:w="1673"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公安</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11</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3.38</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12</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1.20</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19</w:t>
            </w:r>
          </w:p>
        </w:tc>
        <w:tc>
          <w:tcPr>
            <w:tcW w:w="1673"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法律</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5</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1.54</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7</w:t>
            </w:r>
          </w:p>
        </w:tc>
        <w:tc>
          <w:tcPr>
            <w:tcW w:w="1065"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0.70</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5</w:t>
            </w:r>
          </w:p>
        </w:tc>
        <w:tc>
          <w:tcPr>
            <w:tcW w:w="106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10.42</w:t>
            </w:r>
          </w:p>
        </w:tc>
      </w:tr>
    </w:tbl>
    <w:p>
      <w:pPr>
        <w:spacing w:line="360" w:lineRule="auto"/>
        <w:ind w:firstLine="1680" w:firstLineChars="700"/>
        <w:rPr>
          <w:color w:val="auto"/>
          <w:sz w:val="24"/>
          <w:highlight w:val="none"/>
        </w:rPr>
      </w:pPr>
    </w:p>
    <w:p>
      <w:pPr>
        <w:spacing w:line="360" w:lineRule="auto"/>
        <w:ind w:firstLine="2400" w:firstLineChars="1000"/>
        <w:rPr>
          <w:rFonts w:hint="eastAsia"/>
          <w:color w:val="auto"/>
          <w:sz w:val="24"/>
          <w:highlight w:val="none"/>
        </w:rPr>
      </w:pPr>
    </w:p>
    <w:p>
      <w:pPr>
        <w:spacing w:line="360" w:lineRule="auto"/>
        <w:ind w:firstLine="2400" w:firstLineChars="1000"/>
        <w:rPr>
          <w:rFonts w:hint="eastAsia"/>
          <w:color w:val="auto"/>
          <w:sz w:val="24"/>
          <w:highlight w:val="none"/>
        </w:rPr>
      </w:pPr>
    </w:p>
    <w:p>
      <w:pPr>
        <w:spacing w:line="360" w:lineRule="auto"/>
        <w:ind w:firstLine="2400" w:firstLineChars="1000"/>
        <w:rPr>
          <w:color w:val="auto"/>
          <w:sz w:val="24"/>
          <w:highlight w:val="none"/>
        </w:rPr>
      </w:pPr>
      <w:r>
        <w:rPr>
          <w:rFonts w:hint="eastAsia"/>
          <w:color w:val="auto"/>
          <w:sz w:val="24"/>
          <w:highlight w:val="none"/>
        </w:rPr>
        <w:t>表2.</w:t>
      </w:r>
      <w:r>
        <w:rPr>
          <w:rFonts w:hint="eastAsia"/>
          <w:color w:val="auto"/>
          <w:sz w:val="24"/>
          <w:highlight w:val="none"/>
          <w:lang w:val="en-US" w:eastAsia="zh-CN"/>
        </w:rPr>
        <w:t>2</w:t>
      </w:r>
      <w:r>
        <w:rPr>
          <w:rFonts w:hint="eastAsia"/>
          <w:color w:val="auto"/>
          <w:sz w:val="24"/>
          <w:highlight w:val="none"/>
        </w:rPr>
        <w:t xml:space="preserve"> 山西省高职专业院校分布情况</w:t>
      </w:r>
    </w:p>
    <w:tbl>
      <w:tblPr>
        <w:tblStyle w:val="15"/>
        <w:tblpPr w:leftFromText="180" w:rightFromText="180" w:vertAnchor="text" w:horzAnchor="page" w:tblpXSpec="center" w:tblpY="505"/>
        <w:tblOverlap w:val="never"/>
        <w:tblW w:w="77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3196"/>
        <w:gridCol w:w="992"/>
        <w:gridCol w:w="993"/>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序号</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学校名称</w:t>
            </w:r>
          </w:p>
        </w:tc>
        <w:tc>
          <w:tcPr>
            <w:tcW w:w="992"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专业点数</w:t>
            </w:r>
          </w:p>
        </w:tc>
        <w:tc>
          <w:tcPr>
            <w:tcW w:w="993"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比例</w:t>
            </w:r>
            <w:r>
              <w:rPr>
                <w:rFonts w:hint="eastAsia" w:asciiTheme="minorEastAsia" w:hAnsiTheme="minorEastAsia"/>
                <w:color w:val="auto"/>
                <w:sz w:val="21"/>
                <w:szCs w:val="21"/>
                <w:highlight w:val="none"/>
              </w:rPr>
              <w:t>（%）</w:t>
            </w:r>
          </w:p>
        </w:tc>
        <w:tc>
          <w:tcPr>
            <w:tcW w:w="992"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专业数</w:t>
            </w:r>
          </w:p>
        </w:tc>
        <w:tc>
          <w:tcPr>
            <w:tcW w:w="1134"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比例</w:t>
            </w:r>
            <w:r>
              <w:rPr>
                <w:rFonts w:hint="eastAsia" w:asciiTheme="minorEastAsia" w:hAnsiTheme="minorEastAsia"/>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晋中职业技术学院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42</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4.18</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42</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山西职业技术</w:t>
            </w:r>
            <w:r>
              <w:rPr>
                <w:rFonts w:hint="eastAsia" w:asciiTheme="minorEastAsia" w:hAnsiTheme="minorEastAsia"/>
                <w:color w:val="auto"/>
                <w:sz w:val="21"/>
                <w:szCs w:val="21"/>
                <w:highlight w:val="none"/>
              </w:rPr>
              <w:t>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39</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3.88</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34</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运城职业技术学院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37</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3.69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36</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4</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晋城职业技术学院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37</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3.69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35</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5</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山西建筑职业技术学院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36</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3.59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31</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6</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山西煤炭职业技术学院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36</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3.59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30</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7</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长治职业技术学院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30</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2.99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28</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8</w:t>
            </w:r>
          </w:p>
        </w:tc>
        <w:tc>
          <w:tcPr>
            <w:tcW w:w="319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山</w:t>
            </w:r>
            <w:r>
              <w:rPr>
                <w:rFonts w:asciiTheme="minorEastAsia" w:hAnsiTheme="minorEastAsia"/>
                <w:color w:val="auto"/>
                <w:sz w:val="21"/>
                <w:szCs w:val="21"/>
                <w:highlight w:val="none"/>
              </w:rPr>
              <w:t>西交通职业技术学院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27</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2.69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27</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9</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山西经贸职业学院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27</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2.69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27</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10</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山西机电职业技术学院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26</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2.59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26</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11</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山西旅游职业学院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26</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2.59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25</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12</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山西工程职业技术学院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26</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2.59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25</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7.69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13</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山西水利职业技术学院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25</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2.49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25</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7.69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14</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太原旅游职业学院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25</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2.49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25</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7.38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15</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忻州职业技术学院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24</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2.39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25</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7.38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16</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山西轻工职业技术学院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24</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2.39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23</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7.08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17</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山西电力职业技术学院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24</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2.39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21</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6.46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18</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山西省财政</w:t>
            </w:r>
            <w:r>
              <w:rPr>
                <w:rFonts w:hint="eastAsia" w:asciiTheme="minorEastAsia" w:hAnsiTheme="minorEastAsia"/>
                <w:color w:val="auto"/>
                <w:sz w:val="21"/>
                <w:szCs w:val="21"/>
                <w:highlight w:val="none"/>
              </w:rPr>
              <w:t>税务</w:t>
            </w:r>
            <w:r>
              <w:rPr>
                <w:rFonts w:asciiTheme="minorEastAsia" w:hAnsiTheme="minorEastAsia"/>
                <w:color w:val="auto"/>
                <w:sz w:val="21"/>
                <w:szCs w:val="21"/>
                <w:highlight w:val="none"/>
              </w:rPr>
              <w:t>专科学校</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23</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2.29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23</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7.08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19</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朔州职业技术学院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23</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2.29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22</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20</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大同煤炭职业技术学院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23</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2.29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21</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6.46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21</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山西林业职业技术学院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22</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2.19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20</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22</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山西同文职业技术学院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21</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2.09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21</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6.46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23</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山西信息职业技术学院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20</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1.99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20</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24</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太原城市职业技术学院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20</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1.99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20</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25</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w:t>
            </w:r>
            <w:r>
              <w:rPr>
                <w:rFonts w:hint="eastAsia" w:asciiTheme="minorEastAsia" w:hAnsiTheme="minorEastAsia"/>
                <w:color w:val="auto"/>
                <w:sz w:val="21"/>
                <w:szCs w:val="21"/>
                <w:highlight w:val="none"/>
              </w:rPr>
              <w:t>青年</w:t>
            </w:r>
            <w:r>
              <w:rPr>
                <w:rFonts w:asciiTheme="minorEastAsia" w:hAnsiTheme="minorEastAsia"/>
                <w:color w:val="auto"/>
                <w:sz w:val="21"/>
                <w:szCs w:val="21"/>
                <w:highlight w:val="none"/>
              </w:rPr>
              <w:t>职业学院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20</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1.99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20</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26</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山西药业职业学院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20</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1.99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19</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27</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山西金融职业学院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20</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1.99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18</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5.54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28</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潞安职业技术学院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20</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1.99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14</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29</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临汾职业技术学院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19</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1.89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19</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30</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山西管理职业学院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19</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1.89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19</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31</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朔州师范高等</w:t>
            </w:r>
            <w:r>
              <w:rPr>
                <w:rFonts w:hint="eastAsia" w:asciiTheme="minorEastAsia" w:hAnsiTheme="minorEastAsia"/>
                <w:color w:val="auto"/>
                <w:sz w:val="21"/>
                <w:szCs w:val="21"/>
                <w:highlight w:val="none"/>
              </w:rPr>
              <w:t>专科</w:t>
            </w:r>
            <w:r>
              <w:rPr>
                <w:rFonts w:asciiTheme="minorEastAsia" w:hAnsiTheme="minorEastAsia"/>
                <w:color w:val="auto"/>
                <w:sz w:val="21"/>
                <w:szCs w:val="21"/>
                <w:highlight w:val="none"/>
              </w:rPr>
              <w:t>学校</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18</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1.79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17</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32</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山西国际商务职业学院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18</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1.79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17</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33</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山西财贸职业技术学院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17</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1.69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17</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34</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山西戏曲职业学院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17</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1.69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15</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35</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山西运城农业职业技术学院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16</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1.59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15</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36</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晋中师范高等专科学校</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16</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1.59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14</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37</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山西华澳商贸职业学院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15</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1.49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15</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38</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山西艺术职业学院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13</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1.29</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13</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39</w:t>
            </w:r>
          </w:p>
        </w:tc>
        <w:tc>
          <w:tcPr>
            <w:tcW w:w="319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山</w:t>
            </w:r>
            <w:r>
              <w:rPr>
                <w:rFonts w:asciiTheme="minorEastAsia" w:hAnsiTheme="minorEastAsia"/>
                <w:color w:val="auto"/>
                <w:sz w:val="21"/>
                <w:szCs w:val="21"/>
                <w:highlight w:val="none"/>
              </w:rPr>
              <w:t>西警官高等专科学校</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12</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1.20</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11</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40</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运城师范高等专科学校</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12</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1.20</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10</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41</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运城幼儿师范高等专科学校</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11</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1.10</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10</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42</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山西体育职业学院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10</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1.00</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7</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43</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山西老区职业技术学院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9</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0.90</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9</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44</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阳泉师范高等专科学校</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9</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0.90</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9</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45</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吕梁职业技术学院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8</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0.80</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8</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46</w:t>
            </w:r>
          </w:p>
        </w:tc>
        <w:tc>
          <w:tcPr>
            <w:tcW w:w="319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山</w:t>
            </w:r>
            <w:r>
              <w:rPr>
                <w:rFonts w:asciiTheme="minorEastAsia" w:hAnsiTheme="minorEastAsia"/>
                <w:color w:val="auto"/>
                <w:sz w:val="21"/>
                <w:szCs w:val="21"/>
                <w:highlight w:val="none"/>
              </w:rPr>
              <w:t>西警官职业学院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8</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0.80</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7</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47</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运城护理职业学院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8</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0.80</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7</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48</w:t>
            </w:r>
          </w:p>
        </w:tc>
        <w:tc>
          <w:tcPr>
            <w:tcW w:w="3196" w:type="dxa"/>
          </w:tcPr>
          <w:p>
            <w:pPr>
              <w:spacing w:line="220" w:lineRule="atLeast"/>
              <w:jc w:val="center"/>
              <w:rPr>
                <w:rFonts w:asciiTheme="minorEastAsia" w:hAnsiTheme="minorEastAsia"/>
                <w:color w:val="auto"/>
                <w:sz w:val="21"/>
                <w:szCs w:val="21"/>
                <w:highlight w:val="none"/>
              </w:rPr>
            </w:pPr>
            <w:r>
              <w:rPr>
                <w:rFonts w:asciiTheme="minorEastAsia" w:hAnsiTheme="minorEastAsia"/>
                <w:color w:val="auto"/>
                <w:sz w:val="21"/>
                <w:szCs w:val="21"/>
                <w:highlight w:val="none"/>
              </w:rPr>
              <w:t>阳泉职业技术学院</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6</w:t>
            </w:r>
          </w:p>
        </w:tc>
        <w:tc>
          <w:tcPr>
            <w:tcW w:w="993"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0.60</w:t>
            </w:r>
          </w:p>
        </w:tc>
        <w:tc>
          <w:tcPr>
            <w:tcW w:w="992"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6</w:t>
            </w:r>
          </w:p>
        </w:tc>
        <w:tc>
          <w:tcPr>
            <w:tcW w:w="1134" w:type="dxa"/>
          </w:tcPr>
          <w:p>
            <w:pPr>
              <w:spacing w:line="220" w:lineRule="atLeast"/>
              <w:jc w:val="center"/>
              <w:rPr>
                <w:rFonts w:asciiTheme="minorEastAsia" w:hAnsiTheme="minorEastAsia"/>
                <w:color w:val="auto"/>
                <w:sz w:val="21"/>
                <w:szCs w:val="21"/>
                <w:highlight w:val="none"/>
              </w:rPr>
            </w:pPr>
            <w:r>
              <w:rPr>
                <w:rFonts w:hint="eastAsia" w:asciiTheme="minorEastAsia" w:hAnsiTheme="minorEastAsia"/>
                <w:color w:val="auto"/>
                <w:sz w:val="21"/>
                <w:szCs w:val="21"/>
                <w:highlight w:val="none"/>
              </w:rPr>
              <w:t>1.85</w:t>
            </w:r>
          </w:p>
        </w:tc>
      </w:tr>
    </w:tbl>
    <w:p>
      <w:pPr>
        <w:spacing w:line="360" w:lineRule="auto"/>
        <w:ind w:firstLine="420" w:firstLineChars="200"/>
        <w:rPr>
          <w:color w:val="auto"/>
          <w:szCs w:val="21"/>
          <w:highlight w:val="none"/>
        </w:rPr>
      </w:pPr>
      <w:r>
        <w:rPr>
          <w:rFonts w:hint="eastAsia"/>
          <w:color w:val="auto"/>
          <w:szCs w:val="21"/>
          <w:highlight w:val="none"/>
        </w:rPr>
        <w:t>（数据来源于晋城职业技术学院学报-山西省高职院校专业设置结构分析武建京）</w:t>
      </w:r>
    </w:p>
    <w:p>
      <w:pPr>
        <w:spacing w:line="360" w:lineRule="auto"/>
        <w:ind w:firstLine="480" w:firstLineChars="200"/>
        <w:rPr>
          <w:rFonts w:ascii="宋体" w:hAnsi="宋体"/>
          <w:bCs/>
          <w:color w:val="auto"/>
          <w:sz w:val="24"/>
          <w:highlight w:val="none"/>
        </w:rPr>
      </w:pPr>
      <w:r>
        <w:rPr>
          <w:rFonts w:hint="eastAsia"/>
          <w:color w:val="auto"/>
          <w:sz w:val="24"/>
          <w:highlight w:val="none"/>
        </w:rPr>
        <w:t>山西省职业院校开设有化工方向方向的专业有应用化工技术、煤化工技术、煤炭深加工与利用、精细化工技术、工业分析技术、化工装备技术六个专业，而煤化工技术专业来看，全省一共有长治职业技术学院、晋城职业技术学院、大同煤炭职业技术学院、潞安职业技术学院、山西轻工职业技术学院五所。</w:t>
      </w:r>
    </w:p>
    <w:p>
      <w:pPr>
        <w:spacing w:line="360" w:lineRule="auto"/>
        <w:ind w:firstLine="300" w:firstLineChars="100"/>
        <w:rPr>
          <w:rFonts w:ascii="宋体" w:hAnsi="宋体" w:eastAsia="黑体"/>
          <w:color w:val="auto"/>
          <w:sz w:val="24"/>
          <w:highlight w:val="none"/>
        </w:rPr>
      </w:pPr>
      <w:r>
        <w:rPr>
          <w:rFonts w:hint="eastAsia" w:ascii="黑体" w:hAnsi="黑体" w:eastAsia="黑体" w:cs="黑体"/>
          <w:bCs/>
          <w:color w:val="auto"/>
          <w:sz w:val="30"/>
          <w:szCs w:val="30"/>
          <w:highlight w:val="none"/>
        </w:rPr>
        <w:t>（二）专业历史</w:t>
      </w:r>
    </w:p>
    <w:p>
      <w:pPr>
        <w:spacing w:line="360" w:lineRule="auto"/>
        <w:ind w:firstLine="480" w:firstLineChars="200"/>
        <w:rPr>
          <w:color w:val="auto"/>
          <w:sz w:val="24"/>
          <w:highlight w:val="none"/>
        </w:rPr>
      </w:pPr>
      <w:r>
        <w:rPr>
          <w:rFonts w:hint="eastAsia" w:ascii="宋体" w:hAnsi="宋体"/>
          <w:color w:val="auto"/>
          <w:sz w:val="24"/>
          <w:highlight w:val="none"/>
        </w:rPr>
        <w:t>晋城职业技术学院是晋城市委、市政府为适应晋城社会经济持续、快速、健康发展对应用型技术人才和管理人才的迫切需要而创办的一所全日制高等学校。</w:t>
      </w:r>
      <w:r>
        <w:rPr>
          <w:rFonts w:hint="eastAsia"/>
          <w:color w:val="auto"/>
          <w:sz w:val="24"/>
          <w:highlight w:val="none"/>
        </w:rPr>
        <w:t>根据晋城市经济发展的需要，2012年7月晋城职业技术学院化工系特申请煤化工生产技术专业，现更名为煤化工技术专业。我们经过大量的调研与论证，以对高职煤化工技术专业人才的要求及本专业的发展趋势为依据，从我国高等职业教育的现状出发，确定了本专业的培养目标，并紧密围绕这一目标，借鉴国内外的有益经验，精心设计了本专业的教学计划，制订了完善的课程体系，提出了本专业应用型人才的培养模式。</w:t>
      </w:r>
    </w:p>
    <w:p>
      <w:pPr>
        <w:spacing w:line="360" w:lineRule="auto"/>
        <w:ind w:firstLine="480" w:firstLineChars="200"/>
        <w:rPr>
          <w:color w:val="auto"/>
          <w:sz w:val="24"/>
          <w:highlight w:val="none"/>
        </w:rPr>
      </w:pPr>
      <w:r>
        <w:rPr>
          <w:rFonts w:hint="eastAsia"/>
          <w:color w:val="auto"/>
          <w:sz w:val="24"/>
          <w:highlight w:val="none"/>
        </w:rPr>
        <w:t>本专业第一年招生就达45人（完成招生计划的100%），从创立到2016年，每年煤化工技术专业招生情况良好，就业人数可观，2017-2018年由于煤炭经济大形势的原因，招生有所下滑，但仍保证25人以上。经过七载春秋的打磨，2019年煤化工技术专业依托山西省重点专业建设项目和中德合作项目被定为中德合作培养专业，学习</w:t>
      </w:r>
      <w:r>
        <w:rPr>
          <w:rFonts w:ascii="微软雅黑" w:hAnsi="微软雅黑"/>
          <w:color w:val="auto"/>
          <w:sz w:val="24"/>
          <w:highlight w:val="none"/>
          <w:shd w:val="clear" w:color="auto" w:fill="FFFFFF"/>
        </w:rPr>
        <w:t>德国双元制职业教育模式</w:t>
      </w:r>
      <w:r>
        <w:rPr>
          <w:rFonts w:hint="eastAsia" w:ascii="微软雅黑" w:hAnsi="微软雅黑"/>
          <w:color w:val="auto"/>
          <w:sz w:val="24"/>
          <w:highlight w:val="none"/>
          <w:shd w:val="clear" w:color="auto" w:fill="FFFFFF"/>
        </w:rPr>
        <w:t>，注重学生实践技能的培养，目标打造企业需要的高素质高技能型人才。</w:t>
      </w:r>
    </w:p>
    <w:p>
      <w:pPr>
        <w:spacing w:line="360" w:lineRule="auto"/>
        <w:ind w:firstLine="300" w:firstLineChars="100"/>
        <w:rPr>
          <w:rFonts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（三）专业方向设置</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根据晋城区域化经济发展特点及相关企业对人才的需要，本专业设置煤质检测、煤气化方向。</w:t>
      </w:r>
    </w:p>
    <w:p>
      <w:pPr>
        <w:spacing w:line="360" w:lineRule="auto"/>
        <w:ind w:firstLine="300" w:firstLineChars="100"/>
        <w:rPr>
          <w:rFonts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（四）专业就业优势</w:t>
      </w:r>
    </w:p>
    <w:p>
      <w:pPr>
        <w:autoSpaceDE w:val="0"/>
        <w:autoSpaceDN w:val="0"/>
        <w:spacing w:line="420" w:lineRule="exact"/>
        <w:ind w:firstLine="480" w:firstLineChars="200"/>
        <w:textAlignment w:val="baseline"/>
        <w:rPr>
          <w:rFonts w:ascii="Arial" w:hAnsi="Arial" w:eastAsia="Arial"/>
          <w:color w:val="auto"/>
          <w:sz w:val="24"/>
          <w:highlight w:val="none"/>
          <w:lang w:val="zh-CN"/>
        </w:rPr>
      </w:pPr>
      <w:r>
        <w:rPr>
          <w:rFonts w:hint="eastAsia" w:ascii="宋体" w:hAnsi="宋体"/>
          <w:color w:val="auto"/>
          <w:sz w:val="24"/>
          <w:highlight w:val="none"/>
        </w:rPr>
        <w:t>煤化工技术专业毕业生就业与学校的地域性关系很大，也与地方经济的发展有关。我省煤炭资源丰富，煤化工产业基础雄厚，技术研发能力强，新开项目、转型项目如火如荼，对煤化工专业人才需求量增大，本专业在课程结构设置、人才培养目标方面较多地考虑了企业用人的知识、技能和素质要求，以期培养出既具有高职教育特色并符合本校教学实际，又能适应企业用人单位的工作要求的毕业生。</w:t>
      </w:r>
      <w:r>
        <w:rPr>
          <w:rFonts w:hint="eastAsia" w:ascii="宋体" w:hAnsi="宋体"/>
          <w:color w:val="auto"/>
          <w:sz w:val="24"/>
          <w:highlight w:val="none"/>
          <w:lang w:val="zh-CN"/>
        </w:rPr>
        <w:t>本专业毕业生具备以下各项能力：</w:t>
      </w:r>
    </w:p>
    <w:p>
      <w:pPr>
        <w:numPr>
          <w:ilvl w:val="0"/>
          <w:numId w:val="0"/>
        </w:numPr>
        <w:autoSpaceDE w:val="0"/>
        <w:autoSpaceDN w:val="0"/>
        <w:spacing w:line="360" w:lineRule="auto"/>
        <w:ind w:firstLine="480" w:firstLineChars="200"/>
        <w:textAlignment w:val="baseline"/>
        <w:rPr>
          <w:rFonts w:hAnsi="宋体"/>
          <w:color w:val="auto"/>
          <w:sz w:val="24"/>
          <w:highlight w:val="none"/>
          <w:lang w:val="zh-CN"/>
        </w:rPr>
      </w:pPr>
      <w:r>
        <w:rPr>
          <w:rFonts w:hint="eastAsia" w:hAnsi="宋体"/>
          <w:color w:val="auto"/>
          <w:sz w:val="24"/>
          <w:highlight w:val="none"/>
          <w:lang w:val="en-US" w:eastAsia="zh-CN"/>
        </w:rPr>
        <w:t>1.</w:t>
      </w:r>
      <w:r>
        <w:rPr>
          <w:rFonts w:hAnsi="宋体"/>
          <w:color w:val="auto"/>
          <w:sz w:val="24"/>
          <w:highlight w:val="none"/>
          <w:lang w:val="zh-CN"/>
        </w:rPr>
        <w:t>掌握</w:t>
      </w:r>
      <w:r>
        <w:rPr>
          <w:rFonts w:hint="eastAsia" w:hAnsi="宋体"/>
          <w:color w:val="auto"/>
          <w:sz w:val="24"/>
          <w:highlight w:val="none"/>
        </w:rPr>
        <w:t>化工工艺DCS操作岗位的操作技能。</w:t>
      </w:r>
    </w:p>
    <w:p>
      <w:pPr>
        <w:numPr>
          <w:ilvl w:val="0"/>
          <w:numId w:val="0"/>
        </w:numPr>
        <w:autoSpaceDE w:val="0"/>
        <w:autoSpaceDN w:val="0"/>
        <w:spacing w:line="360" w:lineRule="auto"/>
        <w:ind w:firstLine="480" w:firstLineChars="200"/>
        <w:textAlignment w:val="baseline"/>
        <w:rPr>
          <w:rFonts w:hAnsi="宋体"/>
          <w:color w:val="auto"/>
          <w:sz w:val="24"/>
          <w:highlight w:val="none"/>
          <w:lang w:val="zh-CN"/>
        </w:rPr>
      </w:pPr>
      <w:r>
        <w:rPr>
          <w:rFonts w:hint="eastAsia" w:hAnsi="宋体"/>
          <w:color w:val="auto"/>
          <w:sz w:val="24"/>
          <w:highlight w:val="none"/>
          <w:lang w:val="en-US" w:eastAsia="zh-CN"/>
        </w:rPr>
        <w:t>2.</w:t>
      </w:r>
      <w:r>
        <w:rPr>
          <w:rFonts w:hint="eastAsia" w:hAnsi="宋体"/>
          <w:color w:val="auto"/>
          <w:sz w:val="24"/>
          <w:highlight w:val="none"/>
        </w:rPr>
        <w:t>掌握煤质分析岗位、产品分析岗位的分析操作技能</w:t>
      </w:r>
      <w:r>
        <w:rPr>
          <w:rFonts w:hAnsi="宋体"/>
          <w:color w:val="auto"/>
          <w:sz w:val="24"/>
          <w:highlight w:val="none"/>
          <w:lang w:val="zh-CN"/>
        </w:rPr>
        <w:t>。</w:t>
      </w:r>
    </w:p>
    <w:p>
      <w:pPr>
        <w:autoSpaceDE w:val="0"/>
        <w:autoSpaceDN w:val="0"/>
        <w:spacing w:line="360" w:lineRule="auto"/>
        <w:ind w:firstLine="480" w:firstLineChars="200"/>
        <w:textAlignment w:val="baseline"/>
        <w:rPr>
          <w:rFonts w:hAnsi="宋体"/>
          <w:color w:val="auto"/>
          <w:sz w:val="24"/>
          <w:highlight w:val="none"/>
        </w:rPr>
      </w:pPr>
      <w:r>
        <w:rPr>
          <w:rFonts w:hint="eastAsia" w:hAnsi="宋体"/>
          <w:color w:val="auto"/>
          <w:sz w:val="24"/>
          <w:highlight w:val="none"/>
          <w:lang w:val="en-US" w:eastAsia="zh-CN"/>
        </w:rPr>
        <w:t>3.</w:t>
      </w:r>
      <w:r>
        <w:rPr>
          <w:rFonts w:hAnsi="宋体"/>
          <w:color w:val="auto"/>
          <w:sz w:val="24"/>
          <w:highlight w:val="none"/>
          <w:lang w:val="zh-CN"/>
        </w:rPr>
        <w:t>具备</w:t>
      </w:r>
      <w:r>
        <w:rPr>
          <w:rFonts w:hint="eastAsia" w:hAnsi="宋体"/>
          <w:color w:val="auto"/>
          <w:sz w:val="24"/>
          <w:highlight w:val="none"/>
        </w:rPr>
        <w:t>管道与</w:t>
      </w:r>
      <w:r>
        <w:rPr>
          <w:rFonts w:hAnsi="宋体"/>
          <w:color w:val="auto"/>
          <w:sz w:val="24"/>
          <w:highlight w:val="none"/>
          <w:lang w:val="zh-CN"/>
        </w:rPr>
        <w:t>设备</w:t>
      </w:r>
      <w:r>
        <w:rPr>
          <w:rFonts w:hint="eastAsia" w:hAnsi="宋体"/>
          <w:color w:val="auto"/>
          <w:sz w:val="24"/>
          <w:highlight w:val="none"/>
          <w:lang w:val="zh-CN"/>
        </w:rPr>
        <w:t>（</w:t>
      </w:r>
      <w:r>
        <w:rPr>
          <w:rFonts w:hint="eastAsia" w:hAnsi="宋体"/>
          <w:color w:val="auto"/>
          <w:sz w:val="24"/>
          <w:highlight w:val="none"/>
        </w:rPr>
        <w:t>塔、釜、操</w:t>
      </w:r>
      <w:r>
        <w:rPr>
          <w:rFonts w:hint="eastAsia" w:hAnsi="宋体"/>
          <w:color w:val="auto"/>
          <w:sz w:val="24"/>
          <w:highlight w:val="none"/>
          <w:lang w:val="zh-CN"/>
        </w:rPr>
        <w:t>）</w:t>
      </w:r>
      <w:r>
        <w:rPr>
          <w:rFonts w:hAnsi="宋体"/>
          <w:color w:val="auto"/>
          <w:sz w:val="24"/>
          <w:highlight w:val="none"/>
          <w:lang w:val="zh-CN"/>
        </w:rPr>
        <w:t>的维护能力</w:t>
      </w:r>
      <w:r>
        <w:rPr>
          <w:rFonts w:hint="eastAsia" w:hAnsi="宋体"/>
          <w:color w:val="auto"/>
          <w:sz w:val="24"/>
          <w:highlight w:val="none"/>
          <w:lang w:val="zh-CN"/>
        </w:rPr>
        <w:t>。</w:t>
      </w:r>
    </w:p>
    <w:p>
      <w:pPr>
        <w:spacing w:line="360" w:lineRule="auto"/>
        <w:ind w:firstLine="480" w:firstLineChars="200"/>
        <w:textAlignment w:val="baseline"/>
        <w:rPr>
          <w:rFonts w:hAnsi="宋体"/>
          <w:color w:val="auto"/>
          <w:sz w:val="24"/>
          <w:highlight w:val="none"/>
          <w:lang w:val="zh-CN"/>
        </w:rPr>
      </w:pPr>
      <w:r>
        <w:rPr>
          <w:rFonts w:hint="eastAsia" w:eastAsia="宋体"/>
          <w:color w:val="auto"/>
          <w:sz w:val="24"/>
          <w:highlight w:val="none"/>
        </w:rPr>
        <w:t>4</w:t>
      </w:r>
      <w:r>
        <w:rPr>
          <w:rFonts w:hint="eastAsia"/>
          <w:color w:val="auto"/>
          <w:sz w:val="24"/>
          <w:highlight w:val="none"/>
          <w:lang w:val="zh-CN"/>
        </w:rPr>
        <w:t>.</w:t>
      </w:r>
      <w:r>
        <w:rPr>
          <w:rFonts w:hAnsi="宋体"/>
          <w:color w:val="auto"/>
          <w:sz w:val="24"/>
          <w:highlight w:val="none"/>
          <w:lang w:val="zh-CN"/>
        </w:rPr>
        <w:t>具备</w:t>
      </w:r>
      <w:r>
        <w:rPr>
          <w:rFonts w:hint="eastAsia" w:hAnsi="宋体"/>
          <w:color w:val="auto"/>
          <w:sz w:val="24"/>
          <w:highlight w:val="none"/>
        </w:rPr>
        <w:t>一定的安全生产、自救急救能力</w:t>
      </w:r>
      <w:r>
        <w:rPr>
          <w:rFonts w:hAnsi="宋体"/>
          <w:color w:val="auto"/>
          <w:sz w:val="24"/>
          <w:highlight w:val="none"/>
          <w:lang w:val="zh-CN"/>
        </w:rPr>
        <w:t>。</w:t>
      </w:r>
    </w:p>
    <w:p>
      <w:pPr>
        <w:spacing w:line="360" w:lineRule="auto"/>
        <w:ind w:firstLine="480" w:firstLineChars="200"/>
        <w:jc w:val="left"/>
        <w:textAlignment w:val="baseline"/>
        <w:rPr>
          <w:rFonts w:ascii="宋体" w:hAnsi="宋体"/>
          <w:bCs/>
          <w:color w:val="auto"/>
          <w:sz w:val="24"/>
          <w:highlight w:val="none"/>
        </w:rPr>
      </w:pPr>
      <w:r>
        <w:rPr>
          <w:rFonts w:hint="eastAsia" w:ascii="Arial" w:hAnsi="Arial" w:eastAsia="Arial"/>
          <w:color w:val="auto"/>
          <w:sz w:val="24"/>
          <w:highlight w:val="none"/>
          <w:lang w:val="zh-CN"/>
        </w:rPr>
        <w:t>此外，本专业的</w:t>
      </w:r>
      <w:r>
        <w:rPr>
          <w:rFonts w:hint="eastAsia" w:ascii="Arial" w:hAnsi="Arial" w:eastAsia="宋体"/>
          <w:color w:val="auto"/>
          <w:sz w:val="24"/>
          <w:highlight w:val="none"/>
        </w:rPr>
        <w:t>毕业生除必备的理论</w:t>
      </w:r>
      <w:r>
        <w:rPr>
          <w:rFonts w:hint="eastAsia" w:ascii="Arial" w:hAnsi="Arial" w:eastAsia="Arial"/>
          <w:color w:val="auto"/>
          <w:sz w:val="24"/>
          <w:highlight w:val="none"/>
          <w:lang w:val="zh-CN"/>
        </w:rPr>
        <w:t>认识</w:t>
      </w:r>
      <w:r>
        <w:rPr>
          <w:rFonts w:hint="eastAsia" w:ascii="Arial" w:hAnsi="Arial" w:eastAsia="宋体"/>
          <w:color w:val="auto"/>
          <w:sz w:val="24"/>
          <w:highlight w:val="none"/>
        </w:rPr>
        <w:t>学</w:t>
      </w:r>
      <w:r>
        <w:rPr>
          <w:rFonts w:hint="eastAsia" w:ascii="Arial" w:hAnsi="Arial" w:eastAsia="Arial"/>
          <w:color w:val="auto"/>
          <w:sz w:val="24"/>
          <w:highlight w:val="none"/>
          <w:lang w:val="zh-CN"/>
        </w:rPr>
        <w:t>习、</w:t>
      </w:r>
      <w:r>
        <w:rPr>
          <w:rFonts w:hint="eastAsia" w:ascii="Arial" w:hAnsi="Arial" w:eastAsia="宋体"/>
          <w:color w:val="auto"/>
          <w:sz w:val="24"/>
          <w:highlight w:val="none"/>
        </w:rPr>
        <w:t>实践技能学习之外，还有配套的</w:t>
      </w:r>
      <w:r>
        <w:rPr>
          <w:rFonts w:hint="eastAsia" w:ascii="Arial" w:hAnsi="Arial" w:eastAsia="Arial"/>
          <w:color w:val="auto"/>
          <w:sz w:val="24"/>
          <w:highlight w:val="none"/>
          <w:lang w:val="zh-CN"/>
        </w:rPr>
        <w:t>生产实习</w:t>
      </w:r>
      <w:r>
        <w:rPr>
          <w:rFonts w:hint="eastAsia" w:ascii="Arial" w:hAnsi="Arial" w:eastAsia="宋体"/>
          <w:color w:val="auto"/>
          <w:sz w:val="24"/>
          <w:highlight w:val="none"/>
        </w:rPr>
        <w:t>和</w:t>
      </w:r>
      <w:r>
        <w:rPr>
          <w:rFonts w:hint="eastAsia" w:ascii="Arial" w:hAnsi="Arial" w:eastAsia="Arial"/>
          <w:color w:val="auto"/>
          <w:sz w:val="24"/>
          <w:highlight w:val="none"/>
          <w:lang w:val="zh-CN"/>
        </w:rPr>
        <w:t>毕业实习；除学校拥有自己的</w:t>
      </w:r>
      <w:r>
        <w:rPr>
          <w:rFonts w:hint="eastAsia" w:ascii="Arial" w:hAnsi="Arial" w:eastAsia="宋体"/>
          <w:color w:val="auto"/>
          <w:sz w:val="24"/>
          <w:highlight w:val="none"/>
        </w:rPr>
        <w:t>单元操作</w:t>
      </w:r>
      <w:r>
        <w:rPr>
          <w:rFonts w:hint="eastAsia" w:ascii="Arial" w:hAnsi="Arial" w:eastAsia="Arial"/>
          <w:color w:val="auto"/>
          <w:sz w:val="24"/>
          <w:highlight w:val="none"/>
          <w:lang w:val="zh-CN"/>
        </w:rPr>
        <w:t>实训中心、</w:t>
      </w:r>
      <w:r>
        <w:rPr>
          <w:rFonts w:hint="eastAsia" w:ascii="Arial" w:hAnsi="Arial" w:eastAsia="宋体"/>
          <w:color w:val="auto"/>
          <w:sz w:val="24"/>
          <w:highlight w:val="none"/>
        </w:rPr>
        <w:t>煤质分析实训室、合成氨仿真实训</w:t>
      </w:r>
      <w:r>
        <w:rPr>
          <w:rFonts w:hint="eastAsia" w:ascii="Arial" w:hAnsi="Arial" w:eastAsia="Arial"/>
          <w:color w:val="auto"/>
          <w:sz w:val="24"/>
          <w:highlight w:val="none"/>
          <w:lang w:val="zh-CN"/>
        </w:rPr>
        <w:t>外，还与兰花集团、天泽化工等校外的一些著名企事业单位建立了良好的订单式培养关系，给学生的</w:t>
      </w:r>
      <w:r>
        <w:rPr>
          <w:rFonts w:hint="eastAsia" w:ascii="Arial" w:hAnsi="Arial" w:eastAsia="宋体"/>
          <w:color w:val="auto"/>
          <w:sz w:val="24"/>
          <w:highlight w:val="none"/>
        </w:rPr>
        <w:t>能力培养和</w:t>
      </w:r>
      <w:r>
        <w:rPr>
          <w:rFonts w:hint="eastAsia" w:ascii="Arial" w:hAnsi="Arial" w:eastAsia="Arial"/>
          <w:color w:val="auto"/>
          <w:sz w:val="24"/>
          <w:highlight w:val="none"/>
          <w:lang w:val="zh-CN"/>
        </w:rPr>
        <w:t>就业提供了有力的保障。</w:t>
      </w:r>
    </w:p>
    <w:p>
      <w:pPr>
        <w:pStyle w:val="3"/>
        <w:spacing w:before="0" w:after="0" w:line="360" w:lineRule="auto"/>
        <w:ind w:firstLine="640" w:firstLineChars="200"/>
        <w:rPr>
          <w:b w:val="0"/>
          <w:bCs/>
          <w:color w:val="auto"/>
          <w:highlight w:val="none"/>
        </w:rPr>
      </w:pPr>
      <w:bookmarkStart w:id="39" w:name="_Toc341338640"/>
      <w:bookmarkStart w:id="40" w:name="_Toc339985611"/>
      <w:bookmarkStart w:id="41" w:name="_Toc18548"/>
      <w:bookmarkStart w:id="42" w:name="_Toc339913810"/>
      <w:r>
        <w:rPr>
          <w:rFonts w:hint="eastAsia"/>
          <w:b w:val="0"/>
          <w:bCs/>
          <w:color w:val="auto"/>
          <w:highlight w:val="none"/>
        </w:rPr>
        <w:t>四、专业就业面向</w:t>
      </w:r>
      <w:bookmarkEnd w:id="39"/>
      <w:bookmarkEnd w:id="40"/>
      <w:bookmarkEnd w:id="41"/>
      <w:bookmarkEnd w:id="42"/>
    </w:p>
    <w:p>
      <w:pPr>
        <w:spacing w:line="360" w:lineRule="auto"/>
        <w:ind w:firstLine="480" w:firstLineChars="200"/>
        <w:rPr>
          <w:color w:val="auto"/>
          <w:sz w:val="24"/>
          <w:highlight w:val="none"/>
        </w:rPr>
      </w:pPr>
      <w:bookmarkStart w:id="43" w:name="_Toc341338641"/>
      <w:bookmarkStart w:id="44" w:name="_Toc339985612"/>
      <w:bookmarkStart w:id="45" w:name="_Toc339913811"/>
      <w:r>
        <w:rPr>
          <w:rFonts w:hint="eastAsia"/>
          <w:color w:val="auto"/>
          <w:sz w:val="24"/>
          <w:highlight w:val="none"/>
        </w:rPr>
        <w:t>随着我省煤化工产业集约化、规模化、机械化程度的不断提高，产品生产条件的进一步变化，对相关企业安全生产的标准越来越高，企业安全不仅是技术和管理问题，更是关系到行业健康发展和社会稳定的政治问题，不论是社会还是企业，对高技能人才培养也提出了更高要求。根据近年来我院对往届毕业生就业去向和工作岗位调研，与行业企业专家一起，确定了煤化工生产技术专业的职业面向和人才定位。</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lang w:val="zh-CN"/>
        </w:rPr>
        <w:t>本专业要求学生系统地</w:t>
      </w:r>
      <w:r>
        <w:rPr>
          <w:rFonts w:ascii="Verdana" w:hAnsi="Verdana" w:cs="宋体"/>
          <w:color w:val="auto"/>
          <w:kern w:val="0"/>
          <w:sz w:val="24"/>
          <w:highlight w:val="none"/>
        </w:rPr>
        <w:t>掌握</w:t>
      </w:r>
      <w:r>
        <w:rPr>
          <w:rFonts w:hint="eastAsia" w:ascii="宋体" w:hAnsi="宋体"/>
          <w:color w:val="auto"/>
          <w:sz w:val="24"/>
          <w:highlight w:val="none"/>
        </w:rPr>
        <w:t>煤化工技术的基础理论知识、基本操作技能，培养能在生产第一线从事生产操作、设备维修、质量监督的具有创新精神和实践能力的高端技能型专门人才。</w:t>
      </w:r>
    </w:p>
    <w:p>
      <w:pPr>
        <w:spacing w:line="360" w:lineRule="auto"/>
        <w:ind w:firstLine="480" w:firstLineChars="200"/>
        <w:rPr>
          <w:rFonts w:ascii="宋体" w:hAnsi="宋体"/>
          <w:bCs/>
          <w:color w:val="auto"/>
          <w:sz w:val="24"/>
          <w:highlight w:val="none"/>
        </w:rPr>
      </w:pPr>
      <w:r>
        <w:rPr>
          <w:rFonts w:hint="eastAsia" w:ascii="宋体" w:hAnsi="宋体"/>
          <w:color w:val="auto"/>
          <w:sz w:val="24"/>
          <w:highlight w:val="none"/>
        </w:rPr>
        <w:t>初始岗位群包括煤化工工艺运行控制、煤化工生产装置操作与维护、煤化工产品质量检验、原材料采购验收、煤化工生产管理及化工环境监测等相关操作岗位；在获得一定工作经验后，可升迁的职</w:t>
      </w:r>
      <w:r>
        <w:rPr>
          <w:rFonts w:hint="eastAsia" w:ascii="宋体" w:hAnsi="宋体"/>
          <w:bCs/>
          <w:color w:val="auto"/>
          <w:sz w:val="24"/>
          <w:highlight w:val="none"/>
        </w:rPr>
        <w:t>业岗位为车间班组长，生产一线初级技术人员，中级技术人员；在常年工作第一线的基础上经过不同形式的培训、进修有望升至车间主任等管理性岗位。</w:t>
      </w:r>
    </w:p>
    <w:p>
      <w:pPr>
        <w:pStyle w:val="3"/>
        <w:spacing w:before="0" w:after="0" w:line="360" w:lineRule="auto"/>
        <w:ind w:firstLine="640" w:firstLineChars="200"/>
        <w:rPr>
          <w:rFonts w:hint="eastAsia" w:eastAsia="黑体"/>
          <w:b w:val="0"/>
          <w:bCs/>
          <w:color w:val="auto"/>
          <w:highlight w:val="none"/>
          <w:lang w:eastAsia="zh-CN"/>
        </w:rPr>
      </w:pPr>
      <w:bookmarkStart w:id="46" w:name="_Toc8025"/>
      <w:r>
        <w:rPr>
          <w:rFonts w:hint="eastAsia"/>
          <w:b w:val="0"/>
          <w:bCs/>
          <w:color w:val="auto"/>
          <w:highlight w:val="none"/>
        </w:rPr>
        <w:t>五、专业教学改革建议</w:t>
      </w:r>
      <w:bookmarkEnd w:id="43"/>
      <w:bookmarkEnd w:id="44"/>
      <w:bookmarkEnd w:id="45"/>
      <w:bookmarkEnd w:id="46"/>
    </w:p>
    <w:p>
      <w:pPr>
        <w:spacing w:line="360" w:lineRule="auto"/>
        <w:ind w:firstLine="240" w:firstLineChars="100"/>
        <w:rPr>
          <w:rFonts w:hint="eastAsia" w:ascii="Arial" w:hAnsi="Arial" w:eastAsia="宋体" w:cs="Arial"/>
          <w:i w:val="0"/>
          <w:caps w:val="0"/>
          <w:color w:val="auto"/>
          <w:spacing w:val="0"/>
          <w:sz w:val="24"/>
          <w:szCs w:val="24"/>
          <w:highlight w:val="none"/>
          <w:shd w:val="clear" w:fill="FFFFFF"/>
          <w:lang w:val="en-US" w:eastAsia="zh-CN"/>
        </w:rPr>
      </w:pPr>
      <w:r>
        <w:rPr>
          <w:rFonts w:hint="eastAsia" w:ascii="Times New Roman" w:hAnsi="Times New Roman"/>
          <w:color w:val="auto"/>
          <w:sz w:val="24"/>
          <w:highlight w:val="none"/>
          <w:lang w:val="en-US" w:eastAsia="zh-CN"/>
        </w:rPr>
        <w:t>依据</w:t>
      </w:r>
      <w:r>
        <w:rPr>
          <w:rFonts w:hint="eastAsia" w:ascii="Arial" w:hAnsi="Arial" w:eastAsia="Arial" w:cs="Arial"/>
          <w:i w:val="0"/>
          <w:caps w:val="0"/>
          <w:color w:val="auto"/>
          <w:spacing w:val="0"/>
          <w:sz w:val="24"/>
          <w:szCs w:val="24"/>
          <w:highlight w:val="none"/>
          <w:shd w:val="clear" w:fill="FFFFFF"/>
        </w:rPr>
        <w:t>《国家职业教育改革实施方案》</w:t>
      </w:r>
      <w:r>
        <w:rPr>
          <w:rFonts w:hint="eastAsia" w:ascii="Arial" w:hAnsi="Arial" w:eastAsia="宋体" w:cs="Arial"/>
          <w:i w:val="0"/>
          <w:caps w:val="0"/>
          <w:color w:val="auto"/>
          <w:spacing w:val="0"/>
          <w:sz w:val="24"/>
          <w:szCs w:val="24"/>
          <w:highlight w:val="none"/>
          <w:shd w:val="clear" w:fill="FFFFFF"/>
          <w:lang w:eastAsia="zh-CN"/>
        </w:rPr>
        <w:t>，</w:t>
      </w:r>
      <w:r>
        <w:rPr>
          <w:rFonts w:hint="eastAsia" w:ascii="Arial" w:hAnsi="Arial" w:eastAsia="Arial" w:cs="Arial"/>
          <w:i w:val="0"/>
          <w:caps w:val="0"/>
          <w:color w:val="auto"/>
          <w:spacing w:val="0"/>
          <w:sz w:val="24"/>
          <w:szCs w:val="24"/>
          <w:highlight w:val="none"/>
          <w:shd w:val="clear" w:fill="FFFFFF"/>
        </w:rPr>
        <w:t>职业教育</w:t>
      </w:r>
      <w:r>
        <w:rPr>
          <w:rFonts w:hint="eastAsia" w:ascii="Arial" w:hAnsi="Arial" w:eastAsia="宋体" w:cs="Arial"/>
          <w:i w:val="0"/>
          <w:caps w:val="0"/>
          <w:color w:val="auto"/>
          <w:spacing w:val="0"/>
          <w:sz w:val="24"/>
          <w:szCs w:val="24"/>
          <w:highlight w:val="none"/>
          <w:shd w:val="clear" w:fill="FFFFFF"/>
          <w:lang w:val="en-US" w:eastAsia="zh-CN"/>
        </w:rPr>
        <w:t>要</w:t>
      </w:r>
      <w:r>
        <w:rPr>
          <w:rFonts w:hint="eastAsia" w:ascii="Arial" w:hAnsi="Arial" w:eastAsia="Arial" w:cs="Arial"/>
          <w:i w:val="0"/>
          <w:caps w:val="0"/>
          <w:color w:val="auto"/>
          <w:spacing w:val="0"/>
          <w:sz w:val="24"/>
          <w:szCs w:val="24"/>
          <w:highlight w:val="none"/>
          <w:shd w:val="clear" w:fill="FFFFFF"/>
        </w:rPr>
        <w:t>由政府举办为主向政府统筹管理、社会多元办学的格局转变，由追求规模扩张向提高质量转变，由参照普通教育办学模式向企业社会参与、专业特色鲜明的类型教育转变，大幅提升新时代职业教育现代化水平</w:t>
      </w:r>
      <w:r>
        <w:rPr>
          <w:rFonts w:hint="eastAsia" w:ascii="Arial" w:hAnsi="Arial" w:eastAsia="宋体" w:cs="Arial"/>
          <w:i w:val="0"/>
          <w:caps w:val="0"/>
          <w:color w:val="auto"/>
          <w:spacing w:val="0"/>
          <w:sz w:val="24"/>
          <w:szCs w:val="24"/>
          <w:highlight w:val="none"/>
          <w:shd w:val="clear" w:fill="FFFFFF"/>
          <w:lang w:eastAsia="zh-CN"/>
        </w:rPr>
        <w:t>，</w:t>
      </w:r>
      <w:r>
        <w:rPr>
          <w:rFonts w:hint="eastAsia" w:ascii="Arial" w:hAnsi="Arial" w:eastAsia="宋体" w:cs="Arial"/>
          <w:i w:val="0"/>
          <w:caps w:val="0"/>
          <w:color w:val="auto"/>
          <w:spacing w:val="0"/>
          <w:sz w:val="24"/>
          <w:szCs w:val="24"/>
          <w:highlight w:val="none"/>
          <w:shd w:val="clear" w:fill="FFFFFF"/>
          <w:lang w:val="en-US" w:eastAsia="zh-CN"/>
        </w:rPr>
        <w:t>专业办学模式也需要与时俱进。</w:t>
      </w:r>
    </w:p>
    <w:p>
      <w:pPr>
        <w:spacing w:line="360" w:lineRule="auto"/>
        <w:ind w:firstLine="300" w:firstLineChars="100"/>
        <w:rPr>
          <w:rFonts w:hint="eastAsia"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（一）促进产教融合</w:t>
      </w:r>
      <w:r>
        <w:rPr>
          <w:rFonts w:hint="eastAsia" w:ascii="黑体" w:hAnsi="黑体" w:eastAsia="黑体" w:cs="黑体"/>
          <w:bCs/>
          <w:color w:val="auto"/>
          <w:sz w:val="30"/>
          <w:szCs w:val="30"/>
          <w:highlight w:val="none"/>
          <w:lang w:eastAsia="zh-CN"/>
        </w:rPr>
        <w:t>，</w:t>
      </w:r>
      <w:r>
        <w:rPr>
          <w:rFonts w:hint="eastAsia" w:ascii="黑体" w:hAnsi="黑体" w:eastAsia="黑体" w:cs="黑体"/>
          <w:bCs/>
          <w:color w:val="auto"/>
          <w:sz w:val="30"/>
          <w:szCs w:val="30"/>
          <w:highlight w:val="none"/>
        </w:rPr>
        <w:t>校企“双元”育人</w:t>
      </w:r>
    </w:p>
    <w:p>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rPr>
          <w:rFonts w:hint="eastAsia" w:ascii="宋体" w:hAnsi="宋体" w:eastAsiaTheme="minorEastAsia" w:cstheme="minorBidi"/>
          <w:color w:val="auto"/>
          <w:kern w:val="2"/>
          <w:sz w:val="24"/>
          <w:szCs w:val="24"/>
          <w:highlight w:val="none"/>
          <w:lang w:val="en-US" w:eastAsia="zh-CN" w:bidi="ar-SA"/>
        </w:rPr>
      </w:pPr>
      <w:r>
        <w:rPr>
          <w:rFonts w:hint="eastAsia" w:ascii="宋体" w:hAnsi="宋体" w:eastAsiaTheme="minorEastAsia" w:cstheme="minorBidi"/>
          <w:color w:val="auto"/>
          <w:kern w:val="2"/>
          <w:sz w:val="24"/>
          <w:szCs w:val="24"/>
          <w:highlight w:val="none"/>
          <w:lang w:val="en-US" w:eastAsia="zh-CN" w:bidi="ar-SA"/>
        </w:rPr>
        <w:t>1.</w:t>
      </w:r>
      <w:r>
        <w:rPr>
          <w:rFonts w:hint="default" w:ascii="宋体" w:hAnsi="宋体" w:eastAsiaTheme="minorEastAsia" w:cstheme="minorBidi"/>
          <w:color w:val="auto"/>
          <w:kern w:val="2"/>
          <w:sz w:val="24"/>
          <w:szCs w:val="24"/>
          <w:highlight w:val="none"/>
          <w:lang w:val="en-US" w:eastAsia="zh-CN" w:bidi="ar-SA"/>
        </w:rPr>
        <w:t>坚持知行合一、工学结合</w:t>
      </w:r>
      <w:r>
        <w:rPr>
          <w:rFonts w:hint="eastAsia" w:ascii="宋体" w:hAnsi="宋体" w:cstheme="minorBidi"/>
          <w:color w:val="auto"/>
          <w:kern w:val="2"/>
          <w:sz w:val="24"/>
          <w:szCs w:val="24"/>
          <w:highlight w:val="none"/>
          <w:lang w:val="en-US" w:eastAsia="zh-CN" w:bidi="ar-SA"/>
        </w:rPr>
        <w:t>。</w:t>
      </w:r>
    </w:p>
    <w:p>
      <w:pPr>
        <w:pStyle w:val="21"/>
        <w:spacing w:line="360" w:lineRule="auto"/>
        <w:ind w:firstLine="480"/>
        <w:rPr>
          <w:rFonts w:hint="default" w:ascii="宋体" w:hAnsi="宋体" w:eastAsiaTheme="minorEastAsia" w:cstheme="minorBidi"/>
          <w:color w:val="auto"/>
          <w:kern w:val="2"/>
          <w:sz w:val="24"/>
          <w:szCs w:val="24"/>
          <w:highlight w:val="none"/>
          <w:lang w:val="en-US" w:eastAsia="zh-CN" w:bidi="ar-SA"/>
        </w:rPr>
      </w:pPr>
      <w:r>
        <w:rPr>
          <w:rFonts w:hint="eastAsia" w:ascii="Times New Roman" w:hAnsi="Times New Roman"/>
          <w:color w:val="auto"/>
          <w:sz w:val="24"/>
          <w:highlight w:val="none"/>
        </w:rPr>
        <w:t>2019年</w:t>
      </w:r>
      <w:r>
        <w:rPr>
          <w:rFonts w:hint="eastAsia" w:ascii="Times New Roman" w:hAnsi="Times New Roman"/>
          <w:color w:val="auto"/>
          <w:sz w:val="24"/>
          <w:highlight w:val="none"/>
          <w:lang w:val="en-US" w:eastAsia="zh-CN"/>
        </w:rPr>
        <w:t>煤化工技术</w:t>
      </w:r>
      <w:r>
        <w:rPr>
          <w:rFonts w:hint="eastAsia" w:ascii="Times New Roman" w:hAnsi="Times New Roman"/>
          <w:color w:val="auto"/>
          <w:sz w:val="24"/>
          <w:highlight w:val="none"/>
        </w:rPr>
        <w:t>专业有幸定为中德合作培养专业，</w:t>
      </w:r>
      <w:r>
        <w:rPr>
          <w:rFonts w:hint="default" w:ascii="宋体" w:hAnsi="宋体" w:eastAsiaTheme="minorEastAsia" w:cstheme="minorBidi"/>
          <w:color w:val="auto"/>
          <w:kern w:val="2"/>
          <w:sz w:val="24"/>
          <w:szCs w:val="24"/>
          <w:highlight w:val="none"/>
          <w:lang w:val="en-US" w:eastAsia="zh-CN" w:bidi="ar-SA"/>
        </w:rPr>
        <w:t>借鉴“双元制”等模式，校企共同研究制定人才培养方案，及时将新技术、新工艺、新规范纳入教学标准和教学内容，强化学生实习实训。健全专业设置定期评估机制，强化地方引导本区域职业院校优化专业设置的职责</w:t>
      </w:r>
      <w:r>
        <w:rPr>
          <w:rFonts w:hint="eastAsia" w:ascii="宋体" w:hAnsi="宋体" w:eastAsiaTheme="minorEastAsia" w:cstheme="minorBidi"/>
          <w:color w:val="auto"/>
          <w:kern w:val="2"/>
          <w:sz w:val="24"/>
          <w:szCs w:val="24"/>
          <w:highlight w:val="none"/>
          <w:lang w:val="en-US" w:eastAsia="zh-CN" w:bidi="ar-SA"/>
        </w:rPr>
        <w:t>，</w:t>
      </w:r>
      <w:r>
        <w:rPr>
          <w:rFonts w:hint="default" w:ascii="宋体" w:hAnsi="宋体" w:eastAsiaTheme="minorEastAsia" w:cstheme="minorBidi"/>
          <w:color w:val="auto"/>
          <w:kern w:val="2"/>
          <w:sz w:val="24"/>
          <w:szCs w:val="24"/>
          <w:highlight w:val="none"/>
          <w:lang w:val="en-US" w:eastAsia="zh-CN" w:bidi="ar-SA"/>
        </w:rPr>
        <w:t>倡导使用新型活页式、工作手册式教材并配套开发信息化资源。其中专业教材随信息技术发展和产业升级情况及时动态更新。适应“互联网+职业教育”发展需求，运用现代信息技术改进教学方式方法，推进虚拟工厂等网络学习空间建设和普遍应用。</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w:t>
      </w:r>
      <w:r>
        <w:rPr>
          <w:rFonts w:hint="eastAsia" w:ascii="宋体" w:hAnsi="宋体"/>
          <w:color w:val="auto"/>
          <w:sz w:val="24"/>
          <w:highlight w:val="none"/>
          <w:lang w:eastAsia="zh-CN"/>
        </w:rPr>
        <w:t>.</w:t>
      </w:r>
      <w:r>
        <w:rPr>
          <w:rFonts w:hint="eastAsia" w:ascii="宋体" w:hAnsi="宋体"/>
          <w:color w:val="auto"/>
          <w:sz w:val="24"/>
          <w:highlight w:val="none"/>
        </w:rPr>
        <w:t>建立手段丰富的现代化教育教学新模式</w:t>
      </w:r>
    </w:p>
    <w:p>
      <w:pPr>
        <w:spacing w:line="360" w:lineRule="auto"/>
        <w:ind w:firstLine="480" w:firstLineChars="200"/>
        <w:rPr>
          <w:rFonts w:hint="default" w:ascii="宋体" w:hAnsi="宋体" w:eastAsiaTheme="minorEastAsia" w:cstheme="minorBidi"/>
          <w:color w:val="auto"/>
          <w:kern w:val="2"/>
          <w:sz w:val="24"/>
          <w:szCs w:val="24"/>
          <w:highlight w:val="none"/>
          <w:lang w:val="en-US" w:eastAsia="zh-CN" w:bidi="ar-SA"/>
        </w:rPr>
      </w:pPr>
      <w:r>
        <w:rPr>
          <w:rFonts w:hint="eastAsia" w:ascii="宋体" w:hAnsi="宋体"/>
          <w:color w:val="auto"/>
          <w:sz w:val="24"/>
          <w:highlight w:val="none"/>
        </w:rPr>
        <w:t>按照“互利互惠、合作共建”的建设方式，加大校外实训基地建设，充分利用企业的教育资源及生产环境实施教学，在企业设立工作站，将教学工作延伸到企业。用现代信息技术改造传统教学模式，搭建校企网络平台，破除校企合作时空障碍，将企业最新的生产过程、工作流程等信息及时引入到课堂。创新实践教学模式，实现教学与工作的零距离对接。</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lang w:val="en-US" w:eastAsia="zh-CN"/>
        </w:rPr>
        <w:t>3</w:t>
      </w:r>
      <w:r>
        <w:rPr>
          <w:rFonts w:hint="eastAsia" w:ascii="宋体" w:hAnsi="宋体"/>
          <w:color w:val="auto"/>
          <w:sz w:val="24"/>
          <w:highlight w:val="none"/>
          <w:lang w:eastAsia="zh-CN"/>
        </w:rPr>
        <w:t>.</w:t>
      </w:r>
      <w:r>
        <w:rPr>
          <w:rFonts w:ascii="宋体" w:hAnsi="宋体"/>
          <w:bCs/>
          <w:color w:val="auto"/>
          <w:sz w:val="24"/>
          <w:highlight w:val="none"/>
        </w:rPr>
        <w:t>建立</w:t>
      </w:r>
      <w:r>
        <w:rPr>
          <w:rFonts w:hint="eastAsia" w:ascii="宋体" w:hAnsi="宋体"/>
          <w:color w:val="auto"/>
          <w:sz w:val="24"/>
          <w:highlight w:val="none"/>
        </w:rPr>
        <w:t>教学链、产业链、利益链环环相扣的校企合作新模式</w:t>
      </w:r>
    </w:p>
    <w:p>
      <w:pPr>
        <w:spacing w:line="360" w:lineRule="auto"/>
        <w:ind w:firstLine="480" w:firstLineChars="200"/>
        <w:rPr>
          <w:rFonts w:ascii="宋体" w:hAnsi="宋体"/>
          <w:color w:val="auto"/>
          <w:sz w:val="24"/>
          <w:highlight w:val="none"/>
        </w:rPr>
      </w:pPr>
      <w:r>
        <w:rPr>
          <w:rFonts w:ascii="宋体" w:hAnsi="宋体"/>
          <w:color w:val="auto"/>
          <w:sz w:val="24"/>
          <w:highlight w:val="none"/>
        </w:rPr>
        <w:t>根据</w:t>
      </w:r>
      <w:r>
        <w:rPr>
          <w:rFonts w:hint="eastAsia" w:ascii="宋体" w:hAnsi="宋体"/>
          <w:color w:val="auto"/>
          <w:sz w:val="24"/>
          <w:highlight w:val="none"/>
        </w:rPr>
        <w:t>煤化工</w:t>
      </w:r>
      <w:r>
        <w:rPr>
          <w:rFonts w:ascii="宋体" w:hAnsi="宋体"/>
          <w:color w:val="auto"/>
          <w:sz w:val="24"/>
          <w:highlight w:val="none"/>
        </w:rPr>
        <w:t>职业岗位（群）</w:t>
      </w:r>
      <w:r>
        <w:rPr>
          <w:rFonts w:hint="eastAsia" w:ascii="宋体" w:hAnsi="宋体"/>
          <w:color w:val="auto"/>
          <w:sz w:val="24"/>
          <w:highlight w:val="none"/>
        </w:rPr>
        <w:t>对</w:t>
      </w:r>
      <w:r>
        <w:rPr>
          <w:rFonts w:ascii="宋体" w:hAnsi="宋体"/>
          <w:color w:val="auto"/>
          <w:sz w:val="24"/>
          <w:highlight w:val="none"/>
        </w:rPr>
        <w:t>所需职业能力的要求，</w:t>
      </w:r>
      <w:r>
        <w:rPr>
          <w:rFonts w:hint="eastAsia" w:ascii="宋体" w:hAnsi="宋体"/>
          <w:color w:val="auto"/>
          <w:sz w:val="24"/>
          <w:highlight w:val="none"/>
          <w:lang w:val="en-US" w:eastAsia="zh-CN"/>
        </w:rPr>
        <w:t>在</w:t>
      </w:r>
      <w:r>
        <w:rPr>
          <w:rFonts w:hint="eastAsia" w:ascii="宋体" w:hAnsi="宋体"/>
          <w:color w:val="auto"/>
          <w:sz w:val="24"/>
          <w:highlight w:val="none"/>
        </w:rPr>
        <w:t>中德合作双元制办学</w:t>
      </w:r>
      <w:r>
        <w:rPr>
          <w:rFonts w:hint="eastAsia" w:ascii="宋体" w:hAnsi="宋体"/>
          <w:color w:val="auto"/>
          <w:sz w:val="24"/>
          <w:highlight w:val="none"/>
          <w:lang w:val="en-US" w:eastAsia="zh-CN"/>
        </w:rPr>
        <w:t>背景下，</w:t>
      </w:r>
      <w:r>
        <w:rPr>
          <w:rFonts w:hint="eastAsia" w:ascii="宋体" w:hAnsi="宋体"/>
          <w:color w:val="auto"/>
          <w:sz w:val="24"/>
          <w:highlight w:val="none"/>
        </w:rPr>
        <w:t>以专业和产业为纽带，与煤化工行业、企业和晋城市区域经济建立紧密联系，</w:t>
      </w:r>
      <w:r>
        <w:rPr>
          <w:rFonts w:ascii="宋体" w:hAnsi="宋体"/>
          <w:color w:val="auto"/>
          <w:sz w:val="24"/>
          <w:highlight w:val="none"/>
        </w:rPr>
        <w:t>按照煤化工行业的职业资格标准和煤</w:t>
      </w:r>
      <w:r>
        <w:rPr>
          <w:rFonts w:hint="eastAsia" w:ascii="宋体" w:hAnsi="宋体"/>
          <w:color w:val="auto"/>
          <w:sz w:val="24"/>
          <w:highlight w:val="none"/>
        </w:rPr>
        <w:t>化工生产技术</w:t>
      </w:r>
      <w:r>
        <w:rPr>
          <w:rFonts w:ascii="宋体" w:hAnsi="宋体"/>
          <w:color w:val="auto"/>
          <w:sz w:val="24"/>
          <w:highlight w:val="none"/>
        </w:rPr>
        <w:t>专业的定位与人才培养目标，</w:t>
      </w:r>
      <w:r>
        <w:rPr>
          <w:rFonts w:hint="eastAsia" w:ascii="宋体" w:hAnsi="宋体"/>
          <w:color w:val="auto"/>
          <w:sz w:val="24"/>
          <w:highlight w:val="none"/>
        </w:rPr>
        <w:t>创新集团化职业教育发展模式。以合作办学促发展，以合作育人促就业。</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lang w:val="en-US" w:eastAsia="zh-CN"/>
        </w:rPr>
        <w:t>4</w:t>
      </w:r>
      <w:r>
        <w:rPr>
          <w:rFonts w:hint="eastAsia" w:ascii="宋体" w:hAnsi="宋体"/>
          <w:color w:val="auto"/>
          <w:sz w:val="24"/>
          <w:highlight w:val="none"/>
          <w:lang w:eastAsia="zh-CN"/>
        </w:rPr>
        <w:t>.</w:t>
      </w:r>
      <w:r>
        <w:rPr>
          <w:rFonts w:hint="eastAsia" w:ascii="宋体" w:hAnsi="宋体"/>
          <w:color w:val="auto"/>
          <w:sz w:val="24"/>
          <w:highlight w:val="none"/>
        </w:rPr>
        <w:t>打造高水平实训基地</w:t>
      </w:r>
      <w:r>
        <w:rPr>
          <w:rFonts w:hint="eastAsia" w:ascii="宋体" w:hAnsi="宋体"/>
          <w:color w:val="auto"/>
          <w:sz w:val="24"/>
          <w:highlight w:val="none"/>
          <w:lang w:eastAsia="zh-CN"/>
        </w:rPr>
        <w:t>，</w:t>
      </w:r>
      <w:r>
        <w:rPr>
          <w:rFonts w:ascii="宋体" w:hAnsi="宋体"/>
          <w:color w:val="auto"/>
          <w:sz w:val="24"/>
          <w:highlight w:val="none"/>
        </w:rPr>
        <w:t>共建校企</w:t>
      </w:r>
      <w:r>
        <w:rPr>
          <w:rFonts w:hint="eastAsia" w:ascii="宋体" w:hAnsi="宋体"/>
          <w:color w:val="auto"/>
          <w:sz w:val="24"/>
          <w:highlight w:val="none"/>
        </w:rPr>
        <w:t>文化有机融合的</w:t>
      </w:r>
      <w:r>
        <w:rPr>
          <w:rFonts w:ascii="宋体" w:hAnsi="宋体"/>
          <w:color w:val="auto"/>
          <w:sz w:val="24"/>
          <w:highlight w:val="none"/>
        </w:rPr>
        <w:t>实习实训基地</w:t>
      </w:r>
      <w:r>
        <w:rPr>
          <w:rFonts w:hint="eastAsia" w:ascii="宋体" w:hAnsi="宋体"/>
          <w:color w:val="auto"/>
          <w:sz w:val="24"/>
          <w:highlight w:val="none"/>
          <w:lang w:eastAsia="zh-CN"/>
        </w:rPr>
        <w:t>。</w:t>
      </w:r>
    </w:p>
    <w:p>
      <w:pPr>
        <w:spacing w:line="360" w:lineRule="auto"/>
        <w:ind w:firstLine="480" w:firstLineChars="200"/>
        <w:rPr>
          <w:rFonts w:ascii="宋体" w:hAnsi="宋体"/>
          <w:bCs/>
          <w:color w:val="auto"/>
          <w:sz w:val="24"/>
          <w:highlight w:val="none"/>
        </w:rPr>
      </w:pPr>
      <w:r>
        <w:rPr>
          <w:rFonts w:ascii="宋体" w:hAnsi="宋体"/>
          <w:color w:val="auto"/>
          <w:sz w:val="24"/>
          <w:highlight w:val="none"/>
        </w:rPr>
        <w:t>学院自建</w:t>
      </w:r>
      <w:r>
        <w:rPr>
          <w:rFonts w:hint="eastAsia" w:ascii="宋体" w:hAnsi="宋体"/>
          <w:color w:val="auto"/>
          <w:sz w:val="24"/>
          <w:highlight w:val="none"/>
        </w:rPr>
        <w:t>或</w:t>
      </w:r>
      <w:r>
        <w:rPr>
          <w:rFonts w:ascii="宋体" w:hAnsi="宋体"/>
          <w:color w:val="auto"/>
          <w:sz w:val="24"/>
          <w:highlight w:val="none"/>
        </w:rPr>
        <w:t>校企共建</w:t>
      </w:r>
      <w:r>
        <w:rPr>
          <w:rFonts w:hint="eastAsia" w:ascii="宋体" w:hAnsi="宋体"/>
          <w:color w:val="auto"/>
          <w:sz w:val="24"/>
          <w:highlight w:val="none"/>
        </w:rPr>
        <w:t>融合企业与学院文化，体现专业特色的</w:t>
      </w:r>
      <w:r>
        <w:rPr>
          <w:rFonts w:ascii="宋体" w:hAnsi="宋体"/>
          <w:color w:val="auto"/>
          <w:sz w:val="24"/>
          <w:highlight w:val="none"/>
        </w:rPr>
        <w:t>化工</w:t>
      </w:r>
      <w:r>
        <w:rPr>
          <w:rFonts w:hint="eastAsia" w:ascii="宋体" w:hAnsi="宋体"/>
          <w:color w:val="auto"/>
          <w:sz w:val="24"/>
          <w:highlight w:val="none"/>
        </w:rPr>
        <w:t>仿真</w:t>
      </w:r>
      <w:r>
        <w:rPr>
          <w:rFonts w:ascii="宋体" w:hAnsi="宋体"/>
          <w:color w:val="auto"/>
          <w:sz w:val="24"/>
          <w:highlight w:val="none"/>
        </w:rPr>
        <w:t>实训基地</w:t>
      </w:r>
      <w:r>
        <w:rPr>
          <w:rFonts w:hint="eastAsia" w:ascii="宋体" w:hAnsi="宋体"/>
          <w:color w:val="auto"/>
          <w:sz w:val="24"/>
          <w:highlight w:val="none"/>
        </w:rPr>
        <w:t>；在现有的煤质分析实训室、化工单元操作实训室、化学实验实训室、合成氨仿真实训的基础上，</w:t>
      </w:r>
      <w:r>
        <w:rPr>
          <w:rFonts w:ascii="宋体" w:hAnsi="宋体"/>
          <w:color w:val="auto"/>
          <w:sz w:val="24"/>
          <w:highlight w:val="none"/>
        </w:rPr>
        <w:t>新建</w:t>
      </w:r>
      <w:r>
        <w:rPr>
          <w:rFonts w:hint="eastAsia" w:ascii="宋体" w:hAnsi="宋体"/>
          <w:color w:val="auto"/>
          <w:sz w:val="24"/>
          <w:highlight w:val="none"/>
        </w:rPr>
        <w:t>1-2个</w:t>
      </w:r>
      <w:r>
        <w:rPr>
          <w:rFonts w:ascii="宋体" w:hAnsi="宋体"/>
          <w:color w:val="auto"/>
          <w:sz w:val="24"/>
          <w:highlight w:val="none"/>
        </w:rPr>
        <w:t>仿真与真实生产结合型的煤化工实训中心</w:t>
      </w:r>
      <w:r>
        <w:rPr>
          <w:rFonts w:hint="eastAsia" w:ascii="宋体" w:hAnsi="宋体"/>
          <w:color w:val="auto"/>
          <w:sz w:val="24"/>
          <w:highlight w:val="none"/>
        </w:rPr>
        <w:t>，</w:t>
      </w:r>
      <w:r>
        <w:rPr>
          <w:rFonts w:ascii="宋体" w:hAnsi="宋体"/>
          <w:color w:val="auto"/>
          <w:sz w:val="24"/>
          <w:highlight w:val="none"/>
        </w:rPr>
        <w:t>极大地提升学院的办学实力。以</w:t>
      </w:r>
      <w:r>
        <w:rPr>
          <w:rFonts w:hint="eastAsia" w:ascii="宋体" w:hAnsi="宋体"/>
          <w:color w:val="auto"/>
          <w:sz w:val="24"/>
          <w:highlight w:val="none"/>
        </w:rPr>
        <w:t>服务晋城市</w:t>
      </w:r>
      <w:r>
        <w:rPr>
          <w:rFonts w:ascii="宋体" w:hAnsi="宋体"/>
          <w:color w:val="auto"/>
          <w:sz w:val="24"/>
          <w:highlight w:val="none"/>
        </w:rPr>
        <w:t>区域经济为宗旨，以培养学生技能为主线，新增3～5个长效、稳定、运行良好的工学结合的校外实习及就业基地，完善校外实习实训基地运行管理长效机制，充分满足学生</w:t>
      </w:r>
      <w:r>
        <w:rPr>
          <w:rFonts w:hint="eastAsia" w:ascii="宋体" w:hAnsi="宋体"/>
          <w:color w:val="auto"/>
          <w:sz w:val="24"/>
          <w:highlight w:val="none"/>
        </w:rPr>
        <w:t>跟岗实习和</w:t>
      </w:r>
      <w:r>
        <w:rPr>
          <w:rFonts w:ascii="宋体" w:hAnsi="宋体"/>
          <w:color w:val="auto"/>
          <w:sz w:val="24"/>
          <w:highlight w:val="none"/>
        </w:rPr>
        <w:t>顶岗实习的需要。</w:t>
      </w:r>
    </w:p>
    <w:p>
      <w:pPr>
        <w:spacing w:line="360" w:lineRule="auto"/>
        <w:ind w:firstLine="300" w:firstLineChars="100"/>
        <w:rPr>
          <w:rFonts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w:t>
      </w:r>
      <w:r>
        <w:rPr>
          <w:rFonts w:hint="eastAsia" w:ascii="黑体" w:hAnsi="黑体" w:eastAsia="黑体" w:cs="黑体"/>
          <w:bCs/>
          <w:color w:val="auto"/>
          <w:sz w:val="30"/>
          <w:szCs w:val="30"/>
          <w:highlight w:val="none"/>
          <w:lang w:val="en-US" w:eastAsia="zh-CN"/>
        </w:rPr>
        <w:t>二</w:t>
      </w:r>
      <w:r>
        <w:rPr>
          <w:rFonts w:hint="eastAsia" w:ascii="黑体" w:hAnsi="黑体" w:eastAsia="黑体" w:cs="黑体"/>
          <w:bCs/>
          <w:color w:val="auto"/>
          <w:sz w:val="30"/>
          <w:szCs w:val="30"/>
          <w:highlight w:val="none"/>
        </w:rPr>
        <w:t>）改革课程与教学</w:t>
      </w:r>
    </w:p>
    <w:p>
      <w:pPr>
        <w:pStyle w:val="21"/>
        <w:spacing w:line="360" w:lineRule="auto"/>
        <w:ind w:firstLine="480"/>
        <w:rPr>
          <w:color w:val="auto"/>
          <w:highlight w:val="none"/>
        </w:rPr>
      </w:pPr>
      <w:r>
        <w:rPr>
          <w:rFonts w:hint="eastAsia" w:ascii="宋体"/>
          <w:bCs w:val="0"/>
          <w:color w:val="auto"/>
          <w:highlight w:val="none"/>
        </w:rPr>
        <w:t>1</w:t>
      </w:r>
      <w:r>
        <w:rPr>
          <w:rFonts w:hint="eastAsia" w:ascii="宋体"/>
          <w:bCs w:val="0"/>
          <w:color w:val="auto"/>
          <w:highlight w:val="none"/>
          <w:lang w:eastAsia="zh-CN"/>
        </w:rPr>
        <w:t>.</w:t>
      </w:r>
      <w:r>
        <w:rPr>
          <w:rFonts w:ascii="宋体"/>
          <w:bCs w:val="0"/>
          <w:color w:val="auto"/>
          <w:highlight w:val="none"/>
        </w:rPr>
        <w:t>学生通过公共基础课的学习，了解煤化工职业领域的基本要求，学习通用</w:t>
      </w:r>
      <w:r>
        <w:rPr>
          <w:rFonts w:hint="eastAsia" w:ascii="宋体"/>
          <w:bCs w:val="0"/>
          <w:color w:val="auto"/>
          <w:highlight w:val="none"/>
        </w:rPr>
        <w:t>的</w:t>
      </w:r>
      <w:r>
        <w:rPr>
          <w:rFonts w:ascii="宋体"/>
          <w:bCs w:val="0"/>
          <w:color w:val="auto"/>
          <w:highlight w:val="none"/>
        </w:rPr>
        <w:t>基础知识和基本技能；课程设置有公共课、职业基础素质课等，在校内基础实训室进行职业基础技能训练，并通过专业社会实践、军训及</w:t>
      </w:r>
      <w:r>
        <w:rPr>
          <w:rFonts w:hint="eastAsia" w:ascii="宋体"/>
          <w:bCs w:val="0"/>
          <w:color w:val="auto"/>
          <w:highlight w:val="none"/>
        </w:rPr>
        <w:t>勤工俭学</w:t>
      </w:r>
      <w:r>
        <w:rPr>
          <w:rFonts w:ascii="宋体"/>
          <w:bCs w:val="0"/>
          <w:color w:val="auto"/>
          <w:highlight w:val="none"/>
        </w:rPr>
        <w:t>等，培养学生</w:t>
      </w:r>
      <w:r>
        <w:rPr>
          <w:color w:val="auto"/>
          <w:highlight w:val="none"/>
        </w:rPr>
        <w:t>爱岗敬业</w:t>
      </w:r>
      <w:r>
        <w:rPr>
          <w:rFonts w:hint="eastAsia"/>
          <w:color w:val="auto"/>
          <w:highlight w:val="none"/>
        </w:rPr>
        <w:t>、吃苦耐劳、无私奉献的</w:t>
      </w:r>
      <w:r>
        <w:rPr>
          <w:color w:val="auto"/>
          <w:highlight w:val="none"/>
        </w:rPr>
        <w:t>精神</w:t>
      </w:r>
      <w:r>
        <w:rPr>
          <w:rFonts w:hint="eastAsia"/>
          <w:color w:val="auto"/>
          <w:highlight w:val="none"/>
        </w:rPr>
        <w:t>和良好的</w:t>
      </w:r>
      <w:r>
        <w:rPr>
          <w:color w:val="auto"/>
          <w:highlight w:val="none"/>
        </w:rPr>
        <w:t>职业道德</w:t>
      </w:r>
      <w:r>
        <w:rPr>
          <w:rFonts w:hint="eastAsia"/>
          <w:color w:val="auto"/>
          <w:highlight w:val="none"/>
        </w:rPr>
        <w:t>。</w:t>
      </w:r>
    </w:p>
    <w:p>
      <w:pPr>
        <w:pStyle w:val="21"/>
        <w:spacing w:line="360" w:lineRule="auto"/>
        <w:ind w:firstLine="480"/>
        <w:rPr>
          <w:rFonts w:ascii="宋体"/>
          <w:color w:val="auto"/>
          <w:highlight w:val="none"/>
        </w:rPr>
      </w:pPr>
      <w:r>
        <w:rPr>
          <w:rFonts w:hint="eastAsia"/>
          <w:color w:val="auto"/>
          <w:highlight w:val="none"/>
        </w:rPr>
        <w:t>2</w:t>
      </w:r>
      <w:r>
        <w:rPr>
          <w:rFonts w:hint="eastAsia"/>
          <w:color w:val="auto"/>
          <w:highlight w:val="none"/>
          <w:lang w:eastAsia="zh-CN"/>
        </w:rPr>
        <w:t>.</w:t>
      </w:r>
      <w:r>
        <w:rPr>
          <w:rFonts w:hint="eastAsia"/>
          <w:color w:val="auto"/>
          <w:highlight w:val="none"/>
        </w:rPr>
        <w:t>学生通过学习</w:t>
      </w:r>
      <w:r>
        <w:rPr>
          <w:color w:val="auto"/>
          <w:highlight w:val="none"/>
        </w:rPr>
        <w:t>专业基础课程</w:t>
      </w:r>
      <w:r>
        <w:rPr>
          <w:rFonts w:hint="eastAsia"/>
          <w:color w:val="auto"/>
          <w:highlight w:val="none"/>
        </w:rPr>
        <w:t>，</w:t>
      </w:r>
      <w:r>
        <w:rPr>
          <w:color w:val="auto"/>
          <w:highlight w:val="none"/>
        </w:rPr>
        <w:t>学习</w:t>
      </w:r>
      <w:r>
        <w:rPr>
          <w:rFonts w:hint="eastAsia"/>
          <w:color w:val="auto"/>
          <w:highlight w:val="none"/>
        </w:rPr>
        <w:t>理论与</w:t>
      </w:r>
      <w:r>
        <w:rPr>
          <w:color w:val="auto"/>
          <w:highlight w:val="none"/>
        </w:rPr>
        <w:t>技能，培养学生基本</w:t>
      </w:r>
      <w:r>
        <w:rPr>
          <w:rFonts w:hint="eastAsia"/>
          <w:color w:val="auto"/>
          <w:highlight w:val="none"/>
        </w:rPr>
        <w:t>的</w:t>
      </w:r>
      <w:r>
        <w:rPr>
          <w:color w:val="auto"/>
          <w:highlight w:val="none"/>
        </w:rPr>
        <w:t>职业能力。</w:t>
      </w:r>
      <w:r>
        <w:rPr>
          <w:rFonts w:ascii="宋体"/>
          <w:color w:val="auto"/>
          <w:highlight w:val="none"/>
        </w:rPr>
        <w:t>精选</w:t>
      </w:r>
      <w:r>
        <w:rPr>
          <w:rFonts w:hint="eastAsia"/>
          <w:color w:val="auto"/>
          <w:highlight w:val="none"/>
        </w:rPr>
        <w:t>专业基础课包括基础化学、化工制图与CAD、化工艺与自动化、化工设备操作、化工文献检索等课程中</w:t>
      </w:r>
      <w:r>
        <w:rPr>
          <w:rFonts w:ascii="宋体"/>
          <w:color w:val="auto"/>
          <w:highlight w:val="none"/>
        </w:rPr>
        <w:t>与专业技能培养紧密相关的知识点，</w:t>
      </w:r>
      <w:r>
        <w:rPr>
          <w:rFonts w:hint="eastAsia" w:ascii="宋体"/>
          <w:color w:val="auto"/>
          <w:highlight w:val="none"/>
        </w:rPr>
        <w:t>设置项目任务，</w:t>
      </w:r>
      <w:r>
        <w:rPr>
          <w:rFonts w:ascii="宋体"/>
          <w:color w:val="auto"/>
          <w:highlight w:val="none"/>
        </w:rPr>
        <w:t>使课程体系与煤化工生产过程尽可能贴近</w:t>
      </w:r>
      <w:r>
        <w:rPr>
          <w:rFonts w:hint="eastAsia" w:ascii="宋体"/>
          <w:color w:val="auto"/>
          <w:highlight w:val="none"/>
        </w:rPr>
        <w:t>，提高学生的理论基础和专业素养</w:t>
      </w:r>
      <w:r>
        <w:rPr>
          <w:rFonts w:ascii="宋体"/>
          <w:color w:val="auto"/>
          <w:highlight w:val="none"/>
        </w:rPr>
        <w:t>。</w:t>
      </w:r>
    </w:p>
    <w:p>
      <w:pPr>
        <w:pStyle w:val="21"/>
        <w:spacing w:line="360" w:lineRule="auto"/>
        <w:ind w:firstLine="480"/>
        <w:rPr>
          <w:rFonts w:ascii="宋体"/>
          <w:color w:val="auto"/>
          <w:highlight w:val="none"/>
        </w:rPr>
      </w:pPr>
      <w:r>
        <w:rPr>
          <w:rFonts w:hint="eastAsia"/>
          <w:color w:val="auto"/>
          <w:highlight w:val="none"/>
        </w:rPr>
        <w:t>3</w:t>
      </w:r>
      <w:r>
        <w:rPr>
          <w:rFonts w:hint="eastAsia"/>
          <w:color w:val="auto"/>
          <w:highlight w:val="none"/>
          <w:lang w:eastAsia="zh-CN"/>
        </w:rPr>
        <w:t>.</w:t>
      </w:r>
      <w:r>
        <w:rPr>
          <w:rFonts w:hint="eastAsia"/>
          <w:color w:val="auto"/>
          <w:highlight w:val="none"/>
        </w:rPr>
        <w:t>学生通过</w:t>
      </w:r>
      <w:r>
        <w:rPr>
          <w:color w:val="auto"/>
          <w:highlight w:val="none"/>
        </w:rPr>
        <w:t>学习核心技能课程</w:t>
      </w:r>
      <w:r>
        <w:rPr>
          <w:rFonts w:hint="eastAsia"/>
          <w:color w:val="auto"/>
          <w:highlight w:val="none"/>
        </w:rPr>
        <w:t>，培养专业技能。专业核心课程</w:t>
      </w:r>
      <w:r>
        <w:rPr>
          <w:color w:val="auto"/>
          <w:highlight w:val="none"/>
        </w:rPr>
        <w:t>主要设置有化工单元操作、</w:t>
      </w:r>
      <w:r>
        <w:rPr>
          <w:rFonts w:hint="eastAsia"/>
          <w:color w:val="auto"/>
          <w:highlight w:val="none"/>
        </w:rPr>
        <w:t>煤化学</w:t>
      </w:r>
      <w:r>
        <w:rPr>
          <w:color w:val="auto"/>
          <w:highlight w:val="none"/>
        </w:rPr>
        <w:t>、</w:t>
      </w:r>
      <w:r>
        <w:rPr>
          <w:rFonts w:hint="eastAsia"/>
          <w:color w:val="auto"/>
          <w:highlight w:val="none"/>
        </w:rPr>
        <w:t>煤化工安全与环保、煤炭气化工艺等。</w:t>
      </w:r>
      <w:r>
        <w:rPr>
          <w:rFonts w:ascii="宋体"/>
          <w:color w:val="auto"/>
          <w:highlight w:val="none"/>
        </w:rPr>
        <w:t>技能训练利用校内煤化工实训基地和校外实训基地进行。</w:t>
      </w:r>
      <w:r>
        <w:rPr>
          <w:rFonts w:hint="eastAsia"/>
          <w:color w:val="auto"/>
          <w:highlight w:val="none"/>
        </w:rPr>
        <w:t>秉承“理实融合，实践育人”的教育理念与指导思想，打破传统的学科体系，以培养技术应用能力和职业技能为主线，根据岗位工作要求，</w:t>
      </w:r>
      <w:r>
        <w:rPr>
          <w:color w:val="auto"/>
          <w:highlight w:val="none"/>
        </w:rPr>
        <w:t>采取任务驱动、项目导向、教学做一体化等具体教学模式，重点</w:t>
      </w:r>
      <w:r>
        <w:rPr>
          <w:rFonts w:hint="eastAsia"/>
          <w:color w:val="auto"/>
          <w:highlight w:val="none"/>
        </w:rPr>
        <w:t>进行</w:t>
      </w:r>
      <w:r>
        <w:rPr>
          <w:color w:val="auto"/>
          <w:highlight w:val="none"/>
        </w:rPr>
        <w:t>岗位工种操作技能</w:t>
      </w:r>
      <w:r>
        <w:rPr>
          <w:rFonts w:hint="eastAsia"/>
          <w:color w:val="auto"/>
          <w:highlight w:val="none"/>
        </w:rPr>
        <w:t>的</w:t>
      </w:r>
      <w:r>
        <w:rPr>
          <w:color w:val="auto"/>
          <w:highlight w:val="none"/>
        </w:rPr>
        <w:t>训练</w:t>
      </w:r>
      <w:r>
        <w:rPr>
          <w:rFonts w:hint="eastAsia"/>
          <w:color w:val="auto"/>
          <w:highlight w:val="none"/>
        </w:rPr>
        <w:t>和</w:t>
      </w:r>
      <w:r>
        <w:rPr>
          <w:color w:val="auto"/>
          <w:highlight w:val="none"/>
        </w:rPr>
        <w:t>岗位单项能力</w:t>
      </w:r>
      <w:r>
        <w:rPr>
          <w:rFonts w:hint="eastAsia"/>
          <w:color w:val="auto"/>
          <w:highlight w:val="none"/>
        </w:rPr>
        <w:t>的</w:t>
      </w:r>
      <w:r>
        <w:rPr>
          <w:color w:val="auto"/>
          <w:highlight w:val="none"/>
        </w:rPr>
        <w:t>培养。</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4</w:t>
      </w:r>
      <w:r>
        <w:rPr>
          <w:rFonts w:hint="eastAsia" w:ascii="宋体" w:hAnsi="宋体"/>
          <w:color w:val="auto"/>
          <w:sz w:val="24"/>
          <w:highlight w:val="none"/>
          <w:lang w:eastAsia="zh-CN"/>
        </w:rPr>
        <w:t>.</w:t>
      </w:r>
      <w:r>
        <w:rPr>
          <w:rFonts w:hint="eastAsia" w:ascii="宋体" w:hAnsi="宋体"/>
          <w:color w:val="auto"/>
          <w:sz w:val="24"/>
          <w:highlight w:val="none"/>
        </w:rPr>
        <w:t>跟岗实习和网络教学相结合，培养专业技能与专业素养。在学生跟岗实习期间专业教师适应“互联网+职业教育”新要求，利用现代信息技术开设多门专业网络课程包括煤化工产品质量控制与监测、化工清洁生产与环境保护、洁净煤技术、绿色化工等，学生要求选修5门继续学习，做到网络学习和跟岗实习紧密结合。</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5.改进学习过程管理与评价，严格落实培养目标和培养规格要求，加大过程考核、实践技能考核成绩在课程总成绩中的比重。严格考试纪律，健全多元化考核评价体系，完善学生学习过程监测、评价与反馈机制，引导学生自我管理、主动学习，提高学习效率。强化实习、实训、毕业设计（论文）等实践性教学环节的全过程管理与考核评价。</w:t>
      </w:r>
    </w:p>
    <w:p>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rPr>
          <w:rFonts w:hint="eastAsia" w:ascii="黑体" w:hAnsi="黑体" w:eastAsia="黑体" w:cs="黑体"/>
          <w:bCs/>
          <w:color w:val="auto"/>
          <w:sz w:val="30"/>
          <w:szCs w:val="30"/>
          <w:highlight w:val="none"/>
          <w:lang w:val="en-US" w:eastAsia="zh-CN"/>
        </w:rPr>
      </w:pPr>
      <w:r>
        <w:rPr>
          <w:rFonts w:hint="eastAsia" w:ascii="黑体" w:hAnsi="黑体" w:eastAsia="黑体" w:cs="黑体"/>
          <w:bCs/>
          <w:color w:val="auto"/>
          <w:sz w:val="30"/>
          <w:szCs w:val="30"/>
          <w:highlight w:val="none"/>
        </w:rPr>
        <w:t>（</w:t>
      </w:r>
      <w:r>
        <w:rPr>
          <w:rFonts w:hint="eastAsia" w:ascii="黑体" w:hAnsi="黑体" w:eastAsia="黑体" w:cs="黑体"/>
          <w:bCs/>
          <w:color w:val="auto"/>
          <w:sz w:val="30"/>
          <w:szCs w:val="30"/>
          <w:highlight w:val="none"/>
          <w:lang w:val="en-US" w:eastAsia="zh-CN"/>
        </w:rPr>
        <w:t>三</w:t>
      </w:r>
      <w:r>
        <w:rPr>
          <w:rFonts w:hint="eastAsia" w:ascii="黑体" w:hAnsi="黑体" w:eastAsia="黑体" w:cs="黑体"/>
          <w:bCs/>
          <w:color w:val="auto"/>
          <w:sz w:val="30"/>
          <w:szCs w:val="30"/>
          <w:highlight w:val="none"/>
        </w:rPr>
        <w:t>）加强“双师”素质教学团队建设</w:t>
      </w:r>
    </w:p>
    <w:p>
      <w:pPr>
        <w:pStyle w:val="21"/>
        <w:spacing w:line="360" w:lineRule="auto"/>
        <w:ind w:firstLine="480"/>
        <w:rPr>
          <w:rFonts w:hint="eastAsia" w:ascii="宋体"/>
          <w:bCs w:val="0"/>
          <w:color w:val="auto"/>
          <w:highlight w:val="none"/>
        </w:rPr>
      </w:pPr>
      <w:r>
        <w:rPr>
          <w:rFonts w:hint="eastAsia" w:ascii="宋体"/>
          <w:bCs w:val="0"/>
          <w:color w:val="auto"/>
          <w:highlight w:val="none"/>
        </w:rPr>
        <w:t>目前本专业青年教师中研究生学历或硕士及以上学位比例达到90%以上，为建设专兼结合的双师结构专业教学团队，加大教师的培养力度，提高教师技术实践能力，</w:t>
      </w:r>
      <w:r>
        <w:rPr>
          <w:rFonts w:hint="eastAsia" w:ascii="宋体"/>
          <w:bCs w:val="0"/>
          <w:color w:val="auto"/>
          <w:highlight w:val="none"/>
          <w:lang w:val="en-US" w:eastAsia="zh-CN"/>
        </w:rPr>
        <w:t>在中德合作</w:t>
      </w:r>
      <w:r>
        <w:rPr>
          <w:rFonts w:hint="eastAsia" w:ascii="宋体" w:hAnsi="宋体"/>
          <w:color w:val="auto"/>
          <w:sz w:val="24"/>
          <w:highlight w:val="none"/>
        </w:rPr>
        <w:t>双元制办学</w:t>
      </w:r>
      <w:r>
        <w:rPr>
          <w:rFonts w:hint="eastAsia" w:ascii="宋体"/>
          <w:bCs w:val="0"/>
          <w:color w:val="auto"/>
          <w:highlight w:val="none"/>
          <w:lang w:val="en-US" w:eastAsia="zh-CN"/>
        </w:rPr>
        <w:t>的背景下，</w:t>
      </w:r>
      <w:r>
        <w:rPr>
          <w:rFonts w:hint="eastAsia" w:ascii="宋体"/>
          <w:bCs w:val="0"/>
          <w:color w:val="auto"/>
          <w:highlight w:val="none"/>
        </w:rPr>
        <w:t>通过培养与引聘相结合，建设专兼结合的双师素质结构专业教学团队。具体措施如下：</w:t>
      </w:r>
    </w:p>
    <w:p>
      <w:pPr>
        <w:pStyle w:val="21"/>
        <w:spacing w:line="360" w:lineRule="auto"/>
        <w:ind w:firstLine="480"/>
        <w:rPr>
          <w:rFonts w:hint="eastAsia" w:ascii="宋体"/>
          <w:bCs w:val="0"/>
          <w:color w:val="auto"/>
          <w:highlight w:val="none"/>
        </w:rPr>
      </w:pPr>
      <w:r>
        <w:rPr>
          <w:rFonts w:hint="eastAsia" w:ascii="宋体"/>
          <w:bCs w:val="0"/>
          <w:color w:val="auto"/>
          <w:highlight w:val="none"/>
        </w:rPr>
        <w:t>1.在现有专业教师中选拔1</w:t>
      </w:r>
      <w:r>
        <w:rPr>
          <w:rFonts w:hint="eastAsia" w:ascii="宋体"/>
          <w:bCs w:val="0"/>
          <w:color w:val="auto"/>
          <w:highlight w:val="none"/>
          <w:lang w:val="en-US" w:eastAsia="zh-CN"/>
        </w:rPr>
        <w:t>-2</w:t>
      </w:r>
      <w:r>
        <w:rPr>
          <w:rFonts w:hint="eastAsia" w:ascii="宋体"/>
          <w:bCs w:val="0"/>
          <w:color w:val="auto"/>
          <w:highlight w:val="none"/>
        </w:rPr>
        <w:t>名骨干教师作为专业带头人重点培养对象，通过进修学习、挂职锻炼，企业顶岗的形式，使培养对象能够带领教学团队进行专业人才需要求调研，确定人才培养目标、制定人才培养方案；带领教学团队构建基于工作过程系统化的课程体系，建设专业核心课程。</w:t>
      </w:r>
    </w:p>
    <w:p>
      <w:pPr>
        <w:pStyle w:val="21"/>
        <w:spacing w:line="360" w:lineRule="auto"/>
        <w:ind w:firstLine="480"/>
        <w:rPr>
          <w:rFonts w:ascii="宋体"/>
          <w:bCs w:val="0"/>
          <w:color w:val="auto"/>
          <w:highlight w:val="none"/>
        </w:rPr>
      </w:pPr>
      <w:r>
        <w:rPr>
          <w:rFonts w:hint="eastAsia" w:ascii="宋体"/>
          <w:bCs w:val="0"/>
          <w:color w:val="auto"/>
          <w:highlight w:val="none"/>
        </w:rPr>
        <w:t>2.教师每年至少1个月在企业或实训基地实训，到先进企业学习化工生产新技术，顶岗锻炼、业务进修、技术合作，跟踪专业技术发展动态，在专业带头人的带领下，与企业兼职教师配合，编写具有行业地域特点的、创新的校本教材，完成工学结合的优质课程建设；紧密联系行业企业，跟踪化工行业的发展，不断改革教学内容，改革教学方法。</w:t>
      </w:r>
    </w:p>
    <w:p>
      <w:pPr>
        <w:pStyle w:val="21"/>
        <w:spacing w:line="360" w:lineRule="auto"/>
        <w:ind w:firstLine="480"/>
        <w:rPr>
          <w:color w:val="auto"/>
          <w:highlight w:val="none"/>
        </w:rPr>
      </w:pPr>
      <w:r>
        <w:rPr>
          <w:rFonts w:hint="eastAsia" w:ascii="宋体"/>
          <w:bCs w:val="0"/>
          <w:color w:val="auto"/>
          <w:highlight w:val="none"/>
        </w:rPr>
        <w:t>3.聘请企业技术人员作为兼职教师，来学校讲授化工生产实际操作知识要点，指导学生实训操作，参与专业课程建设、实训基地建设，完成专业课程教学任务。</w:t>
      </w:r>
    </w:p>
    <w:p>
      <w:pPr>
        <w:pStyle w:val="2"/>
        <w:spacing w:line="360" w:lineRule="auto"/>
        <w:ind w:firstLine="1440" w:firstLineChars="400"/>
        <w:rPr>
          <w:rFonts w:hint="eastAsia" w:ascii="黑体" w:hAnsi="黑体" w:eastAsia="黑体" w:cs="黑体"/>
          <w:b w:val="0"/>
          <w:bCs w:val="0"/>
          <w:color w:val="auto"/>
          <w:sz w:val="36"/>
          <w:szCs w:val="36"/>
          <w:highlight w:val="none"/>
        </w:rPr>
      </w:pPr>
      <w:bookmarkStart w:id="47" w:name="_Toc7211"/>
    </w:p>
    <w:p>
      <w:pPr>
        <w:rPr>
          <w:rFonts w:hint="eastAsia" w:ascii="黑体" w:hAnsi="黑体" w:eastAsia="黑体" w:cs="黑体"/>
          <w:b w:val="0"/>
          <w:bCs w:val="0"/>
          <w:color w:val="auto"/>
          <w:sz w:val="36"/>
          <w:szCs w:val="36"/>
          <w:highlight w:val="none"/>
        </w:rPr>
      </w:pPr>
    </w:p>
    <w:p>
      <w:pPr>
        <w:rPr>
          <w:rFonts w:hint="eastAsia" w:ascii="黑体" w:hAnsi="黑体" w:eastAsia="黑体" w:cs="黑体"/>
          <w:b w:val="0"/>
          <w:bCs w:val="0"/>
          <w:color w:val="auto"/>
          <w:sz w:val="36"/>
          <w:szCs w:val="36"/>
          <w:highlight w:val="none"/>
        </w:rPr>
      </w:pPr>
    </w:p>
    <w:p>
      <w:pPr>
        <w:rPr>
          <w:rFonts w:hint="eastAsia" w:ascii="黑体" w:hAnsi="黑体" w:eastAsia="黑体" w:cs="黑体"/>
          <w:b w:val="0"/>
          <w:bCs w:val="0"/>
          <w:color w:val="auto"/>
          <w:sz w:val="36"/>
          <w:szCs w:val="36"/>
          <w:highlight w:val="none"/>
        </w:rPr>
      </w:pPr>
    </w:p>
    <w:p>
      <w:pPr>
        <w:rPr>
          <w:rFonts w:hint="eastAsia" w:ascii="黑体" w:hAnsi="黑体" w:eastAsia="黑体" w:cs="黑体"/>
          <w:b w:val="0"/>
          <w:bCs w:val="0"/>
          <w:color w:val="auto"/>
          <w:sz w:val="36"/>
          <w:szCs w:val="36"/>
          <w:highlight w:val="none"/>
        </w:rPr>
      </w:pPr>
    </w:p>
    <w:p>
      <w:pPr>
        <w:pStyle w:val="2"/>
        <w:spacing w:line="360" w:lineRule="auto"/>
        <w:jc w:val="center"/>
        <w:rPr>
          <w:rFonts w:ascii="黑体" w:hAnsi="黑体" w:eastAsia="黑体" w:cs="黑体"/>
          <w:b w:val="0"/>
          <w:bCs w:val="0"/>
          <w:color w:val="auto"/>
          <w:sz w:val="36"/>
          <w:szCs w:val="36"/>
          <w:highlight w:val="none"/>
        </w:rPr>
      </w:pPr>
      <w:r>
        <w:rPr>
          <w:rFonts w:hint="eastAsia" w:ascii="黑体" w:hAnsi="黑体" w:eastAsia="黑体" w:cs="黑体"/>
          <w:b w:val="0"/>
          <w:bCs w:val="0"/>
          <w:color w:val="auto"/>
          <w:sz w:val="36"/>
          <w:szCs w:val="36"/>
          <w:highlight w:val="none"/>
        </w:rPr>
        <w:t>第三部分  煤化工技术专业职业岗位</w:t>
      </w:r>
      <w:bookmarkEnd w:id="47"/>
    </w:p>
    <w:p>
      <w:pPr>
        <w:pStyle w:val="2"/>
        <w:spacing w:line="360" w:lineRule="auto"/>
        <w:jc w:val="center"/>
        <w:rPr>
          <w:rFonts w:ascii="黑体" w:hAnsi="黑体" w:eastAsia="黑体" w:cs="黑体"/>
          <w:b w:val="0"/>
          <w:bCs w:val="0"/>
          <w:color w:val="auto"/>
          <w:sz w:val="36"/>
          <w:szCs w:val="36"/>
          <w:highlight w:val="none"/>
        </w:rPr>
      </w:pPr>
      <w:bookmarkStart w:id="48" w:name="_Toc13861"/>
      <w:bookmarkStart w:id="49" w:name="_Toc21865"/>
      <w:bookmarkStart w:id="50" w:name="_Toc12236"/>
      <w:r>
        <w:rPr>
          <w:rFonts w:hint="eastAsia" w:ascii="黑体" w:hAnsi="黑体" w:eastAsia="黑体" w:cs="黑体"/>
          <w:b w:val="0"/>
          <w:bCs w:val="0"/>
          <w:color w:val="auto"/>
          <w:sz w:val="36"/>
          <w:szCs w:val="36"/>
          <w:highlight w:val="none"/>
          <w:lang w:val="en-US" w:eastAsia="zh-CN"/>
        </w:rPr>
        <w:t xml:space="preserve">          </w:t>
      </w:r>
      <w:r>
        <w:rPr>
          <w:rFonts w:hint="eastAsia" w:ascii="黑体" w:hAnsi="黑体" w:eastAsia="黑体" w:cs="黑体"/>
          <w:b w:val="0"/>
          <w:bCs w:val="0"/>
          <w:color w:val="auto"/>
          <w:sz w:val="36"/>
          <w:szCs w:val="36"/>
          <w:highlight w:val="none"/>
        </w:rPr>
        <w:t>与工作任务分析报告</w:t>
      </w:r>
      <w:bookmarkEnd w:id="48"/>
      <w:bookmarkEnd w:id="49"/>
      <w:bookmarkEnd w:id="50"/>
    </w:p>
    <w:p>
      <w:pPr>
        <w:pStyle w:val="3"/>
        <w:spacing w:before="0" w:after="0" w:line="360" w:lineRule="auto"/>
        <w:ind w:firstLine="640" w:firstLineChars="200"/>
        <w:rPr>
          <w:b w:val="0"/>
          <w:bCs/>
          <w:color w:val="auto"/>
          <w:highlight w:val="none"/>
        </w:rPr>
      </w:pPr>
      <w:bookmarkStart w:id="51" w:name="_Toc458088730"/>
      <w:bookmarkStart w:id="52" w:name="_Toc361599144"/>
      <w:bookmarkStart w:id="53" w:name="_Toc361942956"/>
      <w:bookmarkStart w:id="54" w:name="_Toc458095088"/>
      <w:bookmarkStart w:id="55" w:name="_Toc458089343"/>
      <w:bookmarkStart w:id="56" w:name="_Toc14362"/>
      <w:bookmarkStart w:id="57" w:name="_Toc458088964"/>
      <w:bookmarkStart w:id="58" w:name="_Toc341338643"/>
      <w:bookmarkStart w:id="59" w:name="_Toc339985614"/>
      <w:bookmarkStart w:id="60" w:name="_Toc339913813"/>
      <w:r>
        <w:rPr>
          <w:rFonts w:hint="eastAsia"/>
          <w:b w:val="0"/>
          <w:bCs/>
          <w:color w:val="auto"/>
          <w:highlight w:val="none"/>
        </w:rPr>
        <w:t>一、就业岗位</w:t>
      </w:r>
      <w:bookmarkEnd w:id="51"/>
      <w:bookmarkEnd w:id="52"/>
      <w:bookmarkEnd w:id="53"/>
      <w:bookmarkEnd w:id="54"/>
      <w:bookmarkEnd w:id="55"/>
      <w:bookmarkEnd w:id="56"/>
      <w:bookmarkEnd w:id="57"/>
    </w:p>
    <w:p>
      <w:pPr>
        <w:spacing w:line="360" w:lineRule="auto"/>
        <w:ind w:firstLine="520" w:firstLineChars="217"/>
        <w:rPr>
          <w:rFonts w:ascii="宋体" w:hAnsi="宋体"/>
          <w:bCs/>
          <w:color w:val="auto"/>
          <w:sz w:val="24"/>
          <w:highlight w:val="none"/>
        </w:rPr>
      </w:pPr>
      <w:r>
        <w:rPr>
          <w:rFonts w:hint="eastAsia" w:ascii="宋体" w:hAnsi="宋体"/>
          <w:bCs/>
          <w:color w:val="auto"/>
          <w:sz w:val="24"/>
          <w:highlight w:val="none"/>
        </w:rPr>
        <w:t>煤化工生产技术专业主要面向煤质检验、煤炭洗选、炼焦生产、煤炭化工生产以及下游产品的深加工领域。</w:t>
      </w:r>
      <w:r>
        <w:rPr>
          <w:rFonts w:hint="eastAsia" w:ascii="宋体" w:hAnsi="宋体"/>
          <w:color w:val="auto"/>
          <w:sz w:val="24"/>
          <w:highlight w:val="none"/>
        </w:rPr>
        <w:t>本专业学生从事的主要工种是煤气净化工、化工总控工、化学检验工、煤焦油生产工、甲醇生产工、安全管理岗位工（包括对危化品的管理）等。按照工作经验和技能水平的不同，还可以分为初始岗位和目标岗位。</w:t>
      </w:r>
    </w:p>
    <w:p>
      <w:pPr>
        <w:spacing w:line="360" w:lineRule="auto"/>
        <w:ind w:firstLine="480" w:firstLineChars="200"/>
        <w:rPr>
          <w:rFonts w:ascii="宋体" w:hAnsi="宋体"/>
          <w:bCs/>
          <w:color w:val="auto"/>
          <w:sz w:val="24"/>
          <w:highlight w:val="none"/>
        </w:rPr>
      </w:pPr>
      <w:r>
        <w:rPr>
          <w:rFonts w:hint="eastAsia" w:ascii="宋体" w:hAnsi="宋体"/>
          <w:bCs/>
          <w:color w:val="auto"/>
          <w:sz w:val="24"/>
          <w:highlight w:val="none"/>
        </w:rPr>
        <w:t>初始岗位：煤化工工艺运行控制、煤化工生产装置操作与维护、煤化工产品质量检验、原材料采购验收、煤化工生产管理及化工环境监测等岗位。</w:t>
      </w:r>
    </w:p>
    <w:p>
      <w:pPr>
        <w:spacing w:line="360" w:lineRule="auto"/>
        <w:ind w:firstLine="480" w:firstLineChars="200"/>
        <w:rPr>
          <w:rFonts w:ascii="宋体" w:hAnsi="宋体"/>
          <w:bCs/>
          <w:color w:val="auto"/>
          <w:sz w:val="24"/>
          <w:highlight w:val="none"/>
        </w:rPr>
      </w:pPr>
      <w:r>
        <w:rPr>
          <w:rFonts w:hint="eastAsia" w:ascii="宋体" w:hAnsi="宋体"/>
          <w:bCs/>
          <w:color w:val="auto"/>
          <w:sz w:val="24"/>
          <w:highlight w:val="none"/>
        </w:rPr>
        <w:t>目标岗位：车间班组长、生产一线初级技术人员、中级技术人员、车间主任等岗位。</w:t>
      </w:r>
    </w:p>
    <w:p>
      <w:pPr>
        <w:pStyle w:val="3"/>
        <w:spacing w:before="0" w:after="0" w:line="360" w:lineRule="auto"/>
        <w:ind w:firstLine="640" w:firstLineChars="200"/>
        <w:rPr>
          <w:b w:val="0"/>
          <w:bCs/>
          <w:color w:val="auto"/>
          <w:highlight w:val="none"/>
        </w:rPr>
      </w:pPr>
      <w:bookmarkStart w:id="61" w:name="_Toc458088731"/>
      <w:bookmarkStart w:id="62" w:name="_Toc458089344"/>
      <w:bookmarkStart w:id="63" w:name="_Toc458095089"/>
      <w:bookmarkStart w:id="64" w:name="_Toc458088965"/>
      <w:bookmarkStart w:id="65" w:name="_Toc32511"/>
      <w:bookmarkStart w:id="66" w:name="_Toc361599145"/>
      <w:bookmarkStart w:id="67" w:name="_Toc361942957"/>
      <w:r>
        <w:rPr>
          <w:rFonts w:hint="eastAsia"/>
          <w:b w:val="0"/>
          <w:bCs/>
          <w:color w:val="auto"/>
          <w:highlight w:val="none"/>
        </w:rPr>
        <w:t>二、职业岗位分析</w:t>
      </w:r>
      <w:bookmarkEnd w:id="61"/>
      <w:bookmarkEnd w:id="62"/>
      <w:bookmarkEnd w:id="63"/>
      <w:bookmarkEnd w:id="64"/>
      <w:bookmarkEnd w:id="65"/>
      <w:bookmarkEnd w:id="66"/>
      <w:bookmarkEnd w:id="67"/>
    </w:p>
    <w:p>
      <w:pPr>
        <w:autoSpaceDE w:val="0"/>
        <w:autoSpaceDN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通过对社会需求、企业工作岗位的广泛调研和分析归纳发现，就业的主要岗位是煤化工企业的化工工艺操作及控制（包括了现场操作与控制）、产品的化学分析检验、相关化工设备的操作与维护岗位。</w:t>
      </w:r>
    </w:p>
    <w:p>
      <w:pPr>
        <w:autoSpaceDE w:val="0"/>
        <w:autoSpaceDN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如图所示，对各种不同的岗位职能进行了分析。主要的职业技能岗位主要包括了煤化工产品的质量检验、煤化工工艺操作及控制、化工设备操作与维护。</w:t>
      </w:r>
    </w:p>
    <w:p>
      <w:pPr>
        <w:autoSpaceDE w:val="0"/>
        <w:autoSpaceDN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煤化工产品的质量检验是保证产品质量的前提，要求岗位从事人员具有化学分析（包括煤质分析）的能力，能够按照规定使用常用的用于测试的仪器和设备，并根据所测得的数据进行正确分析，从而得到正确的能够指引生产的结论。</w:t>
      </w:r>
    </w:p>
    <w:p>
      <w:pPr>
        <w:autoSpaceDE w:val="0"/>
        <w:autoSpaceDN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煤化工工艺操作及控制岗位主要包括化工现场工艺操作及化工主控操作两个部分。化工现场工艺操作要求能够按照操作规程进行生产岗位的操作，能够识别工艺流程图，并掌握该工艺流程。化工主控操作不仅要求熟悉掌握生产工艺的流程，还要求对于生产工艺及运行的参数非常熟悉，能够根据参数的变化及时作出调整。同时，还要求岗位从事人员能够熟练化工仪表操作及D</w:t>
      </w:r>
      <w:r>
        <w:rPr>
          <w:rFonts w:ascii="宋体" w:hAnsi="宋体"/>
          <w:color w:val="auto"/>
          <w:sz w:val="24"/>
          <w:highlight w:val="none"/>
        </w:rPr>
        <w:t>CS</w:t>
      </w:r>
      <w:r>
        <w:rPr>
          <w:rFonts w:hint="eastAsia" w:ascii="宋体" w:hAnsi="宋体"/>
          <w:color w:val="auto"/>
          <w:sz w:val="24"/>
          <w:highlight w:val="none"/>
        </w:rPr>
        <w:t>操作。</w:t>
      </w:r>
    </w:p>
    <w:p>
      <w:pPr>
        <w:autoSpaceDE w:val="0"/>
        <w:autoSpaceDN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化工设备操作与维护岗位主要包括的化工设备的操作与维护这两个部分。在化工设备进行操作时，要求熟悉各种压力容器化工设备、管道、阀门的操作，懂得化工设备的结构和工作原理，能够进行常规操作。在化工设备维护上，要求能够更换管道和设备的常见件，具有一定的实际操作能力。</w:t>
      </w:r>
    </w:p>
    <w:p>
      <w:pPr>
        <w:autoSpaceDE w:val="0"/>
        <w:autoSpaceDN w:val="0"/>
        <w:spacing w:line="360" w:lineRule="auto"/>
        <w:ind w:firstLine="480" w:firstLineChars="200"/>
        <w:rPr>
          <w:rFonts w:hint="eastAsia" w:ascii="宋体" w:hAnsi="宋体"/>
          <w:color w:val="auto"/>
          <w:sz w:val="24"/>
          <w:highlight w:val="none"/>
        </w:rPr>
      </w:pPr>
    </w:p>
    <w:p>
      <w:pPr>
        <w:autoSpaceDE w:val="0"/>
        <w:autoSpaceDN w:val="0"/>
        <w:spacing w:line="360" w:lineRule="auto"/>
        <w:ind w:firstLine="480" w:firstLineChars="200"/>
        <w:rPr>
          <w:rFonts w:hint="eastAsia" w:ascii="宋体" w:hAnsi="宋体"/>
          <w:color w:val="auto"/>
          <w:sz w:val="24"/>
          <w:highlight w:val="none"/>
        </w:rPr>
      </w:pPr>
      <w:r>
        <w:rPr>
          <w:rFonts w:ascii="宋体" w:hAnsi="宋体"/>
          <w:color w:val="auto"/>
          <w:sz w:val="24"/>
          <w:highlight w:val="none"/>
        </w:rPr>
        <mc:AlternateContent>
          <mc:Choice Requires="wpg">
            <w:drawing>
              <wp:inline distT="0" distB="0" distL="114300" distR="114300">
                <wp:extent cx="4871720" cy="3719195"/>
                <wp:effectExtent l="4445" t="4445" r="19685" b="10160"/>
                <wp:docPr id="40" name="组合 29"/>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Rot="1" noChangeAspect="1"/>
                      </wpg:cNvGrpSpPr>
                      <wpg:grpSpPr>
                        <a:xfrm>
                          <a:off x="0" y="0"/>
                          <a:ext cx="4871720" cy="3719195"/>
                          <a:chOff x="1635" y="5790"/>
                          <a:chExt cx="15336" cy="6358"/>
                        </a:xfrm>
                      </wpg:grpSpPr>
                      <wps:wsp>
                        <wps:cNvPr id="2" name="图片 30"/>
                        <wps:cNvSpPr>
                          <a:spLocks noChangeAspect="1" noTextEdit="1"/>
                        </wps:cNvSpPr>
                        <wps:spPr>
                          <a:xfrm>
                            <a:off x="1635" y="5790"/>
                            <a:ext cx="15336" cy="6358"/>
                          </a:xfrm>
                          <a:prstGeom prst="rect">
                            <a:avLst/>
                          </a:prstGeom>
                          <a:noFill/>
                          <a:ln>
                            <a:noFill/>
                          </a:ln>
                        </wps:spPr>
                        <wps:bodyPr upright="1"/>
                      </wps:wsp>
                      <wps:wsp>
                        <wps:cNvPr id="3" name="_s1224"/>
                        <wps:cNvCnPr>
                          <a:stCxn id="39" idx="0"/>
                          <a:endCxn id="26" idx="2"/>
                        </wps:cNvCnPr>
                        <wps:spPr>
                          <a:xfrm rot="-5400000">
                            <a:off x="15661" y="7846"/>
                            <a:ext cx="374" cy="1"/>
                          </a:xfrm>
                          <a:prstGeom prst="bentConnector3">
                            <a:avLst>
                              <a:gd name="adj1" fmla="val 50000"/>
                            </a:avLst>
                          </a:prstGeom>
                          <a:ln w="28575" cap="flat" cmpd="sng">
                            <a:solidFill>
                              <a:srgbClr val="000000"/>
                            </a:solidFill>
                            <a:prstDash val="solid"/>
                            <a:miter/>
                            <a:headEnd type="none" w="med" len="med"/>
                            <a:tailEnd type="none" w="med" len="med"/>
                          </a:ln>
                        </wps:spPr>
                        <wps:bodyPr/>
                      </wps:wsp>
                      <wps:wsp>
                        <wps:cNvPr id="4" name="_s1225"/>
                        <wps:cNvCnPr>
                          <a:stCxn id="38" idx="1"/>
                          <a:endCxn id="25" idx="2"/>
                        </wps:cNvCnPr>
                        <wps:spPr>
                          <a:xfrm rot="10800000">
                            <a:off x="11734" y="7660"/>
                            <a:ext cx="374" cy="1871"/>
                          </a:xfrm>
                          <a:prstGeom prst="bentConnector2">
                            <a:avLst/>
                          </a:prstGeom>
                          <a:ln w="28575" cap="flat" cmpd="sng">
                            <a:solidFill>
                              <a:srgbClr val="000000"/>
                            </a:solidFill>
                            <a:prstDash val="solid"/>
                            <a:miter/>
                            <a:headEnd type="none" w="med" len="med"/>
                            <a:tailEnd type="none" w="med" len="med"/>
                          </a:ln>
                        </wps:spPr>
                        <wps:bodyPr/>
                      </wps:wsp>
                      <wps:wsp>
                        <wps:cNvPr id="5" name="_s1226"/>
                        <wps:cNvCnPr>
                          <a:stCxn id="37" idx="1"/>
                          <a:endCxn id="25" idx="2"/>
                        </wps:cNvCnPr>
                        <wps:spPr>
                          <a:xfrm rot="10800000">
                            <a:off x="11734" y="7660"/>
                            <a:ext cx="374" cy="748"/>
                          </a:xfrm>
                          <a:prstGeom prst="bentConnector2">
                            <a:avLst/>
                          </a:prstGeom>
                          <a:ln w="28575" cap="flat" cmpd="sng">
                            <a:solidFill>
                              <a:srgbClr val="000000"/>
                            </a:solidFill>
                            <a:prstDash val="solid"/>
                            <a:miter/>
                            <a:headEnd type="none" w="med" len="med"/>
                            <a:tailEnd type="none" w="med" len="med"/>
                          </a:ln>
                        </wps:spPr>
                        <wps:bodyPr/>
                      </wps:wsp>
                      <wps:wsp>
                        <wps:cNvPr id="6" name="_s1227"/>
                        <wps:cNvCnPr>
                          <a:stCxn id="36" idx="1"/>
                          <a:endCxn id="24" idx="2"/>
                        </wps:cNvCnPr>
                        <wps:spPr>
                          <a:xfrm rot="10800000">
                            <a:off x="8745" y="7660"/>
                            <a:ext cx="372" cy="4115"/>
                          </a:xfrm>
                          <a:prstGeom prst="bentConnector2">
                            <a:avLst/>
                          </a:prstGeom>
                          <a:ln w="28575" cap="flat" cmpd="sng">
                            <a:solidFill>
                              <a:srgbClr val="000000"/>
                            </a:solidFill>
                            <a:prstDash val="solid"/>
                            <a:miter/>
                            <a:headEnd type="none" w="med" len="med"/>
                            <a:tailEnd type="none" w="med" len="med"/>
                          </a:ln>
                        </wps:spPr>
                        <wps:bodyPr/>
                      </wps:wsp>
                      <wps:wsp>
                        <wps:cNvPr id="7" name="_s1228"/>
                        <wps:cNvCnPr>
                          <a:stCxn id="35" idx="1"/>
                          <a:endCxn id="24" idx="2"/>
                        </wps:cNvCnPr>
                        <wps:spPr>
                          <a:xfrm rot="10800000">
                            <a:off x="8745" y="7660"/>
                            <a:ext cx="372" cy="2992"/>
                          </a:xfrm>
                          <a:prstGeom prst="bentConnector2">
                            <a:avLst/>
                          </a:prstGeom>
                          <a:ln w="28575" cap="flat" cmpd="sng">
                            <a:solidFill>
                              <a:srgbClr val="000000"/>
                            </a:solidFill>
                            <a:prstDash val="solid"/>
                            <a:miter/>
                            <a:headEnd type="none" w="med" len="med"/>
                            <a:tailEnd type="none" w="med" len="med"/>
                          </a:ln>
                        </wps:spPr>
                        <wps:bodyPr/>
                      </wps:wsp>
                      <wps:wsp>
                        <wps:cNvPr id="8" name="_s1229"/>
                        <wps:cNvCnPr>
                          <a:stCxn id="34" idx="1"/>
                          <a:endCxn id="24" idx="2"/>
                        </wps:cNvCnPr>
                        <wps:spPr>
                          <a:xfrm rot="10800000">
                            <a:off x="8745" y="7660"/>
                            <a:ext cx="372" cy="1871"/>
                          </a:xfrm>
                          <a:prstGeom prst="bentConnector2">
                            <a:avLst/>
                          </a:prstGeom>
                          <a:ln w="28575" cap="flat" cmpd="sng">
                            <a:solidFill>
                              <a:srgbClr val="000000"/>
                            </a:solidFill>
                            <a:prstDash val="solid"/>
                            <a:miter/>
                            <a:headEnd type="none" w="med" len="med"/>
                            <a:tailEnd type="none" w="med" len="med"/>
                          </a:ln>
                        </wps:spPr>
                        <wps:bodyPr/>
                      </wps:wsp>
                      <wps:wsp>
                        <wps:cNvPr id="9" name="_s1230"/>
                        <wps:cNvCnPr>
                          <a:stCxn id="33" idx="1"/>
                          <a:endCxn id="24" idx="2"/>
                        </wps:cNvCnPr>
                        <wps:spPr>
                          <a:xfrm rot="10800000">
                            <a:off x="8745" y="7660"/>
                            <a:ext cx="372" cy="748"/>
                          </a:xfrm>
                          <a:prstGeom prst="bentConnector2">
                            <a:avLst/>
                          </a:prstGeom>
                          <a:ln w="28575" cap="flat" cmpd="sng">
                            <a:solidFill>
                              <a:srgbClr val="000000"/>
                            </a:solidFill>
                            <a:prstDash val="solid"/>
                            <a:miter/>
                            <a:headEnd type="none" w="med" len="med"/>
                            <a:tailEnd type="none" w="med" len="med"/>
                          </a:ln>
                        </wps:spPr>
                        <wps:bodyPr/>
                      </wps:wsp>
                      <wps:wsp>
                        <wps:cNvPr id="10" name="_s1231"/>
                        <wps:cNvCnPr>
                          <a:stCxn id="32" idx="1"/>
                          <a:endCxn id="23" idx="2"/>
                        </wps:cNvCnPr>
                        <wps:spPr>
                          <a:xfrm rot="10800000">
                            <a:off x="5750" y="7660"/>
                            <a:ext cx="374" cy="2992"/>
                          </a:xfrm>
                          <a:prstGeom prst="bentConnector2">
                            <a:avLst/>
                          </a:prstGeom>
                          <a:ln w="28575" cap="flat" cmpd="sng">
                            <a:solidFill>
                              <a:srgbClr val="000000"/>
                            </a:solidFill>
                            <a:prstDash val="solid"/>
                            <a:miter/>
                            <a:headEnd type="none" w="med" len="med"/>
                            <a:tailEnd type="none" w="med" len="med"/>
                          </a:ln>
                        </wps:spPr>
                        <wps:bodyPr/>
                      </wps:wsp>
                      <wps:wsp>
                        <wps:cNvPr id="11" name="_s1232"/>
                        <wps:cNvCnPr>
                          <a:stCxn id="31" idx="1"/>
                          <a:endCxn id="23" idx="2"/>
                        </wps:cNvCnPr>
                        <wps:spPr>
                          <a:xfrm rot="10800000">
                            <a:off x="5750" y="7660"/>
                            <a:ext cx="374" cy="1871"/>
                          </a:xfrm>
                          <a:prstGeom prst="bentConnector2">
                            <a:avLst/>
                          </a:prstGeom>
                          <a:ln w="28575" cap="flat" cmpd="sng">
                            <a:solidFill>
                              <a:srgbClr val="000000"/>
                            </a:solidFill>
                            <a:prstDash val="solid"/>
                            <a:miter/>
                            <a:headEnd type="none" w="med" len="med"/>
                            <a:tailEnd type="none" w="med" len="med"/>
                          </a:ln>
                        </wps:spPr>
                        <wps:bodyPr/>
                      </wps:wsp>
                      <wps:wsp>
                        <wps:cNvPr id="12" name="_s1233"/>
                        <wps:cNvCnPr>
                          <a:stCxn id="30" idx="1"/>
                          <a:endCxn id="23" idx="2"/>
                        </wps:cNvCnPr>
                        <wps:spPr>
                          <a:xfrm rot="10800000">
                            <a:off x="5750" y="7660"/>
                            <a:ext cx="374" cy="748"/>
                          </a:xfrm>
                          <a:prstGeom prst="bentConnector2">
                            <a:avLst/>
                          </a:prstGeom>
                          <a:ln w="28575" cap="flat" cmpd="sng">
                            <a:solidFill>
                              <a:srgbClr val="000000"/>
                            </a:solidFill>
                            <a:prstDash val="solid"/>
                            <a:miter/>
                            <a:headEnd type="none" w="med" len="med"/>
                            <a:tailEnd type="none" w="med" len="med"/>
                          </a:ln>
                        </wps:spPr>
                        <wps:bodyPr/>
                      </wps:wsp>
                      <wps:wsp>
                        <wps:cNvPr id="13" name="_s1234"/>
                        <wps:cNvCnPr>
                          <a:stCxn id="29" idx="1"/>
                          <a:endCxn id="22" idx="2"/>
                        </wps:cNvCnPr>
                        <wps:spPr>
                          <a:xfrm rot="10800000">
                            <a:off x="2758" y="7660"/>
                            <a:ext cx="373" cy="2992"/>
                          </a:xfrm>
                          <a:prstGeom prst="bentConnector2">
                            <a:avLst/>
                          </a:prstGeom>
                          <a:ln w="28575" cap="flat" cmpd="sng">
                            <a:solidFill>
                              <a:srgbClr val="000000"/>
                            </a:solidFill>
                            <a:prstDash val="solid"/>
                            <a:miter/>
                            <a:headEnd type="none" w="med" len="med"/>
                            <a:tailEnd type="none" w="med" len="med"/>
                          </a:ln>
                        </wps:spPr>
                        <wps:bodyPr/>
                      </wps:wsp>
                      <wps:wsp>
                        <wps:cNvPr id="14" name="_s1235"/>
                        <wps:cNvCnPr>
                          <a:stCxn id="28" idx="1"/>
                          <a:endCxn id="22" idx="2"/>
                        </wps:cNvCnPr>
                        <wps:spPr>
                          <a:xfrm rot="10800000">
                            <a:off x="2758" y="7660"/>
                            <a:ext cx="373" cy="1871"/>
                          </a:xfrm>
                          <a:prstGeom prst="bentConnector2">
                            <a:avLst/>
                          </a:prstGeom>
                          <a:ln w="28575" cap="flat" cmpd="sng">
                            <a:solidFill>
                              <a:srgbClr val="000000"/>
                            </a:solidFill>
                            <a:prstDash val="solid"/>
                            <a:miter/>
                            <a:headEnd type="none" w="med" len="med"/>
                            <a:tailEnd type="none" w="med" len="med"/>
                          </a:ln>
                        </wps:spPr>
                        <wps:bodyPr/>
                      </wps:wsp>
                      <wps:wsp>
                        <wps:cNvPr id="15" name="_s1236"/>
                        <wps:cNvCnPr>
                          <a:stCxn id="27" idx="1"/>
                          <a:endCxn id="22" idx="2"/>
                        </wps:cNvCnPr>
                        <wps:spPr>
                          <a:xfrm rot="10800000">
                            <a:off x="2758" y="7660"/>
                            <a:ext cx="373" cy="748"/>
                          </a:xfrm>
                          <a:prstGeom prst="bentConnector2">
                            <a:avLst/>
                          </a:prstGeom>
                          <a:ln w="28575" cap="flat" cmpd="sng">
                            <a:solidFill>
                              <a:srgbClr val="000000"/>
                            </a:solidFill>
                            <a:prstDash val="solid"/>
                            <a:miter/>
                            <a:headEnd type="none" w="med" len="med"/>
                            <a:tailEnd type="none" w="med" len="med"/>
                          </a:ln>
                        </wps:spPr>
                        <wps:bodyPr/>
                      </wps:wsp>
                      <wps:wsp>
                        <wps:cNvPr id="16" name="_s1237"/>
                        <wps:cNvCnPr>
                          <a:stCxn id="26" idx="0"/>
                          <a:endCxn id="21" idx="2"/>
                        </wps:cNvCnPr>
                        <wps:spPr>
                          <a:xfrm rot="5400000" flipH="1">
                            <a:off x="12390" y="3452"/>
                            <a:ext cx="374" cy="6545"/>
                          </a:xfrm>
                          <a:prstGeom prst="bentConnector3">
                            <a:avLst>
                              <a:gd name="adj1" fmla="val 50144"/>
                            </a:avLst>
                          </a:prstGeom>
                          <a:ln w="28575" cap="flat" cmpd="sng">
                            <a:solidFill>
                              <a:srgbClr val="000000"/>
                            </a:solidFill>
                            <a:prstDash val="solid"/>
                            <a:miter/>
                            <a:headEnd type="none" w="med" len="med"/>
                            <a:tailEnd type="none" w="med" len="med"/>
                          </a:ln>
                        </wps:spPr>
                        <wps:bodyPr/>
                      </wps:wsp>
                      <wps:wsp>
                        <wps:cNvPr id="17" name="_s1238"/>
                        <wps:cNvCnPr>
                          <a:stCxn id="25" idx="0"/>
                          <a:endCxn id="21" idx="2"/>
                        </wps:cNvCnPr>
                        <wps:spPr>
                          <a:xfrm rot="5400000" flipH="1">
                            <a:off x="10332" y="5510"/>
                            <a:ext cx="374" cy="2429"/>
                          </a:xfrm>
                          <a:prstGeom prst="bentConnector3">
                            <a:avLst>
                              <a:gd name="adj1" fmla="val 50144"/>
                            </a:avLst>
                          </a:prstGeom>
                          <a:ln w="28575" cap="flat" cmpd="sng">
                            <a:solidFill>
                              <a:srgbClr val="000000"/>
                            </a:solidFill>
                            <a:prstDash val="solid"/>
                            <a:miter/>
                            <a:headEnd type="none" w="med" len="med"/>
                            <a:tailEnd type="none" w="med" len="med"/>
                          </a:ln>
                        </wps:spPr>
                        <wps:bodyPr/>
                      </wps:wsp>
                      <wps:wsp>
                        <wps:cNvPr id="18" name="_s1239"/>
                        <wps:cNvCnPr>
                          <a:stCxn id="24" idx="0"/>
                          <a:endCxn id="21" idx="2"/>
                        </wps:cNvCnPr>
                        <wps:spPr>
                          <a:xfrm rot="-5400000">
                            <a:off x="8838" y="6445"/>
                            <a:ext cx="374" cy="560"/>
                          </a:xfrm>
                          <a:prstGeom prst="bentConnector3">
                            <a:avLst>
                              <a:gd name="adj1" fmla="val 50144"/>
                            </a:avLst>
                          </a:prstGeom>
                          <a:ln w="28575" cap="flat" cmpd="sng">
                            <a:solidFill>
                              <a:srgbClr val="000000"/>
                            </a:solidFill>
                            <a:prstDash val="solid"/>
                            <a:miter/>
                            <a:headEnd type="none" w="med" len="med"/>
                            <a:tailEnd type="none" w="med" len="med"/>
                          </a:ln>
                        </wps:spPr>
                        <wps:bodyPr/>
                      </wps:wsp>
                      <wps:wsp>
                        <wps:cNvPr id="19" name="_s1240"/>
                        <wps:cNvCnPr>
                          <a:stCxn id="23" idx="0"/>
                          <a:endCxn id="21" idx="2"/>
                        </wps:cNvCnPr>
                        <wps:spPr>
                          <a:xfrm rot="-5400000">
                            <a:off x="7341" y="4948"/>
                            <a:ext cx="374" cy="3554"/>
                          </a:xfrm>
                          <a:prstGeom prst="bentConnector3">
                            <a:avLst>
                              <a:gd name="adj1" fmla="val 50144"/>
                            </a:avLst>
                          </a:prstGeom>
                          <a:ln w="28575" cap="flat" cmpd="sng">
                            <a:solidFill>
                              <a:srgbClr val="000000"/>
                            </a:solidFill>
                            <a:prstDash val="solid"/>
                            <a:miter/>
                            <a:headEnd type="none" w="med" len="med"/>
                            <a:tailEnd type="none" w="med" len="med"/>
                          </a:ln>
                        </wps:spPr>
                        <wps:bodyPr/>
                      </wps:wsp>
                      <wps:wsp>
                        <wps:cNvPr id="20" name="_s1241"/>
                        <wps:cNvCnPr>
                          <a:stCxn id="22" idx="0"/>
                          <a:endCxn id="21" idx="2"/>
                        </wps:cNvCnPr>
                        <wps:spPr>
                          <a:xfrm rot="-5400000">
                            <a:off x="5844" y="3451"/>
                            <a:ext cx="374" cy="6547"/>
                          </a:xfrm>
                          <a:prstGeom prst="bentConnector3">
                            <a:avLst>
                              <a:gd name="adj1" fmla="val 50144"/>
                            </a:avLst>
                          </a:prstGeom>
                          <a:ln w="28575" cap="flat" cmpd="sng">
                            <a:solidFill>
                              <a:srgbClr val="000000"/>
                            </a:solidFill>
                            <a:prstDash val="solid"/>
                            <a:miter/>
                            <a:headEnd type="none" w="med" len="med"/>
                            <a:tailEnd type="none" w="med" len="med"/>
                          </a:ln>
                        </wps:spPr>
                        <wps:bodyPr/>
                      </wps:wsp>
                      <wps:wsp>
                        <wps:cNvPr id="21" name="_s1242"/>
                        <wps:cNvSpPr/>
                        <wps:spPr>
                          <a:xfrm>
                            <a:off x="8181" y="5790"/>
                            <a:ext cx="2245" cy="748"/>
                          </a:xfrm>
                          <a:prstGeom prst="roundRect">
                            <a:avLst>
                              <a:gd name="adj" fmla="val 16667"/>
                            </a:avLst>
                          </a:prstGeom>
                          <a:noFill/>
                          <a:ln w="9525" cap="flat" cmpd="sng">
                            <a:solidFill>
                              <a:srgbClr val="000000"/>
                            </a:solidFill>
                            <a:prstDash val="solid"/>
                            <a:headEnd type="none" w="med" len="med"/>
                            <a:tailEnd type="none" w="med" len="med"/>
                          </a:ln>
                        </wps:spPr>
                        <wps:txbx>
                          <w:txbxContent>
                            <w:p>
                              <w:pPr>
                                <w:jc w:val="center"/>
                                <w:rPr>
                                  <w:sz w:val="18"/>
                                  <w:szCs w:val="21"/>
                                </w:rPr>
                              </w:pPr>
                              <w:r>
                                <w:rPr>
                                  <w:rFonts w:hint="eastAsia"/>
                                  <w:sz w:val="18"/>
                                  <w:szCs w:val="21"/>
                                </w:rPr>
                                <w:t>岗位职能</w:t>
                              </w:r>
                            </w:p>
                          </w:txbxContent>
                        </wps:txbx>
                        <wps:bodyPr lIns="0" tIns="0" rIns="0" bIns="0" anchor="ctr" upright="1"/>
                      </wps:wsp>
                      <wps:wsp>
                        <wps:cNvPr id="22" name="_s1243"/>
                        <wps:cNvSpPr/>
                        <wps:spPr>
                          <a:xfrm>
                            <a:off x="1635" y="6912"/>
                            <a:ext cx="2245" cy="748"/>
                          </a:xfrm>
                          <a:prstGeom prst="roundRect">
                            <a:avLst>
                              <a:gd name="adj" fmla="val 16667"/>
                            </a:avLst>
                          </a:prstGeom>
                          <a:noFill/>
                          <a:ln w="9525" cap="flat" cmpd="sng">
                            <a:solidFill>
                              <a:srgbClr val="000000"/>
                            </a:solidFill>
                            <a:prstDash val="solid"/>
                            <a:headEnd type="none" w="med" len="med"/>
                            <a:tailEnd type="none" w="med" len="med"/>
                          </a:ln>
                        </wps:spPr>
                        <wps:txbx>
                          <w:txbxContent>
                            <w:p>
                              <w:pPr>
                                <w:jc w:val="center"/>
                                <w:rPr>
                                  <w:sz w:val="18"/>
                                  <w:szCs w:val="21"/>
                                </w:rPr>
                              </w:pPr>
                              <w:r>
                                <w:rPr>
                                  <w:rFonts w:hint="eastAsia"/>
                                  <w:sz w:val="18"/>
                                  <w:szCs w:val="21"/>
                                </w:rPr>
                                <w:t>化工产品质量检验</w:t>
                              </w:r>
                            </w:p>
                          </w:txbxContent>
                        </wps:txbx>
                        <wps:bodyPr lIns="0" tIns="0" rIns="0" bIns="0" anchor="ctr" upright="1"/>
                      </wps:wsp>
                      <wps:wsp>
                        <wps:cNvPr id="23" name="_s1244"/>
                        <wps:cNvSpPr/>
                        <wps:spPr>
                          <a:xfrm>
                            <a:off x="4628" y="6912"/>
                            <a:ext cx="2245" cy="748"/>
                          </a:xfrm>
                          <a:prstGeom prst="roundRect">
                            <a:avLst>
                              <a:gd name="adj" fmla="val 16667"/>
                            </a:avLst>
                          </a:prstGeom>
                          <a:noFill/>
                          <a:ln w="9525" cap="flat" cmpd="sng">
                            <a:solidFill>
                              <a:srgbClr val="000000"/>
                            </a:solidFill>
                            <a:prstDash val="solid"/>
                            <a:headEnd type="none" w="med" len="med"/>
                            <a:tailEnd type="none" w="med" len="med"/>
                          </a:ln>
                        </wps:spPr>
                        <wps:txbx>
                          <w:txbxContent>
                            <w:p>
                              <w:pPr>
                                <w:jc w:val="center"/>
                                <w:rPr>
                                  <w:sz w:val="18"/>
                                  <w:szCs w:val="21"/>
                                </w:rPr>
                              </w:pPr>
                              <w:r>
                                <w:rPr>
                                  <w:rFonts w:hint="eastAsia"/>
                                  <w:sz w:val="18"/>
                                  <w:szCs w:val="21"/>
                                </w:rPr>
                                <w:t>化工现场工艺操作</w:t>
                              </w:r>
                            </w:p>
                          </w:txbxContent>
                        </wps:txbx>
                        <wps:bodyPr lIns="0" tIns="0" rIns="0" bIns="0" anchor="ctr" upright="1"/>
                      </wps:wsp>
                      <wps:wsp>
                        <wps:cNvPr id="24" name="_s1245"/>
                        <wps:cNvSpPr/>
                        <wps:spPr>
                          <a:xfrm>
                            <a:off x="7621" y="6912"/>
                            <a:ext cx="2245" cy="748"/>
                          </a:xfrm>
                          <a:prstGeom prst="roundRect">
                            <a:avLst>
                              <a:gd name="adj" fmla="val 16667"/>
                            </a:avLst>
                          </a:prstGeom>
                          <a:noFill/>
                          <a:ln w="9525" cap="flat" cmpd="sng">
                            <a:solidFill>
                              <a:srgbClr val="000000"/>
                            </a:solidFill>
                            <a:prstDash val="solid"/>
                            <a:headEnd type="none" w="med" len="med"/>
                            <a:tailEnd type="none" w="med" len="med"/>
                          </a:ln>
                        </wps:spPr>
                        <wps:txbx>
                          <w:txbxContent>
                            <w:p>
                              <w:pPr>
                                <w:jc w:val="center"/>
                                <w:rPr>
                                  <w:sz w:val="18"/>
                                  <w:szCs w:val="21"/>
                                </w:rPr>
                              </w:pPr>
                              <w:r>
                                <w:rPr>
                                  <w:rFonts w:hint="eastAsia"/>
                                  <w:sz w:val="18"/>
                                  <w:szCs w:val="21"/>
                                </w:rPr>
                                <w:t>化工主控操作</w:t>
                              </w:r>
                            </w:p>
                          </w:txbxContent>
                        </wps:txbx>
                        <wps:bodyPr lIns="0" tIns="0" rIns="0" bIns="0" anchor="ctr" upright="1"/>
                      </wps:wsp>
                      <wps:wsp>
                        <wps:cNvPr id="25" name="_s1246"/>
                        <wps:cNvSpPr/>
                        <wps:spPr>
                          <a:xfrm>
                            <a:off x="10612" y="6912"/>
                            <a:ext cx="2244" cy="748"/>
                          </a:xfrm>
                          <a:prstGeom prst="roundRect">
                            <a:avLst>
                              <a:gd name="adj" fmla="val 16667"/>
                            </a:avLst>
                          </a:prstGeom>
                          <a:noFill/>
                          <a:ln w="9525" cap="flat" cmpd="sng">
                            <a:solidFill>
                              <a:srgbClr val="000000"/>
                            </a:solidFill>
                            <a:prstDash val="solid"/>
                            <a:headEnd type="none" w="med" len="med"/>
                            <a:tailEnd type="none" w="med" len="med"/>
                          </a:ln>
                        </wps:spPr>
                        <wps:txbx>
                          <w:txbxContent>
                            <w:p>
                              <w:pPr>
                                <w:jc w:val="center"/>
                                <w:rPr>
                                  <w:sz w:val="18"/>
                                  <w:szCs w:val="21"/>
                                </w:rPr>
                              </w:pPr>
                              <w:r>
                                <w:rPr>
                                  <w:rFonts w:hint="eastAsia"/>
                                  <w:sz w:val="18"/>
                                  <w:szCs w:val="21"/>
                                </w:rPr>
                                <w:t>化工设备操作</w:t>
                              </w:r>
                            </w:p>
                          </w:txbxContent>
                        </wps:txbx>
                        <wps:bodyPr lIns="0" tIns="0" rIns="0" bIns="0" anchor="ctr" upright="1"/>
                      </wps:wsp>
                      <wps:wsp>
                        <wps:cNvPr id="26" name="_s1247"/>
                        <wps:cNvSpPr/>
                        <wps:spPr>
                          <a:xfrm>
                            <a:off x="14726" y="6912"/>
                            <a:ext cx="2245" cy="748"/>
                          </a:xfrm>
                          <a:prstGeom prst="roundRect">
                            <a:avLst>
                              <a:gd name="adj" fmla="val 16667"/>
                            </a:avLst>
                          </a:prstGeom>
                          <a:noFill/>
                          <a:ln w="9525" cap="flat" cmpd="sng">
                            <a:solidFill>
                              <a:srgbClr val="000000"/>
                            </a:solidFill>
                            <a:prstDash val="solid"/>
                            <a:headEnd type="none" w="med" len="med"/>
                            <a:tailEnd type="none" w="med" len="med"/>
                          </a:ln>
                        </wps:spPr>
                        <wps:txbx>
                          <w:txbxContent>
                            <w:p>
                              <w:pPr>
                                <w:jc w:val="center"/>
                                <w:rPr>
                                  <w:sz w:val="18"/>
                                  <w:szCs w:val="21"/>
                                </w:rPr>
                              </w:pPr>
                              <w:r>
                                <w:rPr>
                                  <w:rFonts w:hint="eastAsia"/>
                                  <w:sz w:val="18"/>
                                  <w:szCs w:val="21"/>
                                </w:rPr>
                                <w:t>化工设备维护</w:t>
                              </w:r>
                            </w:p>
                          </w:txbxContent>
                        </wps:txbx>
                        <wps:bodyPr lIns="0" tIns="0" rIns="0" bIns="0" anchor="ctr" upright="1"/>
                      </wps:wsp>
                      <wps:wsp>
                        <wps:cNvPr id="27" name="_s1248"/>
                        <wps:cNvSpPr/>
                        <wps:spPr>
                          <a:xfrm>
                            <a:off x="3131" y="8034"/>
                            <a:ext cx="2245" cy="748"/>
                          </a:xfrm>
                          <a:prstGeom prst="roundRect">
                            <a:avLst>
                              <a:gd name="adj" fmla="val 16667"/>
                            </a:avLst>
                          </a:prstGeom>
                          <a:noFill/>
                          <a:ln w="9525" cap="flat" cmpd="sng">
                            <a:solidFill>
                              <a:srgbClr val="000000"/>
                            </a:solidFill>
                            <a:prstDash val="solid"/>
                            <a:headEnd type="none" w="med" len="med"/>
                            <a:tailEnd type="none" w="med" len="med"/>
                          </a:ln>
                        </wps:spPr>
                        <wps:txbx>
                          <w:txbxContent>
                            <w:p>
                              <w:pPr>
                                <w:jc w:val="center"/>
                                <w:rPr>
                                  <w:sz w:val="18"/>
                                  <w:szCs w:val="21"/>
                                </w:rPr>
                              </w:pPr>
                              <w:r>
                                <w:rPr>
                                  <w:rFonts w:hint="eastAsia"/>
                                  <w:sz w:val="18"/>
                                  <w:szCs w:val="21"/>
                                </w:rPr>
                                <w:t>化学分析检验</w:t>
                              </w:r>
                            </w:p>
                          </w:txbxContent>
                        </wps:txbx>
                        <wps:bodyPr lIns="0" tIns="0" rIns="0" bIns="0" anchor="ctr" upright="1"/>
                      </wps:wsp>
                      <wps:wsp>
                        <wps:cNvPr id="28" name="_s1249"/>
                        <wps:cNvSpPr/>
                        <wps:spPr>
                          <a:xfrm>
                            <a:off x="3131" y="9156"/>
                            <a:ext cx="2245" cy="748"/>
                          </a:xfrm>
                          <a:prstGeom prst="roundRect">
                            <a:avLst>
                              <a:gd name="adj" fmla="val 16667"/>
                            </a:avLst>
                          </a:prstGeom>
                          <a:noFill/>
                          <a:ln w="9525" cap="flat" cmpd="sng">
                            <a:solidFill>
                              <a:srgbClr val="000000"/>
                            </a:solidFill>
                            <a:prstDash val="solid"/>
                            <a:headEnd type="none" w="med" len="med"/>
                            <a:tailEnd type="none" w="med" len="med"/>
                          </a:ln>
                        </wps:spPr>
                        <wps:txbx>
                          <w:txbxContent>
                            <w:p>
                              <w:pPr>
                                <w:jc w:val="center"/>
                                <w:rPr>
                                  <w:rFonts w:hint="eastAsia"/>
                                  <w:sz w:val="18"/>
                                  <w:szCs w:val="21"/>
                                </w:rPr>
                              </w:pPr>
                              <w:r>
                                <w:rPr>
                                  <w:rFonts w:hint="eastAsia"/>
                                  <w:sz w:val="18"/>
                                  <w:szCs w:val="21"/>
                                </w:rPr>
                                <w:t>使用仪器</w:t>
                              </w:r>
                            </w:p>
                          </w:txbxContent>
                        </wps:txbx>
                        <wps:bodyPr lIns="0" tIns="0" rIns="0" bIns="0" anchor="ctr" upright="1"/>
                      </wps:wsp>
                      <wps:wsp>
                        <wps:cNvPr id="29" name="_s1250"/>
                        <wps:cNvSpPr/>
                        <wps:spPr>
                          <a:xfrm>
                            <a:off x="3131" y="10278"/>
                            <a:ext cx="2245" cy="748"/>
                          </a:xfrm>
                          <a:prstGeom prst="roundRect">
                            <a:avLst>
                              <a:gd name="adj" fmla="val 16667"/>
                            </a:avLst>
                          </a:prstGeom>
                          <a:noFill/>
                          <a:ln w="9525" cap="flat" cmpd="sng">
                            <a:solidFill>
                              <a:srgbClr val="000000"/>
                            </a:solidFill>
                            <a:prstDash val="solid"/>
                            <a:headEnd type="none" w="med" len="med"/>
                            <a:tailEnd type="none" w="med" len="med"/>
                          </a:ln>
                        </wps:spPr>
                        <wps:txbx>
                          <w:txbxContent>
                            <w:p>
                              <w:pPr>
                                <w:jc w:val="center"/>
                                <w:rPr>
                                  <w:sz w:val="18"/>
                                  <w:szCs w:val="21"/>
                                </w:rPr>
                              </w:pPr>
                              <w:r>
                                <w:rPr>
                                  <w:rFonts w:hint="eastAsia"/>
                                  <w:sz w:val="18"/>
                                  <w:szCs w:val="21"/>
                                </w:rPr>
                                <w:t>数据分析</w:t>
                              </w:r>
                            </w:p>
                          </w:txbxContent>
                        </wps:txbx>
                        <wps:bodyPr lIns="0" tIns="0" rIns="0" bIns="0" anchor="ctr" upright="1"/>
                      </wps:wsp>
                      <wps:wsp>
                        <wps:cNvPr id="30" name="_s1251"/>
                        <wps:cNvSpPr/>
                        <wps:spPr>
                          <a:xfrm>
                            <a:off x="6124" y="8034"/>
                            <a:ext cx="2244" cy="748"/>
                          </a:xfrm>
                          <a:prstGeom prst="roundRect">
                            <a:avLst>
                              <a:gd name="adj" fmla="val 16667"/>
                            </a:avLst>
                          </a:prstGeom>
                          <a:noFill/>
                          <a:ln w="9525" cap="flat" cmpd="sng">
                            <a:solidFill>
                              <a:srgbClr val="000000"/>
                            </a:solidFill>
                            <a:prstDash val="solid"/>
                            <a:headEnd type="none" w="med" len="med"/>
                            <a:tailEnd type="none" w="med" len="med"/>
                          </a:ln>
                        </wps:spPr>
                        <wps:txbx>
                          <w:txbxContent>
                            <w:p>
                              <w:pPr>
                                <w:jc w:val="center"/>
                                <w:rPr>
                                  <w:sz w:val="18"/>
                                  <w:szCs w:val="21"/>
                                </w:rPr>
                              </w:pPr>
                              <w:r>
                                <w:rPr>
                                  <w:rFonts w:hint="eastAsia"/>
                                  <w:sz w:val="18"/>
                                  <w:szCs w:val="21"/>
                                </w:rPr>
                                <w:t>进行岗位操作</w:t>
                              </w:r>
                            </w:p>
                          </w:txbxContent>
                        </wps:txbx>
                        <wps:bodyPr lIns="0" tIns="0" rIns="0" bIns="0" anchor="ctr" upright="1"/>
                      </wps:wsp>
                      <wps:wsp>
                        <wps:cNvPr id="31" name="_s1252"/>
                        <wps:cNvSpPr/>
                        <wps:spPr>
                          <a:xfrm>
                            <a:off x="6124" y="9156"/>
                            <a:ext cx="2245" cy="748"/>
                          </a:xfrm>
                          <a:prstGeom prst="roundRect">
                            <a:avLst>
                              <a:gd name="adj" fmla="val 16667"/>
                            </a:avLst>
                          </a:prstGeom>
                          <a:noFill/>
                          <a:ln w="9525" cap="flat" cmpd="sng">
                            <a:solidFill>
                              <a:srgbClr val="000000"/>
                            </a:solidFill>
                            <a:prstDash val="solid"/>
                            <a:headEnd type="none" w="med" len="med"/>
                            <a:tailEnd type="none" w="med" len="med"/>
                          </a:ln>
                        </wps:spPr>
                        <wps:txbx>
                          <w:txbxContent>
                            <w:p>
                              <w:pPr>
                                <w:jc w:val="center"/>
                                <w:rPr>
                                  <w:sz w:val="18"/>
                                  <w:szCs w:val="21"/>
                                </w:rPr>
                              </w:pPr>
                              <w:r>
                                <w:rPr>
                                  <w:rFonts w:hint="eastAsia"/>
                                  <w:sz w:val="18"/>
                                  <w:szCs w:val="21"/>
                                </w:rPr>
                                <w:t>识别工艺图</w:t>
                              </w:r>
                            </w:p>
                          </w:txbxContent>
                        </wps:txbx>
                        <wps:bodyPr lIns="0" tIns="0" rIns="0" bIns="0" anchor="ctr" upright="1"/>
                      </wps:wsp>
                      <wps:wsp>
                        <wps:cNvPr id="32" name="_s1253"/>
                        <wps:cNvSpPr/>
                        <wps:spPr>
                          <a:xfrm>
                            <a:off x="6124" y="10278"/>
                            <a:ext cx="2244" cy="748"/>
                          </a:xfrm>
                          <a:prstGeom prst="roundRect">
                            <a:avLst>
                              <a:gd name="adj" fmla="val 16667"/>
                            </a:avLst>
                          </a:prstGeom>
                          <a:noFill/>
                          <a:ln w="9525" cap="flat" cmpd="sng">
                            <a:solidFill>
                              <a:srgbClr val="000000"/>
                            </a:solidFill>
                            <a:prstDash val="solid"/>
                            <a:headEnd type="none" w="med" len="med"/>
                            <a:tailEnd type="none" w="med" len="med"/>
                          </a:ln>
                        </wps:spPr>
                        <wps:txbx>
                          <w:txbxContent>
                            <w:p>
                              <w:pPr>
                                <w:jc w:val="center"/>
                                <w:rPr>
                                  <w:sz w:val="18"/>
                                  <w:szCs w:val="21"/>
                                </w:rPr>
                              </w:pPr>
                              <w:r>
                                <w:rPr>
                                  <w:rFonts w:hint="eastAsia"/>
                                  <w:sz w:val="18"/>
                                  <w:szCs w:val="21"/>
                                </w:rPr>
                                <w:t>熟悉工艺流程</w:t>
                              </w:r>
                            </w:p>
                          </w:txbxContent>
                        </wps:txbx>
                        <wps:bodyPr lIns="0" tIns="0" rIns="0" bIns="0" anchor="ctr" upright="1"/>
                      </wps:wsp>
                      <wps:wsp>
                        <wps:cNvPr id="33" name="_s1254"/>
                        <wps:cNvSpPr/>
                        <wps:spPr>
                          <a:xfrm>
                            <a:off x="9117" y="8034"/>
                            <a:ext cx="2243" cy="748"/>
                          </a:xfrm>
                          <a:prstGeom prst="roundRect">
                            <a:avLst>
                              <a:gd name="adj" fmla="val 16667"/>
                            </a:avLst>
                          </a:prstGeom>
                          <a:noFill/>
                          <a:ln w="9525" cap="flat" cmpd="sng">
                            <a:solidFill>
                              <a:srgbClr val="000000"/>
                            </a:solidFill>
                            <a:prstDash val="solid"/>
                            <a:headEnd type="none" w="med" len="med"/>
                            <a:tailEnd type="none" w="med" len="med"/>
                          </a:ln>
                        </wps:spPr>
                        <wps:txbx>
                          <w:txbxContent>
                            <w:p>
                              <w:pPr>
                                <w:jc w:val="center"/>
                                <w:rPr>
                                  <w:sz w:val="18"/>
                                  <w:szCs w:val="21"/>
                                </w:rPr>
                              </w:pPr>
                              <w:r>
                                <w:rPr>
                                  <w:rFonts w:hint="eastAsia"/>
                                  <w:sz w:val="18"/>
                                  <w:szCs w:val="21"/>
                                </w:rPr>
                                <w:t>熟悉工艺流程</w:t>
                              </w:r>
                            </w:p>
                          </w:txbxContent>
                        </wps:txbx>
                        <wps:bodyPr lIns="0" tIns="0" rIns="0" bIns="0" anchor="ctr" upright="1"/>
                      </wps:wsp>
                      <wps:wsp>
                        <wps:cNvPr id="34" name="_s1255"/>
                        <wps:cNvSpPr/>
                        <wps:spPr>
                          <a:xfrm>
                            <a:off x="9117" y="9156"/>
                            <a:ext cx="2243" cy="748"/>
                          </a:xfrm>
                          <a:prstGeom prst="roundRect">
                            <a:avLst>
                              <a:gd name="adj" fmla="val 16667"/>
                            </a:avLst>
                          </a:prstGeom>
                          <a:noFill/>
                          <a:ln w="9525" cap="flat" cmpd="sng">
                            <a:solidFill>
                              <a:srgbClr val="000000"/>
                            </a:solidFill>
                            <a:prstDash val="solid"/>
                            <a:headEnd type="none" w="med" len="med"/>
                            <a:tailEnd type="none" w="med" len="med"/>
                          </a:ln>
                        </wps:spPr>
                        <wps:txbx>
                          <w:txbxContent>
                            <w:p>
                              <w:pPr>
                                <w:jc w:val="center"/>
                                <w:rPr>
                                  <w:sz w:val="18"/>
                                  <w:szCs w:val="21"/>
                                </w:rPr>
                              </w:pPr>
                              <w:r>
                                <w:rPr>
                                  <w:rFonts w:hint="eastAsia"/>
                                  <w:sz w:val="18"/>
                                  <w:szCs w:val="21"/>
                                </w:rPr>
                                <w:t>熟悉运行参数</w:t>
                              </w:r>
                            </w:p>
                          </w:txbxContent>
                        </wps:txbx>
                        <wps:bodyPr lIns="0" tIns="0" rIns="0" bIns="0" anchor="ctr" upright="1"/>
                      </wps:wsp>
                      <wps:wsp>
                        <wps:cNvPr id="35" name="_s1256"/>
                        <wps:cNvSpPr/>
                        <wps:spPr>
                          <a:xfrm>
                            <a:off x="9117" y="10278"/>
                            <a:ext cx="2243" cy="748"/>
                          </a:xfrm>
                          <a:prstGeom prst="roundRect">
                            <a:avLst>
                              <a:gd name="adj" fmla="val 16667"/>
                            </a:avLst>
                          </a:prstGeom>
                          <a:noFill/>
                          <a:ln w="9525" cap="flat" cmpd="sng">
                            <a:solidFill>
                              <a:srgbClr val="000000"/>
                            </a:solidFill>
                            <a:prstDash val="solid"/>
                            <a:headEnd type="none" w="med" len="med"/>
                            <a:tailEnd type="none" w="med" len="med"/>
                          </a:ln>
                        </wps:spPr>
                        <wps:txbx>
                          <w:txbxContent>
                            <w:p>
                              <w:pPr>
                                <w:jc w:val="center"/>
                                <w:rPr>
                                  <w:sz w:val="18"/>
                                  <w:szCs w:val="21"/>
                                </w:rPr>
                              </w:pPr>
                              <w:r>
                                <w:rPr>
                                  <w:rFonts w:hint="eastAsia"/>
                                  <w:sz w:val="18"/>
                                  <w:szCs w:val="21"/>
                                </w:rPr>
                                <w:t>熟悉仪表操作</w:t>
                              </w:r>
                            </w:p>
                          </w:txbxContent>
                        </wps:txbx>
                        <wps:bodyPr lIns="0" tIns="0" rIns="0" bIns="0" anchor="ctr" upright="1"/>
                      </wps:wsp>
                      <wps:wsp>
                        <wps:cNvPr id="36" name="_s1257"/>
                        <wps:cNvSpPr/>
                        <wps:spPr>
                          <a:xfrm>
                            <a:off x="9117" y="11400"/>
                            <a:ext cx="2245" cy="748"/>
                          </a:xfrm>
                          <a:prstGeom prst="roundRect">
                            <a:avLst>
                              <a:gd name="adj" fmla="val 16667"/>
                            </a:avLst>
                          </a:prstGeom>
                          <a:noFill/>
                          <a:ln w="9525" cap="flat" cmpd="sng">
                            <a:solidFill>
                              <a:srgbClr val="000000"/>
                            </a:solidFill>
                            <a:prstDash val="solid"/>
                            <a:headEnd type="none" w="med" len="med"/>
                            <a:tailEnd type="none" w="med" len="med"/>
                          </a:ln>
                        </wps:spPr>
                        <wps:txbx>
                          <w:txbxContent>
                            <w:p>
                              <w:pPr>
                                <w:jc w:val="center"/>
                                <w:rPr>
                                  <w:rFonts w:hint="eastAsia"/>
                                  <w:sz w:val="18"/>
                                  <w:szCs w:val="21"/>
                                </w:rPr>
                              </w:pPr>
                              <w:r>
                                <w:rPr>
                                  <w:rFonts w:hint="eastAsia"/>
                                  <w:sz w:val="18"/>
                                  <w:szCs w:val="21"/>
                                </w:rPr>
                                <w:t>掌握D</w:t>
                              </w:r>
                              <w:r>
                                <w:rPr>
                                  <w:sz w:val="18"/>
                                  <w:szCs w:val="21"/>
                                </w:rPr>
                                <w:t>CS</w:t>
                              </w:r>
                              <w:r>
                                <w:rPr>
                                  <w:rFonts w:hint="eastAsia"/>
                                  <w:sz w:val="18"/>
                                  <w:szCs w:val="21"/>
                                </w:rPr>
                                <w:t>操作</w:t>
                              </w:r>
                            </w:p>
                          </w:txbxContent>
                        </wps:txbx>
                        <wps:bodyPr lIns="0" tIns="0" rIns="0" bIns="0" anchor="ctr" upright="1"/>
                      </wps:wsp>
                      <wps:wsp>
                        <wps:cNvPr id="37" name="_s1258"/>
                        <wps:cNvSpPr/>
                        <wps:spPr>
                          <a:xfrm>
                            <a:off x="12108" y="8034"/>
                            <a:ext cx="2245" cy="748"/>
                          </a:xfrm>
                          <a:prstGeom prst="roundRect">
                            <a:avLst>
                              <a:gd name="adj" fmla="val 16667"/>
                            </a:avLst>
                          </a:prstGeom>
                          <a:noFill/>
                          <a:ln w="9525" cap="flat" cmpd="sng">
                            <a:solidFill>
                              <a:srgbClr val="000000"/>
                            </a:solidFill>
                            <a:prstDash val="solid"/>
                            <a:headEnd type="none" w="med" len="med"/>
                            <a:tailEnd type="none" w="med" len="med"/>
                          </a:ln>
                        </wps:spPr>
                        <wps:txbx>
                          <w:txbxContent>
                            <w:p>
                              <w:pPr>
                                <w:jc w:val="center"/>
                                <w:rPr>
                                  <w:rFonts w:hint="eastAsia"/>
                                  <w:sz w:val="18"/>
                                  <w:szCs w:val="21"/>
                                </w:rPr>
                              </w:pPr>
                              <w:r>
                                <w:rPr>
                                  <w:rFonts w:hint="eastAsia"/>
                                  <w:sz w:val="18"/>
                                  <w:szCs w:val="21"/>
                                </w:rPr>
                                <w:t>熟悉化工设备操作</w:t>
                              </w:r>
                            </w:p>
                          </w:txbxContent>
                        </wps:txbx>
                        <wps:bodyPr lIns="0" tIns="0" rIns="0" bIns="0" anchor="ctr" upright="1"/>
                      </wps:wsp>
                      <wps:wsp>
                        <wps:cNvPr id="38" name="_s1259"/>
                        <wps:cNvSpPr/>
                        <wps:spPr>
                          <a:xfrm>
                            <a:off x="12108" y="9156"/>
                            <a:ext cx="2245" cy="748"/>
                          </a:xfrm>
                          <a:prstGeom prst="roundRect">
                            <a:avLst>
                              <a:gd name="adj" fmla="val 16667"/>
                            </a:avLst>
                          </a:prstGeom>
                          <a:noFill/>
                          <a:ln w="9525" cap="flat" cmpd="sng">
                            <a:solidFill>
                              <a:srgbClr val="000000"/>
                            </a:solidFill>
                            <a:prstDash val="solid"/>
                            <a:headEnd type="none" w="med" len="med"/>
                            <a:tailEnd type="none" w="med" len="med"/>
                          </a:ln>
                        </wps:spPr>
                        <wps:txbx>
                          <w:txbxContent>
                            <w:p>
                              <w:pPr>
                                <w:jc w:val="center"/>
                                <w:rPr>
                                  <w:sz w:val="18"/>
                                  <w:szCs w:val="21"/>
                                </w:rPr>
                              </w:pPr>
                              <w:r>
                                <w:rPr>
                                  <w:rFonts w:hint="eastAsia"/>
                                  <w:sz w:val="18"/>
                                  <w:szCs w:val="21"/>
                                </w:rPr>
                                <w:t>熟悉化工设备的结构和工作原理</w:t>
                              </w:r>
                            </w:p>
                          </w:txbxContent>
                        </wps:txbx>
                        <wps:bodyPr lIns="0" tIns="0" rIns="0" bIns="0" anchor="ctr" upright="1"/>
                      </wps:wsp>
                      <wps:wsp>
                        <wps:cNvPr id="39" name="_s1260"/>
                        <wps:cNvSpPr/>
                        <wps:spPr>
                          <a:xfrm>
                            <a:off x="14727" y="8034"/>
                            <a:ext cx="2242" cy="748"/>
                          </a:xfrm>
                          <a:prstGeom prst="roundRect">
                            <a:avLst>
                              <a:gd name="adj" fmla="val 16667"/>
                            </a:avLst>
                          </a:prstGeom>
                          <a:noFill/>
                          <a:ln w="9525" cap="flat" cmpd="sng">
                            <a:solidFill>
                              <a:srgbClr val="000000"/>
                            </a:solidFill>
                            <a:prstDash val="solid"/>
                            <a:headEnd type="none" w="med" len="med"/>
                            <a:tailEnd type="none" w="med" len="med"/>
                          </a:ln>
                        </wps:spPr>
                        <wps:txbx>
                          <w:txbxContent>
                            <w:p>
                              <w:pPr>
                                <w:jc w:val="center"/>
                                <w:rPr>
                                  <w:sz w:val="18"/>
                                  <w:szCs w:val="21"/>
                                </w:rPr>
                              </w:pPr>
                              <w:r>
                                <w:rPr>
                                  <w:rFonts w:hint="eastAsia"/>
                                  <w:sz w:val="18"/>
                                  <w:szCs w:val="21"/>
                                </w:rPr>
                                <w:t>更换管道和设备的常见部件</w:t>
                              </w:r>
                            </w:p>
                          </w:txbxContent>
                        </wps:txbx>
                        <wps:bodyPr lIns="0" tIns="0" rIns="0" bIns="0" anchor="ctr" upright="1"/>
                      </wps:wsp>
                    </wpg:wgp>
                  </a:graphicData>
                </a:graphic>
              </wp:inline>
            </w:drawing>
          </mc:Choice>
          <mc:Fallback>
            <w:pict>
              <v:group id="组合 29" o:spid="_x0000_s1026" o:spt="203" style="height:292.85pt;width:383.6pt;" coordorigin="1635,5790" coordsize="15336,6358" o:gfxdata="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">
                <o:lock v:ext="edit" rotation="t" aspectratio="t"/>
                <v:rect id="图片 30" o:spid="_x0000_s1026" o:spt="1" style="position:absolute;left:1635;top:5790;height:6358;width:15336;" filled="f" stroked="f" coordsize="21600,21600" o:gfxdata="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qtzq8AAAA&#10;2gAAAA8AAAAAAAAAAQAgAAAAIgAAAGRycy9kb3ducmV2LnhtbFBLAQIUABQAAAAIAIdO4kAzLwWe&#10;OwAAADkAAAAQAAAAAAAAAAEAIAAAAAsBAABkcnMvc2hhcGV4bWwueG1sUEsFBgAAAAAGAAYAWwEA&#10;ALUDAAAAAA==&#10;">
                  <v:fill on="f" focussize="0,0"/>
                  <v:stroke on="f"/>
                  <v:imagedata o:title=""/>
                  <o:lock v:ext="edit" text="t" aspectratio="t"/>
                </v:rect>
                <v:shape id="_s1224" o:spid="_x0000_s1026" o:spt="34" type="#_x0000_t34" style="position:absolute;left:15661;top:7846;height:1;width:374;rotation:-5898240f;" filled="f" stroked="t" coordsize="21600,21600" o:gfxdata="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JURdy5AAAA2gAA&#10;AA8AAAAAAAAAAQAgAAAAIgAAAGRycy9kb3ducmV2LnhtbFBLAQIUABQAAAAIAIdO4kAzLwWeOwAA&#10;ADkAAAAQAAAAAAAAAAEAIAAAAAgBAABkcnMvc2hhcGV4bWwueG1sUEsFBgAAAAAGAAYAWwEAALID&#10;AAAAAA==&#10;" adj="10800">
                  <v:fill on="f" focussize="0,0"/>
                  <v:stroke weight="2.25pt" color="#000000" joinstyle="miter"/>
                  <v:imagedata o:title=""/>
                  <o:lock v:ext="edit" aspectratio="f"/>
                </v:shape>
                <v:shape id="_s1225" o:spid="_x0000_s1026" o:spt="33" type="#_x0000_t33" style="position:absolute;left:11734;top:7660;height:1871;width:374;rotation:11796480f;" filled="f" stroked="t" coordsize="21600,21600" o:gfxdata="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ae2e7sAAADa&#10;AAAADwAAAAAAAAABACAAAAAiAAAAZHJzL2Rvd25yZXYueG1sUEsBAhQAFAAAAAgAh07iQDMvBZ47&#10;AAAAOQAAABAAAAAAAAAAAQAgAAAACgEAAGRycy9zaGFwZXhtbC54bWxQSwUGAAAAAAYABgBbAQAA&#10;tAMAAAAA&#10;">
                  <v:fill on="f" focussize="0,0"/>
                  <v:stroke weight="2.25pt" color="#000000" joinstyle="miter"/>
                  <v:imagedata o:title=""/>
                  <o:lock v:ext="edit" aspectratio="f"/>
                </v:shape>
                <v:shape id="_s1226" o:spid="_x0000_s1026" o:spt="33" type="#_x0000_t33" style="position:absolute;left:11734;top:7660;height:748;width:374;rotation:11796480f;" filled="f" stroked="t" coordsize="21600,21600" o:gfxdata="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usT4LsAAADa&#10;AAAADwAAAAAAAAABACAAAAAiAAAAZHJzL2Rvd25yZXYueG1sUEsBAhQAFAAAAAgAh07iQDMvBZ47&#10;AAAAOQAAABAAAAAAAAAAAQAgAAAACgEAAGRycy9zaGFwZXhtbC54bWxQSwUGAAAAAAYABgBbAQAA&#10;tAMAAAAA&#10;">
                  <v:fill on="f" focussize="0,0"/>
                  <v:stroke weight="2.25pt" color="#000000" joinstyle="miter"/>
                  <v:imagedata o:title=""/>
                  <o:lock v:ext="edit" aspectratio="f"/>
                </v:shape>
                <v:shape id="_s1227" o:spid="_x0000_s1026" o:spt="33" type="#_x0000_t33" style="position:absolute;left:8745;top:7660;height:4115;width:372;rotation:11796480f;" filled="f" stroked="t" coordsize="21600,21600" o:gfxdata="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jmNl7sAAADa&#10;AAAADwAAAAAAAAABACAAAAAiAAAAZHJzL2Rvd25yZXYueG1sUEsBAhQAFAAAAAgAh07iQDMvBZ47&#10;AAAAOQAAABAAAAAAAAAAAQAgAAAACgEAAGRycy9zaGFwZXhtbC54bWxQSwUGAAAAAAYABgBbAQAA&#10;tAMAAAAA&#10;">
                  <v:fill on="f" focussize="0,0"/>
                  <v:stroke weight="2.25pt" color="#000000" joinstyle="miter"/>
                  <v:imagedata o:title=""/>
                  <o:lock v:ext="edit" aspectratio="f"/>
                </v:shape>
                <v:shape id="_s1228" o:spid="_x0000_s1026" o:spt="33" type="#_x0000_t33" style="position:absolute;left:8745;top:7660;height:2992;width:372;rotation:11796480f;" filled="f" stroked="t" coordsize="21600,21600" o:gfxdata="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XUoDLsAAADa&#10;AAAADwAAAAAAAAABACAAAAAiAAAAZHJzL2Rvd25yZXYueG1sUEsBAhQAFAAAAAgAh07iQDMvBZ47&#10;AAAAOQAAABAAAAAAAAAAAQAgAAAACgEAAGRycy9zaGFwZXhtbC54bWxQSwUGAAAAAAYABgBbAQAA&#10;tAMAAAAA&#10;">
                  <v:fill on="f" focussize="0,0"/>
                  <v:stroke weight="2.25pt" color="#000000" joinstyle="miter"/>
                  <v:imagedata o:title=""/>
                  <o:lock v:ext="edit" aspectratio="f"/>
                </v:shape>
                <v:shape id="_s1229" o:spid="_x0000_s1026" o:spt="33" type="#_x0000_t33" style="position:absolute;left:8745;top:7660;height:1871;width:372;rotation:11796480f;" filled="f" stroked="t" coordsize="21600,21600" o:gfxdata="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86rx+tAAAANoAAAAPAAAA&#10;AAAAAAEAIAAAACIAAABkcnMvZG93bnJldi54bWxQSwECFAAUAAAACACHTuJAMy8FnjsAAAA5AAAA&#10;EAAAAAAAAAABACAAAAADAQAAZHJzL3NoYXBleG1sLnhtbFBLBQYAAAAABgAGAFsBAACtAwAAAAA=&#10;">
                  <v:fill on="f" focussize="0,0"/>
                  <v:stroke weight="2.25pt" color="#000000" joinstyle="miter"/>
                  <v:imagedata o:title=""/>
                  <o:lock v:ext="edit" aspectratio="f"/>
                </v:shape>
                <v:shape id="_s1230" o:spid="_x0000_s1026" o:spt="33" type="#_x0000_t33" style="position:absolute;left:8745;top:7660;height:748;width:372;rotation:11796480f;" filled="f" stroked="t" coordsize="21600,21600" o:gfxdata="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6YZ5bsAAADa&#10;AAAADwAAAAAAAAABACAAAAAiAAAAZHJzL2Rvd25yZXYueG1sUEsBAhQAFAAAAAgAh07iQDMvBZ47&#10;AAAAOQAAABAAAAAAAAAAAQAgAAAACgEAAGRycy9zaGFwZXhtbC54bWxQSwUGAAAAAAYABgBbAQAA&#10;tAMAAAAA&#10;">
                  <v:fill on="f" focussize="0,0"/>
                  <v:stroke weight="2.25pt" color="#000000" joinstyle="miter"/>
                  <v:imagedata o:title=""/>
                  <o:lock v:ext="edit" aspectratio="f"/>
                </v:shape>
                <v:shape id="_s1231" o:spid="_x0000_s1026" o:spt="33" type="#_x0000_t33" style="position:absolute;left:5750;top:7660;height:2992;width:374;rotation:11796480f;" filled="f" stroked="t" coordsize="21600,21600" o:gfxdata="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bRB8e8AAAA&#10;2wAAAA8AAAAAAAAAAQAgAAAAIgAAAGRycy9kb3ducmV2LnhtbFBLAQIUABQAAAAIAIdO4kAzLwWe&#10;OwAAADkAAAAQAAAAAAAAAAEAIAAAAAsBAABkcnMvc2hhcGV4bWwueG1sUEsFBgAAAAAGAAYAWwEA&#10;ALUDAAAAAA==&#10;">
                  <v:fill on="f" focussize="0,0"/>
                  <v:stroke weight="2.25pt" color="#000000" joinstyle="miter"/>
                  <v:imagedata o:title=""/>
                  <o:lock v:ext="edit" aspectratio="f"/>
                </v:shape>
                <v:shape id="_s1232" o:spid="_x0000_s1026" o:spt="33" type="#_x0000_t33" style="position:absolute;left:5750;top:7660;height:1871;width:374;rotation:11796480f;" filled="f" stroked="t" coordsize="21600,21600" o:gfxdata="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5naJcugAAANsA&#10;AAAPAAAAAAAAAAEAIAAAACIAAABkcnMvZG93bnJldi54bWxQSwECFAAUAAAACACHTuJAMy8FnjsA&#10;AAA5AAAAEAAAAAAAAAABACAAAAAJAQAAZHJzL3NoYXBleG1sLnhtbFBLBQYAAAAABgAGAFsBAACz&#10;AwAAAAA=&#10;">
                  <v:fill on="f" focussize="0,0"/>
                  <v:stroke weight="2.25pt" color="#000000" joinstyle="miter"/>
                  <v:imagedata o:title=""/>
                  <o:lock v:ext="edit" aspectratio="f"/>
                </v:shape>
                <v:shape id="_s1233" o:spid="_x0000_s1026" o:spt="33" type="#_x0000_t33" style="position:absolute;left:5750;top:7660;height:748;width:374;rotation:11796480f;" filled="f" stroked="t" coordsize="21600,21600" o:gfxdata="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U88K7gAAADbAAAA&#10;DwAAAAAAAAABACAAAAAiAAAAZHJzL2Rvd25yZXYueG1sUEsBAhQAFAAAAAgAh07iQDMvBZ47AAAA&#10;OQAAABAAAAAAAAAAAQAgAAAABwEAAGRycy9zaGFwZXhtbC54bWxQSwUGAAAAAAYABgBbAQAAsQMA&#10;AAAA&#10;">
                  <v:fill on="f" focussize="0,0"/>
                  <v:stroke weight="2.25pt" color="#000000" joinstyle="miter"/>
                  <v:imagedata o:title=""/>
                  <o:lock v:ext="edit" aspectratio="f"/>
                </v:shape>
                <v:shape id="_s1234" o:spid="_x0000_s1026" o:spt="33" type="#_x0000_t33" style="position:absolute;left:2758;top:7660;height:2992;width:373;rotation:11796480f;" filled="f" stroked="t" coordsize="21600,21600" o:gfxdata="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A5mwugAAANsA&#10;AAAPAAAAAAAAAAEAIAAAACIAAABkcnMvZG93bnJldi54bWxQSwECFAAUAAAACACHTuJAMy8FnjsA&#10;AAA5AAAAEAAAAAAAAAABACAAAAAJAQAAZHJzL3NoYXBleG1sLnhtbFBLBQYAAAAABgAGAFsBAACz&#10;AwAAAAA=&#10;">
                  <v:fill on="f" focussize="0,0"/>
                  <v:stroke weight="2.25pt" color="#000000" joinstyle="miter"/>
                  <v:imagedata o:title=""/>
                  <o:lock v:ext="edit" aspectratio="f"/>
                </v:shape>
                <v:shape id="_s1235" o:spid="_x0000_s1026" o:spt="33" type="#_x0000_t33" style="position:absolute;left:2758;top:7660;height:1871;width:373;rotation:11796480f;" filled="f" stroked="t" coordsize="21600,21600" o:gfxdata="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6gHEugAAANsA&#10;AAAPAAAAAAAAAAEAIAAAACIAAABkcnMvZG93bnJldi54bWxQSwECFAAUAAAACACHTuJAMy8FnjsA&#10;AAA5AAAAEAAAAAAAAAABACAAAAAJAQAAZHJzL3NoYXBleG1sLnhtbFBLBQYAAAAABgAGAFsBAACz&#10;AwAAAAA=&#10;">
                  <v:fill on="f" focussize="0,0"/>
                  <v:stroke weight="2.25pt" color="#000000" joinstyle="miter"/>
                  <v:imagedata o:title=""/>
                  <o:lock v:ext="edit" aspectratio="f"/>
                </v:shape>
                <v:shape id="_s1236" o:spid="_x0000_s1026" o:spt="33" type="#_x0000_t33" style="position:absolute;left:2758;top:7660;height:748;width:373;rotation:11796480f;" filled="f" stroked="t" coordsize="21600,21600" o:gfxdata="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pqRfugAAANsA&#10;AAAPAAAAAAAAAAEAIAAAACIAAABkcnMvZG93bnJldi54bWxQSwECFAAUAAAACACHTuJAMy8FnjsA&#10;AAA5AAAAEAAAAAAAAAABACAAAAAJAQAAZHJzL3NoYXBleG1sLnhtbFBLBQYAAAAABgAGAFsBAACz&#10;AwAAAAA=&#10;">
                  <v:fill on="f" focussize="0,0"/>
                  <v:stroke weight="2.25pt" color="#000000" joinstyle="miter"/>
                  <v:imagedata o:title=""/>
                  <o:lock v:ext="edit" aspectratio="f"/>
                </v:shape>
                <v:shape id="_s1237" o:spid="_x0000_s1026" o:spt="34" type="#_x0000_t34" style="position:absolute;left:12390;top:3452;flip:x;height:6545;width:374;rotation:-5898240f;" filled="f" stroked="t" coordsize="21600,21600" o:gfxdata="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GUK2K5AAAA2wAA&#10;AA8AAAAAAAAAAQAgAAAAIgAAAGRycy9kb3ducmV2LnhtbFBLAQIUABQAAAAIAIdO4kAzLwWeOwAA&#10;ADkAAAAQAAAAAAAAAAEAIAAAAAgBAABkcnMvc2hhcGV4bWwueG1sUEsFBgAAAAAGAAYAWwEAALID&#10;AAAAAA==&#10;" adj="10831">
                  <v:fill on="f" focussize="0,0"/>
                  <v:stroke weight="2.25pt" color="#000000" joinstyle="miter"/>
                  <v:imagedata o:title=""/>
                  <o:lock v:ext="edit" aspectratio="f"/>
                </v:shape>
                <v:shape id="_s1238" o:spid="_x0000_s1026" o:spt="34" type="#_x0000_t34" style="position:absolute;left:10332;top:5510;flip:x;height:2429;width:374;rotation:-5898240f;" filled="f" stroked="t" coordsize="21600,21600" o:gfxdata="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tiO+bsAAADb&#10;AAAADwAAAAAAAAABACAAAAAiAAAAZHJzL2Rvd25yZXYueG1sUEsBAhQAFAAAAAgAh07iQDMvBZ47&#10;AAAAOQAAABAAAAAAAAAAAQAgAAAACgEAAGRycy9zaGFwZXhtbC54bWxQSwUGAAAAAAYABgBbAQAA&#10;tAMAAAAA&#10;" adj="10831">
                  <v:fill on="f" focussize="0,0"/>
                  <v:stroke weight="2.25pt" color="#000000" joinstyle="miter"/>
                  <v:imagedata o:title=""/>
                  <o:lock v:ext="edit" aspectratio="f"/>
                </v:shape>
                <v:shape id="_s1239" o:spid="_x0000_s1026" o:spt="34" type="#_x0000_t34" style="position:absolute;left:8838;top:6445;height:560;width:374;rotation:-5898240f;" filled="f" stroked="t" coordsize="21600,21600" o:gfxdata="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MB+Vu8AAAA&#10;2wAAAA8AAAAAAAAAAQAgAAAAIgAAAGRycy9kb3ducmV2LnhtbFBLAQIUABQAAAAIAIdO4kAzLwWe&#10;OwAAADkAAAAQAAAAAAAAAAEAIAAAAAsBAABkcnMvc2hhcGV4bWwueG1sUEsFBgAAAAAGAAYAWwEA&#10;ALUDAAAAAA==&#10;" adj="10831">
                  <v:fill on="f" focussize="0,0"/>
                  <v:stroke weight="2.25pt" color="#000000" joinstyle="miter"/>
                  <v:imagedata o:title=""/>
                  <o:lock v:ext="edit" aspectratio="f"/>
                </v:shape>
                <v:shape id="_s1240" o:spid="_x0000_s1026" o:spt="34" type="#_x0000_t34" style="position:absolute;left:7341;top:4948;height:3554;width:374;rotation:-5898240f;" filled="f" stroked="t" coordsize="21600,21600" o:gfxdata="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NXMC8AAAA&#10;2wAAAA8AAAAAAAAAAQAgAAAAIgAAAGRycy9kb3ducmV2LnhtbFBLAQIUABQAAAAIAIdO4kAzLwWe&#10;OwAAADkAAAAQAAAAAAAAAAEAIAAAAAsBAABkcnMvc2hhcGV4bWwueG1sUEsFBgAAAAAGAAYAWwEA&#10;ALUDAAAAAA==&#10;" adj="10831">
                  <v:fill on="f" focussize="0,0"/>
                  <v:stroke weight="2.25pt" color="#000000" joinstyle="miter"/>
                  <v:imagedata o:title=""/>
                  <o:lock v:ext="edit" aspectratio="f"/>
                </v:shape>
                <v:shape id="_s1241" o:spid="_x0000_s1026" o:spt="34" type="#_x0000_t34" style="position:absolute;left:5844;top:3451;height:6547;width:374;rotation:-5898240f;" filled="f" stroked="t" coordsize="21600,21600" o:gfxdata="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Gz/gvQAA&#10;ANsAAAAPAAAAAAAAAAEAIAAAACIAAABkcnMvZG93bnJldi54bWxQSwECFAAUAAAACACHTuJAMy8F&#10;njsAAAA5AAAAEAAAAAAAAAABACAAAAAMAQAAZHJzL3NoYXBleG1sLnhtbFBLBQYAAAAABgAGAFsB&#10;AAC2AwAAAAA=&#10;" adj="10831">
                  <v:fill on="f" focussize="0,0"/>
                  <v:stroke weight="2.25pt" color="#000000" joinstyle="miter"/>
                  <v:imagedata o:title=""/>
                  <o:lock v:ext="edit" aspectratio="f"/>
                </v:shape>
                <v:roundrect id="_s1242" o:spid="_x0000_s1026" o:spt="2" style="position:absolute;left:8181;top:5790;height:748;width:2245;v-text-anchor:middle;" filled="f" stroked="t" coordsize="21600,21600" arcsize="0.166666666666667" o:gfxdata="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wU76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textbox inset="0mm,0mm,0mm,0mm">
                    <w:txbxContent>
                      <w:p>
                        <w:pPr>
                          <w:jc w:val="center"/>
                          <w:rPr>
                            <w:sz w:val="18"/>
                            <w:szCs w:val="21"/>
                          </w:rPr>
                        </w:pPr>
                        <w:r>
                          <w:rPr>
                            <w:rFonts w:hint="eastAsia"/>
                            <w:sz w:val="18"/>
                            <w:szCs w:val="21"/>
                          </w:rPr>
                          <w:t>岗位职能</w:t>
                        </w:r>
                      </w:p>
                    </w:txbxContent>
                  </v:textbox>
                </v:roundrect>
                <v:roundrect id="_s1243" o:spid="_x0000_s1026" o:spt="2" style="position:absolute;left:1635;top:6912;height:748;width:2245;v-text-anchor:middle;" filled="f" stroked="t" coordsize="21600,21600" arcsize="0.166666666666667" o:gfxdata="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Is3J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textbox inset="0mm,0mm,0mm,0mm">
                    <w:txbxContent>
                      <w:p>
                        <w:pPr>
                          <w:jc w:val="center"/>
                          <w:rPr>
                            <w:sz w:val="18"/>
                            <w:szCs w:val="21"/>
                          </w:rPr>
                        </w:pPr>
                        <w:r>
                          <w:rPr>
                            <w:rFonts w:hint="eastAsia"/>
                            <w:sz w:val="18"/>
                            <w:szCs w:val="21"/>
                          </w:rPr>
                          <w:t>化工产品质量检验</w:t>
                        </w:r>
                      </w:p>
                    </w:txbxContent>
                  </v:textbox>
                </v:roundrect>
                <v:roundrect id="_s1244" o:spid="_x0000_s1026" o:spt="2" style="position:absolute;left:4628;top:6912;height:748;width:2245;v-text-anchor:middle;" filled="f" stroked="t" coordsize="21600,21600" arcsize="0.166666666666667" o:gfxdata="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bmhS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textbox inset="0mm,0mm,0mm,0mm">
                    <w:txbxContent>
                      <w:p>
                        <w:pPr>
                          <w:jc w:val="center"/>
                          <w:rPr>
                            <w:sz w:val="18"/>
                            <w:szCs w:val="21"/>
                          </w:rPr>
                        </w:pPr>
                        <w:r>
                          <w:rPr>
                            <w:rFonts w:hint="eastAsia"/>
                            <w:sz w:val="18"/>
                            <w:szCs w:val="21"/>
                          </w:rPr>
                          <w:t>化工现场工艺操作</w:t>
                        </w:r>
                      </w:p>
                    </w:txbxContent>
                  </v:textbox>
                </v:roundrect>
                <v:roundrect id="_s1245" o:spid="_x0000_s1026" o:spt="2" style="position:absolute;left:7621;top:6912;height:748;width:2245;v-text-anchor:middle;" filled="f" stroked="t" coordsize="21600,21600" arcsize="0.166666666666667" o:gfxdata="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H8Ca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textbox inset="0mm,0mm,0mm,0mm">
                    <w:txbxContent>
                      <w:p>
                        <w:pPr>
                          <w:jc w:val="center"/>
                          <w:rPr>
                            <w:sz w:val="18"/>
                            <w:szCs w:val="21"/>
                          </w:rPr>
                        </w:pPr>
                        <w:r>
                          <w:rPr>
                            <w:rFonts w:hint="eastAsia"/>
                            <w:sz w:val="18"/>
                            <w:szCs w:val="21"/>
                          </w:rPr>
                          <w:t>化工主控操作</w:t>
                        </w:r>
                      </w:p>
                    </w:txbxContent>
                  </v:textbox>
                </v:roundrect>
                <v:roundrect id="_s1246" o:spid="_x0000_s1026" o:spt="2" style="position:absolute;left:10612;top:6912;height:748;width:2244;v-text-anchor:middle;" filled="f" stroked="t" coordsize="21600,21600" arcsize="0.166666666666667" o:gfxdata="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DLVb2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textbox inset="0mm,0mm,0mm,0mm">
                    <w:txbxContent>
                      <w:p>
                        <w:pPr>
                          <w:jc w:val="center"/>
                          <w:rPr>
                            <w:sz w:val="18"/>
                            <w:szCs w:val="21"/>
                          </w:rPr>
                        </w:pPr>
                        <w:r>
                          <w:rPr>
                            <w:rFonts w:hint="eastAsia"/>
                            <w:sz w:val="18"/>
                            <w:szCs w:val="21"/>
                          </w:rPr>
                          <w:t>化工设备操作</w:t>
                        </w:r>
                      </w:p>
                    </w:txbxContent>
                  </v:textbox>
                </v:roundrect>
                <v:roundrect id="_s1247" o:spid="_x0000_s1026" o:spt="2" style="position:absolute;left:14726;top:6912;height:748;width:2245;v-text-anchor:middle;" filled="f" stroked="t" coordsize="21600,21600" arcsize="0.166666666666667" o:gfxdata="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Zy8q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textbox inset="0mm,0mm,0mm,0mm">
                    <w:txbxContent>
                      <w:p>
                        <w:pPr>
                          <w:jc w:val="center"/>
                          <w:rPr>
                            <w:sz w:val="18"/>
                            <w:szCs w:val="21"/>
                          </w:rPr>
                        </w:pPr>
                        <w:r>
                          <w:rPr>
                            <w:rFonts w:hint="eastAsia"/>
                            <w:sz w:val="18"/>
                            <w:szCs w:val="21"/>
                          </w:rPr>
                          <w:t>化工设备维护</w:t>
                        </w:r>
                      </w:p>
                    </w:txbxContent>
                  </v:textbox>
                </v:roundrect>
                <v:roundrect id="_s1248" o:spid="_x0000_s1026" o:spt="2" style="position:absolute;left:3131;top:8034;height:748;width:2245;v-text-anchor:middle;" filled="f" stroked="t" coordsize="21600,21600" arcsize="0.166666666666667" o:gfxdata="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W5R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textbox inset="0mm,0mm,0mm,0mm">
                    <w:txbxContent>
                      <w:p>
                        <w:pPr>
                          <w:jc w:val="center"/>
                          <w:rPr>
                            <w:sz w:val="18"/>
                            <w:szCs w:val="21"/>
                          </w:rPr>
                        </w:pPr>
                        <w:r>
                          <w:rPr>
                            <w:rFonts w:hint="eastAsia"/>
                            <w:sz w:val="18"/>
                            <w:szCs w:val="21"/>
                          </w:rPr>
                          <w:t>化学分析检验</w:t>
                        </w:r>
                      </w:p>
                    </w:txbxContent>
                  </v:textbox>
                </v:roundrect>
                <v:roundrect id="_s1249" o:spid="_x0000_s1026" o:spt="2" style="position:absolute;left:3131;top:9156;height:748;width:2245;v-text-anchor:middle;" filled="f" stroked="t" coordsize="21600,21600" arcsize="0.166666666666667" o:gfxdata="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Oyvoj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textbox inset="0mm,0mm,0mm,0mm">
                    <w:txbxContent>
                      <w:p>
                        <w:pPr>
                          <w:jc w:val="center"/>
                          <w:rPr>
                            <w:rFonts w:hint="eastAsia"/>
                            <w:sz w:val="18"/>
                            <w:szCs w:val="21"/>
                          </w:rPr>
                        </w:pPr>
                        <w:r>
                          <w:rPr>
                            <w:rFonts w:hint="eastAsia"/>
                            <w:sz w:val="18"/>
                            <w:szCs w:val="21"/>
                          </w:rPr>
                          <w:t>使用仪器</w:t>
                        </w:r>
                      </w:p>
                    </w:txbxContent>
                  </v:textbox>
                </v:roundrect>
                <v:roundrect id="_s1250" o:spid="_x0000_s1026" o:spt="2" style="position:absolute;left:3131;top:10278;height:748;width:2245;v-text-anchor:middle;" filled="f" stroked="t" coordsize="21600,21600" arcsize="0.166666666666667" o:gfxdata="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YZfuLsAAADb&#10;AAAADwAAAAAAAAABACAAAAAiAAAAZHJzL2Rvd25yZXYueG1sUEsBAhQAFAAAAAgAh07iQDMvBZ47&#10;AAAAOQAAABAAAAAAAAAAAQAgAAAACgEAAGRycy9zaGFwZXhtbC54bWxQSwUGAAAAAAYABgBbAQAA&#10;tAMAAAAA&#10;">
                  <v:fill on="f" focussize="0,0"/>
                  <v:stroke color="#000000" joinstyle="round"/>
                  <v:imagedata o:title=""/>
                  <o:lock v:ext="edit" aspectratio="f"/>
                  <v:textbox inset="0mm,0mm,0mm,0mm">
                    <w:txbxContent>
                      <w:p>
                        <w:pPr>
                          <w:jc w:val="center"/>
                          <w:rPr>
                            <w:sz w:val="18"/>
                            <w:szCs w:val="21"/>
                          </w:rPr>
                        </w:pPr>
                        <w:r>
                          <w:rPr>
                            <w:rFonts w:hint="eastAsia"/>
                            <w:sz w:val="18"/>
                            <w:szCs w:val="21"/>
                          </w:rPr>
                          <w:t>数据分析</w:t>
                        </w:r>
                      </w:p>
                    </w:txbxContent>
                  </v:textbox>
                </v:roundrect>
                <v:roundrect id="_s1251" o:spid="_x0000_s1026" o:spt="2" style="position:absolute;left:6124;top:8034;height:748;width:2244;v-text-anchor:middle;" filled="f" stroked="t" coordsize="21600,21600" arcsize="0.166666666666667" o:gfxdata="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VlYPi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textbox inset="0mm,0mm,0mm,0mm">
                    <w:txbxContent>
                      <w:p>
                        <w:pPr>
                          <w:jc w:val="center"/>
                          <w:rPr>
                            <w:sz w:val="18"/>
                            <w:szCs w:val="21"/>
                          </w:rPr>
                        </w:pPr>
                        <w:r>
                          <w:rPr>
                            <w:rFonts w:hint="eastAsia"/>
                            <w:sz w:val="18"/>
                            <w:szCs w:val="21"/>
                          </w:rPr>
                          <w:t>进行岗位操作</w:t>
                        </w:r>
                      </w:p>
                    </w:txbxContent>
                  </v:textbox>
                </v:roundrect>
                <v:roundrect id="_s1252" o:spid="_x0000_s1026" o:spt="2" style="position:absolute;left:6124;top:9156;height:748;width:2245;v-text-anchor:middle;" filled="f" stroked="t" coordsize="21600,21600" arcsize="0.166666666666667" o:gfxdata="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opxW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textbox inset="0mm,0mm,0mm,0mm">
                    <w:txbxContent>
                      <w:p>
                        <w:pPr>
                          <w:jc w:val="center"/>
                          <w:rPr>
                            <w:sz w:val="18"/>
                            <w:szCs w:val="21"/>
                          </w:rPr>
                        </w:pPr>
                        <w:r>
                          <w:rPr>
                            <w:rFonts w:hint="eastAsia"/>
                            <w:sz w:val="18"/>
                            <w:szCs w:val="21"/>
                          </w:rPr>
                          <w:t>识别工艺图</w:t>
                        </w:r>
                      </w:p>
                    </w:txbxContent>
                  </v:textbox>
                </v:roundrect>
                <v:roundrect id="_s1253" o:spid="_x0000_s1026" o:spt="2" style="position:absolute;left:6124;top:10278;height:748;width:2244;v-text-anchor:middle;" filled="f" stroked="t" coordsize="21600,21600" arcsize="0.166666666666667" o:gfxdata="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1sU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textbox inset="0mm,0mm,0mm,0mm">
                    <w:txbxContent>
                      <w:p>
                        <w:pPr>
                          <w:jc w:val="center"/>
                          <w:rPr>
                            <w:sz w:val="18"/>
                            <w:szCs w:val="21"/>
                          </w:rPr>
                        </w:pPr>
                        <w:r>
                          <w:rPr>
                            <w:rFonts w:hint="eastAsia"/>
                            <w:sz w:val="18"/>
                            <w:szCs w:val="21"/>
                          </w:rPr>
                          <w:t>熟悉工艺流程</w:t>
                        </w:r>
                      </w:p>
                    </w:txbxContent>
                  </v:textbox>
                </v:roundrect>
                <v:roundrect id="_s1254" o:spid="_x0000_s1026" o:spt="2" style="position:absolute;left:9117;top:8034;height:748;width:2243;v-text-anchor:middle;" filled="f" stroked="t" coordsize="21600,21600" arcsize="0.166666666666667" o:gfxdata="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t/6P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textbox inset="0mm,0mm,0mm,0mm">
                    <w:txbxContent>
                      <w:p>
                        <w:pPr>
                          <w:jc w:val="center"/>
                          <w:rPr>
                            <w:sz w:val="18"/>
                            <w:szCs w:val="21"/>
                          </w:rPr>
                        </w:pPr>
                        <w:r>
                          <w:rPr>
                            <w:rFonts w:hint="eastAsia"/>
                            <w:sz w:val="18"/>
                            <w:szCs w:val="21"/>
                          </w:rPr>
                          <w:t>熟悉工艺流程</w:t>
                        </w:r>
                      </w:p>
                    </w:txbxContent>
                  </v:textbox>
                </v:roundrect>
                <v:roundrect id="_s1255" o:spid="_x0000_s1026" o:spt="2" style="position:absolute;left:9117;top:9156;height:748;width:2243;v-text-anchor:middle;" filled="f" stroked="t" coordsize="21600,21600" arcsize="0.166666666666667" o:gfxdata="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KXmb7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textbox inset="0mm,0mm,0mm,0mm">
                    <w:txbxContent>
                      <w:p>
                        <w:pPr>
                          <w:jc w:val="center"/>
                          <w:rPr>
                            <w:sz w:val="18"/>
                            <w:szCs w:val="21"/>
                          </w:rPr>
                        </w:pPr>
                        <w:r>
                          <w:rPr>
                            <w:rFonts w:hint="eastAsia"/>
                            <w:sz w:val="18"/>
                            <w:szCs w:val="21"/>
                          </w:rPr>
                          <w:t>熟悉运行参数</w:t>
                        </w:r>
                      </w:p>
                    </w:txbxContent>
                  </v:textbox>
                </v:roundrect>
                <v:roundrect id="_s1256" o:spid="_x0000_s1026" o:spt="2" style="position:absolute;left:9117;top:10278;height:748;width:2243;v-text-anchor:middle;" filled="f" stroked="t" coordsize="21600,21600" arcsize="0.166666666666667" o:gfxdata="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EsNg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textbox inset="0mm,0mm,0mm,0mm">
                    <w:txbxContent>
                      <w:p>
                        <w:pPr>
                          <w:jc w:val="center"/>
                          <w:rPr>
                            <w:sz w:val="18"/>
                            <w:szCs w:val="21"/>
                          </w:rPr>
                        </w:pPr>
                        <w:r>
                          <w:rPr>
                            <w:rFonts w:hint="eastAsia"/>
                            <w:sz w:val="18"/>
                            <w:szCs w:val="21"/>
                          </w:rPr>
                          <w:t>熟悉仪表操作</w:t>
                        </w:r>
                      </w:p>
                    </w:txbxContent>
                  </v:textbox>
                </v:roundrect>
                <v:roundrect id="_s1257" o:spid="_x0000_s1026" o:spt="2" style="position:absolute;left:9117;top:11400;height:748;width:2245;v-text-anchor:middle;" filled="f" stroked="t" coordsize="21600,21600" arcsize="0.166666666666667" o:gfxdata="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wF0X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textbox inset="0mm,0mm,0mm,0mm">
                    <w:txbxContent>
                      <w:p>
                        <w:pPr>
                          <w:jc w:val="center"/>
                          <w:rPr>
                            <w:rFonts w:hint="eastAsia"/>
                            <w:sz w:val="18"/>
                            <w:szCs w:val="21"/>
                          </w:rPr>
                        </w:pPr>
                        <w:r>
                          <w:rPr>
                            <w:rFonts w:hint="eastAsia"/>
                            <w:sz w:val="18"/>
                            <w:szCs w:val="21"/>
                          </w:rPr>
                          <w:t>掌握D</w:t>
                        </w:r>
                        <w:r>
                          <w:rPr>
                            <w:sz w:val="18"/>
                            <w:szCs w:val="21"/>
                          </w:rPr>
                          <w:t>CS</w:t>
                        </w:r>
                        <w:r>
                          <w:rPr>
                            <w:rFonts w:hint="eastAsia"/>
                            <w:sz w:val="18"/>
                            <w:szCs w:val="21"/>
                          </w:rPr>
                          <w:t>操作</w:t>
                        </w:r>
                      </w:p>
                    </w:txbxContent>
                  </v:textbox>
                </v:roundrect>
                <v:roundrect id="_s1258" o:spid="_x0000_s1026" o:spt="2" style="position:absolute;left:12108;top:8034;height:748;width:2245;v-text-anchor:middle;" filled="f" stroked="t" coordsize="21600,21600" arcsize="0.166666666666667" o:gfxdata="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oz4jLsAAADb&#10;AAAADwAAAAAAAAABACAAAAAiAAAAZHJzL2Rvd25yZXYueG1sUEsBAhQAFAAAAAgAh07iQDMvBZ47&#10;AAAAOQAAABAAAAAAAAAAAQAgAAAACgEAAGRycy9zaGFwZXhtbC54bWxQSwUGAAAAAAYABgBbAQAA&#10;tAMAAAAA&#10;">
                  <v:fill on="f" focussize="0,0"/>
                  <v:stroke color="#000000" joinstyle="round"/>
                  <v:imagedata o:title=""/>
                  <o:lock v:ext="edit" aspectratio="f"/>
                  <v:textbox inset="0mm,0mm,0mm,0mm">
                    <w:txbxContent>
                      <w:p>
                        <w:pPr>
                          <w:jc w:val="center"/>
                          <w:rPr>
                            <w:rFonts w:hint="eastAsia"/>
                            <w:sz w:val="18"/>
                            <w:szCs w:val="21"/>
                          </w:rPr>
                        </w:pPr>
                        <w:r>
                          <w:rPr>
                            <w:rFonts w:hint="eastAsia"/>
                            <w:sz w:val="18"/>
                            <w:szCs w:val="21"/>
                          </w:rPr>
                          <w:t>熟悉化工设备操作</w:t>
                        </w:r>
                      </w:p>
                    </w:txbxContent>
                  </v:textbox>
                </v:roundrect>
                <v:roundrect id="_s1259" o:spid="_x0000_s1026" o:spt="2" style="position:absolute;left:12108;top:9156;height:748;width:2245;v-text-anchor:middle;" filled="f" stroked="t" coordsize="21600,21600" arcsize="0.166666666666667" o:gfxdata="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sTbP6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textbox inset="0mm,0mm,0mm,0mm">
                    <w:txbxContent>
                      <w:p>
                        <w:pPr>
                          <w:jc w:val="center"/>
                          <w:rPr>
                            <w:sz w:val="18"/>
                            <w:szCs w:val="21"/>
                          </w:rPr>
                        </w:pPr>
                        <w:r>
                          <w:rPr>
                            <w:rFonts w:hint="eastAsia"/>
                            <w:sz w:val="18"/>
                            <w:szCs w:val="21"/>
                          </w:rPr>
                          <w:t>熟悉化工设备的结构和工作原理</w:t>
                        </w:r>
                      </w:p>
                    </w:txbxContent>
                  </v:textbox>
                </v:roundrect>
                <v:roundrect id="_s1260" o:spid="_x0000_s1026" o:spt="2" style="position:absolute;left:14727;top:8034;height:748;width:2242;v-text-anchor:middle;" filled="f" stroked="t" coordsize="21600,21600" arcsize="0.166666666666667" o:gfxdata="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X8ll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textbox inset="0mm,0mm,0mm,0mm">
                    <w:txbxContent>
                      <w:p>
                        <w:pPr>
                          <w:jc w:val="center"/>
                          <w:rPr>
                            <w:sz w:val="18"/>
                            <w:szCs w:val="21"/>
                          </w:rPr>
                        </w:pPr>
                        <w:r>
                          <w:rPr>
                            <w:rFonts w:hint="eastAsia"/>
                            <w:sz w:val="18"/>
                            <w:szCs w:val="21"/>
                          </w:rPr>
                          <w:t>更换管道和设备的常见部件</w:t>
                        </w:r>
                      </w:p>
                    </w:txbxContent>
                  </v:textbox>
                </v:roundrect>
                <w10:wrap type="none"/>
                <w10:anchorlock/>
              </v:group>
            </w:pict>
          </mc:Fallback>
        </mc:AlternateContent>
      </w:r>
    </w:p>
    <w:p>
      <w:pPr>
        <w:autoSpaceDE w:val="0"/>
        <w:autoSpaceDN w:val="0"/>
        <w:spacing w:line="360" w:lineRule="auto"/>
        <w:ind w:firstLine="480" w:firstLineChars="200"/>
        <w:rPr>
          <w:rFonts w:hint="eastAsia" w:ascii="宋体" w:hAnsi="宋体"/>
          <w:color w:val="auto"/>
          <w:sz w:val="24"/>
          <w:highlight w:val="none"/>
        </w:rPr>
      </w:pPr>
    </w:p>
    <w:p>
      <w:pPr>
        <w:autoSpaceDE w:val="0"/>
        <w:autoSpaceDN w:val="0"/>
        <w:spacing w:line="360" w:lineRule="auto"/>
        <w:rPr>
          <w:rFonts w:ascii="宋体" w:hAnsi="宋体"/>
          <w:color w:val="auto"/>
          <w:sz w:val="24"/>
          <w:highlight w:val="none"/>
        </w:rPr>
      </w:pPr>
    </w:p>
    <w:p>
      <w:pPr>
        <w:pStyle w:val="3"/>
        <w:spacing w:before="0" w:after="0" w:line="360" w:lineRule="auto"/>
        <w:ind w:firstLine="640" w:firstLineChars="200"/>
        <w:rPr>
          <w:b w:val="0"/>
          <w:bCs/>
          <w:color w:val="auto"/>
          <w:highlight w:val="none"/>
        </w:rPr>
      </w:pPr>
      <w:bookmarkStart w:id="68" w:name="_Toc361942958"/>
      <w:bookmarkStart w:id="69" w:name="_Toc458089345"/>
      <w:bookmarkStart w:id="70" w:name="_Toc458088732"/>
      <w:bookmarkStart w:id="71" w:name="_Toc361599146"/>
      <w:bookmarkStart w:id="72" w:name="_Toc458095090"/>
      <w:bookmarkStart w:id="73" w:name="_Toc20151"/>
      <w:bookmarkStart w:id="74" w:name="_Toc458088966"/>
      <w:r>
        <w:rPr>
          <w:rFonts w:hint="eastAsia"/>
          <w:b w:val="0"/>
          <w:bCs/>
          <w:color w:val="auto"/>
          <w:highlight w:val="none"/>
        </w:rPr>
        <w:t>三、课程安排</w:t>
      </w:r>
      <w:bookmarkEnd w:id="68"/>
      <w:bookmarkEnd w:id="69"/>
      <w:bookmarkEnd w:id="70"/>
      <w:bookmarkEnd w:id="71"/>
      <w:bookmarkEnd w:id="72"/>
      <w:bookmarkEnd w:id="73"/>
      <w:bookmarkEnd w:id="74"/>
    </w:p>
    <w:p>
      <w:pPr>
        <w:autoSpaceDE w:val="0"/>
        <w:autoSpaceDN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基于工作过程系统化的课程是一种在结构、内容、导向、方法等方面完全不同于传统学科型的课程模式，如表3.1中所示。</w:t>
      </w:r>
    </w:p>
    <w:p>
      <w:pPr>
        <w:autoSpaceDE w:val="0"/>
        <w:autoSpaceDN w:val="0"/>
        <w:spacing w:line="360" w:lineRule="auto"/>
        <w:ind w:firstLine="475" w:firstLineChars="198"/>
        <w:rPr>
          <w:rFonts w:ascii="宋体" w:hAnsi="宋体"/>
          <w:color w:val="auto"/>
          <w:sz w:val="24"/>
          <w:highlight w:val="none"/>
        </w:rPr>
      </w:pPr>
      <w:r>
        <w:rPr>
          <w:rFonts w:hint="eastAsia" w:ascii="宋体" w:hAnsi="宋体"/>
          <w:color w:val="auto"/>
          <w:sz w:val="24"/>
          <w:highlight w:val="none"/>
        </w:rPr>
        <w:t>基于工作过程系统化的课程体系打破了单一的学习模式，教学过程是教师在做中教，学生在做中学。教学环境应与工作环境接近，实现学校文化与企业文化的有机融合。所以，建设的校内实训基地应是生产型的“教学工厂”，既可以生产，又具备教学功能，彻底摆脱理论验证型的教学模式。</w:t>
      </w:r>
    </w:p>
    <w:p>
      <w:pPr>
        <w:autoSpaceDE w:val="0"/>
        <w:autoSpaceDN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煤化工技术专业以职业能力培养为主线，坚持理论与实践并重，采取“理论教学-仿真实训”工学交替的教学组织模式，保障了学生能够在仿真实训的条件下进行实践能力的培养和提高。这不仅加深了学生对理论知识的理解，同时培养了他们的实践动手能力，能够提高综合素养，与就业进行良好衔接。</w:t>
      </w:r>
    </w:p>
    <w:p>
      <w:pPr>
        <w:spacing w:line="360" w:lineRule="auto"/>
        <w:ind w:firstLine="480" w:firstLineChars="200"/>
        <w:jc w:val="center"/>
        <w:rPr>
          <w:rFonts w:ascii="宋体" w:hAnsi="宋体"/>
          <w:bCs/>
          <w:color w:val="auto"/>
          <w:sz w:val="24"/>
          <w:highlight w:val="none"/>
        </w:rPr>
      </w:pPr>
      <w:r>
        <w:rPr>
          <w:rFonts w:hint="eastAsia" w:ascii="宋体" w:hAnsi="宋体"/>
          <w:bCs/>
          <w:color w:val="auto"/>
          <w:sz w:val="24"/>
          <w:highlight w:val="none"/>
        </w:rPr>
        <w:t>表3.1职业岗位、相关课程、职业能力分析表</w:t>
      </w:r>
    </w:p>
    <w:tbl>
      <w:tblPr>
        <w:tblStyle w:val="14"/>
        <w:tblW w:w="71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6"/>
        <w:gridCol w:w="1515"/>
        <w:gridCol w:w="1320"/>
        <w:gridCol w:w="1185"/>
        <w:gridCol w:w="1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546" w:type="dxa"/>
            <w:vMerge w:val="restart"/>
            <w:noWrap/>
            <w:vAlign w:val="center"/>
          </w:tcPr>
          <w:p>
            <w:pPr>
              <w:autoSpaceDN w:val="0"/>
              <w:spacing w:line="360" w:lineRule="auto"/>
              <w:jc w:val="center"/>
              <w:textAlignment w:val="center"/>
              <w:rPr>
                <w:rFonts w:ascii="宋体" w:hAnsi="宋体"/>
                <w:bCs/>
                <w:color w:val="auto"/>
                <w:szCs w:val="21"/>
                <w:highlight w:val="none"/>
              </w:rPr>
            </w:pPr>
            <w:r>
              <w:rPr>
                <w:rFonts w:hint="eastAsia" w:ascii="宋体" w:hAnsi="宋体"/>
                <w:bCs/>
                <w:color w:val="auto"/>
                <w:szCs w:val="21"/>
                <w:highlight w:val="none"/>
              </w:rPr>
              <w:t>职业岗位</w:t>
            </w:r>
          </w:p>
        </w:tc>
        <w:tc>
          <w:tcPr>
            <w:tcW w:w="1515" w:type="dxa"/>
            <w:vMerge w:val="restart"/>
            <w:noWrap/>
            <w:vAlign w:val="center"/>
          </w:tcPr>
          <w:p>
            <w:pPr>
              <w:autoSpaceDN w:val="0"/>
              <w:spacing w:line="360" w:lineRule="auto"/>
              <w:jc w:val="center"/>
              <w:textAlignment w:val="center"/>
              <w:rPr>
                <w:rFonts w:ascii="宋体" w:hAnsi="宋体"/>
                <w:bCs/>
                <w:color w:val="auto"/>
                <w:szCs w:val="21"/>
                <w:highlight w:val="none"/>
              </w:rPr>
            </w:pPr>
            <w:r>
              <w:rPr>
                <w:rFonts w:hint="eastAsia" w:ascii="宋体" w:hAnsi="宋体"/>
                <w:bCs/>
                <w:color w:val="auto"/>
                <w:szCs w:val="21"/>
                <w:highlight w:val="none"/>
              </w:rPr>
              <w:t>相关课程</w:t>
            </w:r>
          </w:p>
        </w:tc>
        <w:tc>
          <w:tcPr>
            <w:tcW w:w="4086" w:type="dxa"/>
            <w:gridSpan w:val="3"/>
            <w:noWrap/>
            <w:vAlign w:val="center"/>
          </w:tcPr>
          <w:p>
            <w:pPr>
              <w:autoSpaceDN w:val="0"/>
              <w:spacing w:line="360" w:lineRule="auto"/>
              <w:jc w:val="center"/>
              <w:textAlignment w:val="center"/>
              <w:rPr>
                <w:rFonts w:ascii="宋体" w:hAnsi="宋体"/>
                <w:bCs/>
                <w:color w:val="auto"/>
                <w:szCs w:val="21"/>
                <w:highlight w:val="none"/>
              </w:rPr>
            </w:pPr>
            <w:r>
              <w:rPr>
                <w:rFonts w:hint="eastAsia" w:ascii="宋体" w:hAnsi="宋体"/>
                <w:bCs/>
                <w:color w:val="auto"/>
                <w:szCs w:val="21"/>
                <w:highlight w:val="none"/>
              </w:rPr>
              <w:t>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1546" w:type="dxa"/>
            <w:vMerge w:val="continue"/>
            <w:noWrap/>
            <w:vAlign w:val="center"/>
          </w:tcPr>
          <w:p>
            <w:pPr>
              <w:spacing w:line="360" w:lineRule="auto"/>
              <w:jc w:val="center"/>
              <w:rPr>
                <w:rFonts w:ascii="宋体" w:hAnsi="宋体"/>
                <w:color w:val="auto"/>
                <w:szCs w:val="21"/>
                <w:highlight w:val="none"/>
              </w:rPr>
            </w:pPr>
          </w:p>
        </w:tc>
        <w:tc>
          <w:tcPr>
            <w:tcW w:w="1515" w:type="dxa"/>
            <w:vMerge w:val="continue"/>
            <w:noWrap/>
            <w:vAlign w:val="center"/>
          </w:tcPr>
          <w:p>
            <w:pPr>
              <w:spacing w:line="360" w:lineRule="auto"/>
              <w:jc w:val="center"/>
              <w:rPr>
                <w:rFonts w:ascii="宋体" w:hAnsi="宋体"/>
                <w:color w:val="auto"/>
                <w:szCs w:val="21"/>
                <w:highlight w:val="none"/>
              </w:rPr>
            </w:pPr>
          </w:p>
        </w:tc>
        <w:tc>
          <w:tcPr>
            <w:tcW w:w="1320" w:type="dxa"/>
            <w:noWrap/>
            <w:vAlign w:val="center"/>
          </w:tcPr>
          <w:p>
            <w:pPr>
              <w:autoSpaceDN w:val="0"/>
              <w:spacing w:line="360" w:lineRule="auto"/>
              <w:jc w:val="center"/>
              <w:textAlignment w:val="center"/>
              <w:rPr>
                <w:rFonts w:ascii="宋体" w:hAnsi="宋体"/>
                <w:bCs/>
                <w:color w:val="auto"/>
                <w:szCs w:val="21"/>
                <w:highlight w:val="none"/>
              </w:rPr>
            </w:pPr>
            <w:r>
              <w:rPr>
                <w:rFonts w:hint="eastAsia" w:ascii="宋体" w:hAnsi="宋体"/>
                <w:bCs/>
                <w:color w:val="auto"/>
                <w:szCs w:val="21"/>
                <w:highlight w:val="none"/>
              </w:rPr>
              <w:t>专业能力</w:t>
            </w:r>
          </w:p>
        </w:tc>
        <w:tc>
          <w:tcPr>
            <w:tcW w:w="1185" w:type="dxa"/>
            <w:noWrap/>
            <w:vAlign w:val="center"/>
          </w:tcPr>
          <w:p>
            <w:pPr>
              <w:autoSpaceDN w:val="0"/>
              <w:spacing w:line="360" w:lineRule="auto"/>
              <w:jc w:val="center"/>
              <w:textAlignment w:val="center"/>
              <w:rPr>
                <w:rFonts w:ascii="宋体" w:hAnsi="宋体"/>
                <w:bCs/>
                <w:color w:val="auto"/>
                <w:szCs w:val="21"/>
                <w:highlight w:val="none"/>
              </w:rPr>
            </w:pPr>
            <w:r>
              <w:rPr>
                <w:rFonts w:hint="eastAsia" w:ascii="宋体" w:hAnsi="宋体"/>
                <w:bCs/>
                <w:color w:val="auto"/>
                <w:szCs w:val="21"/>
                <w:highlight w:val="none"/>
              </w:rPr>
              <w:t>社会能力</w:t>
            </w:r>
          </w:p>
        </w:tc>
        <w:tc>
          <w:tcPr>
            <w:tcW w:w="1581" w:type="dxa"/>
            <w:noWrap/>
            <w:vAlign w:val="center"/>
          </w:tcPr>
          <w:p>
            <w:pPr>
              <w:autoSpaceDN w:val="0"/>
              <w:spacing w:line="360" w:lineRule="auto"/>
              <w:jc w:val="center"/>
              <w:textAlignment w:val="center"/>
              <w:rPr>
                <w:rFonts w:ascii="宋体" w:hAnsi="宋体"/>
                <w:bCs/>
                <w:color w:val="auto"/>
                <w:szCs w:val="21"/>
                <w:highlight w:val="none"/>
              </w:rPr>
            </w:pPr>
            <w:r>
              <w:rPr>
                <w:rFonts w:hint="eastAsia" w:ascii="宋体" w:hAnsi="宋体"/>
                <w:bCs/>
                <w:color w:val="auto"/>
                <w:szCs w:val="21"/>
                <w:highlight w:val="none"/>
              </w:rPr>
              <w:t>方法能力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6" w:hRule="atLeast"/>
          <w:jc w:val="center"/>
        </w:trPr>
        <w:tc>
          <w:tcPr>
            <w:tcW w:w="1546" w:type="dxa"/>
            <w:noWrap/>
            <w:vAlign w:val="center"/>
          </w:tcPr>
          <w:p>
            <w:pPr>
              <w:rPr>
                <w:color w:val="auto"/>
                <w:highlight w:val="none"/>
              </w:rPr>
            </w:pPr>
          </w:p>
          <w:p>
            <w:pPr>
              <w:rPr>
                <w:color w:val="auto"/>
                <w:highlight w:val="none"/>
              </w:rPr>
            </w:pPr>
          </w:p>
          <w:p>
            <w:pPr>
              <w:rPr>
                <w:color w:val="auto"/>
                <w:highlight w:val="none"/>
              </w:rPr>
            </w:pPr>
          </w:p>
          <w:p>
            <w:pPr>
              <w:autoSpaceDN w:val="0"/>
              <w:jc w:val="center"/>
              <w:textAlignment w:val="center"/>
              <w:rPr>
                <w:rFonts w:ascii="宋体" w:hAnsi="宋体"/>
                <w:color w:val="auto"/>
                <w:szCs w:val="21"/>
                <w:highlight w:val="none"/>
              </w:rPr>
            </w:pPr>
            <w:r>
              <w:rPr>
                <w:rFonts w:hint="eastAsia" w:ascii="宋体" w:hAnsi="宋体"/>
                <w:color w:val="auto"/>
                <w:szCs w:val="21"/>
                <w:highlight w:val="none"/>
              </w:rPr>
              <w:t>产</w:t>
            </w:r>
          </w:p>
          <w:p>
            <w:pPr>
              <w:autoSpaceDN w:val="0"/>
              <w:jc w:val="center"/>
              <w:textAlignment w:val="center"/>
              <w:rPr>
                <w:rFonts w:ascii="宋体" w:hAnsi="宋体"/>
                <w:color w:val="auto"/>
                <w:szCs w:val="21"/>
                <w:highlight w:val="none"/>
              </w:rPr>
            </w:pPr>
            <w:r>
              <w:rPr>
                <w:rFonts w:hint="eastAsia" w:ascii="宋体" w:hAnsi="宋体"/>
                <w:color w:val="auto"/>
                <w:szCs w:val="21"/>
                <w:highlight w:val="none"/>
              </w:rPr>
              <w:t>品</w:t>
            </w:r>
          </w:p>
          <w:p>
            <w:pPr>
              <w:autoSpaceDN w:val="0"/>
              <w:jc w:val="center"/>
              <w:textAlignment w:val="center"/>
              <w:rPr>
                <w:rFonts w:ascii="宋体" w:hAnsi="宋体"/>
                <w:color w:val="auto"/>
                <w:szCs w:val="21"/>
                <w:highlight w:val="none"/>
              </w:rPr>
            </w:pPr>
            <w:r>
              <w:rPr>
                <w:rFonts w:hint="eastAsia" w:ascii="宋体" w:hAnsi="宋体"/>
                <w:color w:val="auto"/>
                <w:szCs w:val="21"/>
                <w:highlight w:val="none"/>
              </w:rPr>
              <w:t>质</w:t>
            </w:r>
          </w:p>
          <w:p>
            <w:pPr>
              <w:autoSpaceDN w:val="0"/>
              <w:jc w:val="center"/>
              <w:textAlignment w:val="center"/>
              <w:rPr>
                <w:rFonts w:ascii="宋体" w:hAnsi="宋体"/>
                <w:color w:val="auto"/>
                <w:szCs w:val="21"/>
                <w:highlight w:val="none"/>
              </w:rPr>
            </w:pPr>
            <w:r>
              <w:rPr>
                <w:rFonts w:hint="eastAsia" w:ascii="宋体" w:hAnsi="宋体"/>
                <w:color w:val="auto"/>
                <w:szCs w:val="21"/>
                <w:highlight w:val="none"/>
              </w:rPr>
              <w:t>量</w:t>
            </w:r>
          </w:p>
          <w:p>
            <w:pPr>
              <w:autoSpaceDN w:val="0"/>
              <w:jc w:val="center"/>
              <w:textAlignment w:val="center"/>
              <w:rPr>
                <w:rFonts w:ascii="宋体" w:hAnsi="宋体"/>
                <w:color w:val="auto"/>
                <w:szCs w:val="21"/>
                <w:highlight w:val="none"/>
              </w:rPr>
            </w:pPr>
            <w:r>
              <w:rPr>
                <w:rFonts w:hint="eastAsia" w:ascii="宋体" w:hAnsi="宋体"/>
                <w:color w:val="auto"/>
                <w:szCs w:val="21"/>
                <w:highlight w:val="none"/>
              </w:rPr>
              <w:t>检</w:t>
            </w:r>
          </w:p>
          <w:p>
            <w:pPr>
              <w:autoSpaceDN w:val="0"/>
              <w:jc w:val="center"/>
              <w:textAlignment w:val="center"/>
              <w:rPr>
                <w:rFonts w:ascii="宋体" w:hAnsi="宋体"/>
                <w:color w:val="auto"/>
                <w:szCs w:val="21"/>
                <w:highlight w:val="none"/>
              </w:rPr>
            </w:pPr>
            <w:r>
              <w:rPr>
                <w:rFonts w:hint="eastAsia" w:ascii="宋体" w:hAnsi="宋体"/>
                <w:color w:val="auto"/>
                <w:szCs w:val="21"/>
                <w:highlight w:val="none"/>
              </w:rPr>
              <w:t>验</w:t>
            </w:r>
          </w:p>
          <w:p>
            <w:pPr>
              <w:rPr>
                <w:color w:val="auto"/>
                <w:highlight w:val="none"/>
              </w:rPr>
            </w:pPr>
          </w:p>
          <w:p>
            <w:pPr>
              <w:autoSpaceDN w:val="0"/>
              <w:jc w:val="center"/>
              <w:textAlignment w:val="center"/>
              <w:rPr>
                <w:rFonts w:ascii="宋体" w:hAnsi="宋体"/>
                <w:color w:val="auto"/>
                <w:szCs w:val="21"/>
                <w:highlight w:val="none"/>
              </w:rPr>
            </w:pPr>
          </w:p>
        </w:tc>
        <w:tc>
          <w:tcPr>
            <w:tcW w:w="1515"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基础化学，化学分析(含实训)、煤化学等</w:t>
            </w:r>
          </w:p>
        </w:tc>
        <w:tc>
          <w:tcPr>
            <w:tcW w:w="1320"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测试仪器和设备的正确使用；能够根据数据分析的结果进行生产的指导</w:t>
            </w:r>
          </w:p>
        </w:tc>
        <w:tc>
          <w:tcPr>
            <w:tcW w:w="1185"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产品质量、产品分析；</w:t>
            </w:r>
          </w:p>
        </w:tc>
        <w:tc>
          <w:tcPr>
            <w:tcW w:w="1581"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能独立或小组协作制定工作计划并进行实施；能科学分析和解决问题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4" w:hRule="atLeast"/>
          <w:jc w:val="center"/>
        </w:trPr>
        <w:tc>
          <w:tcPr>
            <w:tcW w:w="1546" w:type="dxa"/>
            <w:noWrap/>
            <w:vAlign w:val="center"/>
          </w:tcPr>
          <w:p>
            <w:pPr>
              <w:rPr>
                <w:color w:val="auto"/>
                <w:highlight w:val="none"/>
              </w:rPr>
            </w:pPr>
          </w:p>
          <w:p>
            <w:pPr>
              <w:autoSpaceDN w:val="0"/>
              <w:jc w:val="center"/>
              <w:textAlignment w:val="center"/>
              <w:rPr>
                <w:rFonts w:ascii="宋体" w:hAnsi="宋体"/>
                <w:color w:val="auto"/>
                <w:szCs w:val="21"/>
                <w:highlight w:val="none"/>
              </w:rPr>
            </w:pPr>
            <w:r>
              <w:rPr>
                <w:rFonts w:hint="eastAsia" w:ascii="宋体" w:hAnsi="宋体"/>
                <w:color w:val="auto"/>
                <w:szCs w:val="21"/>
                <w:highlight w:val="none"/>
              </w:rPr>
              <w:t>现</w:t>
            </w:r>
          </w:p>
          <w:p>
            <w:pPr>
              <w:autoSpaceDN w:val="0"/>
              <w:jc w:val="center"/>
              <w:textAlignment w:val="center"/>
              <w:rPr>
                <w:rFonts w:ascii="宋体" w:hAnsi="宋体"/>
                <w:color w:val="auto"/>
                <w:szCs w:val="21"/>
                <w:highlight w:val="none"/>
              </w:rPr>
            </w:pPr>
            <w:r>
              <w:rPr>
                <w:rFonts w:hint="eastAsia" w:ascii="宋体" w:hAnsi="宋体"/>
                <w:color w:val="auto"/>
                <w:szCs w:val="21"/>
                <w:highlight w:val="none"/>
              </w:rPr>
              <w:t>场</w:t>
            </w:r>
          </w:p>
          <w:p>
            <w:pPr>
              <w:autoSpaceDN w:val="0"/>
              <w:jc w:val="center"/>
              <w:textAlignment w:val="center"/>
              <w:rPr>
                <w:rFonts w:ascii="宋体" w:hAnsi="宋体"/>
                <w:color w:val="auto"/>
                <w:szCs w:val="21"/>
                <w:highlight w:val="none"/>
              </w:rPr>
            </w:pPr>
            <w:r>
              <w:rPr>
                <w:rFonts w:hint="eastAsia" w:ascii="宋体" w:hAnsi="宋体"/>
                <w:color w:val="auto"/>
                <w:szCs w:val="21"/>
                <w:highlight w:val="none"/>
              </w:rPr>
              <w:t>工</w:t>
            </w:r>
          </w:p>
          <w:p>
            <w:pPr>
              <w:autoSpaceDN w:val="0"/>
              <w:jc w:val="center"/>
              <w:textAlignment w:val="center"/>
              <w:rPr>
                <w:rFonts w:ascii="宋体" w:hAnsi="宋体"/>
                <w:color w:val="auto"/>
                <w:szCs w:val="21"/>
                <w:highlight w:val="none"/>
              </w:rPr>
            </w:pPr>
            <w:r>
              <w:rPr>
                <w:rFonts w:hint="eastAsia" w:ascii="宋体" w:hAnsi="宋体"/>
                <w:color w:val="auto"/>
                <w:szCs w:val="21"/>
                <w:highlight w:val="none"/>
              </w:rPr>
              <w:t>艺</w:t>
            </w:r>
          </w:p>
          <w:p>
            <w:pPr>
              <w:autoSpaceDN w:val="0"/>
              <w:jc w:val="center"/>
              <w:textAlignment w:val="center"/>
              <w:rPr>
                <w:rFonts w:ascii="宋体" w:hAnsi="宋体"/>
                <w:color w:val="auto"/>
                <w:szCs w:val="21"/>
                <w:highlight w:val="none"/>
              </w:rPr>
            </w:pPr>
            <w:r>
              <w:rPr>
                <w:rFonts w:hint="eastAsia" w:ascii="宋体" w:hAnsi="宋体"/>
                <w:color w:val="auto"/>
                <w:szCs w:val="21"/>
                <w:highlight w:val="none"/>
              </w:rPr>
              <w:t>操</w:t>
            </w:r>
          </w:p>
          <w:p>
            <w:pPr>
              <w:autoSpaceDN w:val="0"/>
              <w:jc w:val="center"/>
              <w:textAlignment w:val="center"/>
              <w:rPr>
                <w:rFonts w:ascii="宋体" w:hAnsi="宋体"/>
                <w:color w:val="auto"/>
                <w:szCs w:val="21"/>
                <w:highlight w:val="none"/>
              </w:rPr>
            </w:pPr>
            <w:r>
              <w:rPr>
                <w:rFonts w:hint="eastAsia" w:ascii="宋体" w:hAnsi="宋体"/>
                <w:color w:val="auto"/>
                <w:szCs w:val="21"/>
                <w:highlight w:val="none"/>
              </w:rPr>
              <w:t>作</w:t>
            </w:r>
          </w:p>
        </w:tc>
        <w:tc>
          <w:tcPr>
            <w:tcW w:w="1515"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化工制图与</w:t>
            </w:r>
            <w:r>
              <w:rPr>
                <w:rFonts w:ascii="宋体" w:hAnsi="宋体"/>
                <w:color w:val="auto"/>
                <w:szCs w:val="21"/>
                <w:highlight w:val="none"/>
              </w:rPr>
              <w:t>CAD</w:t>
            </w:r>
            <w:r>
              <w:rPr>
                <w:rFonts w:hint="eastAsia" w:ascii="宋体" w:hAnsi="宋体"/>
                <w:color w:val="auto"/>
                <w:szCs w:val="21"/>
                <w:highlight w:val="none"/>
              </w:rPr>
              <w:t>、化工单元操作、化工热力学、煤化工工艺学、无机化工生产技术、煤炭气化等</w:t>
            </w:r>
          </w:p>
        </w:tc>
        <w:tc>
          <w:tcPr>
            <w:tcW w:w="1320"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常用化工单元操作系统的仿真操作：物料输送、传热、分离过程控制能力等，能够模拟现场操作实训</w:t>
            </w:r>
          </w:p>
        </w:tc>
        <w:tc>
          <w:tcPr>
            <w:tcW w:w="1185"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具有较强的口头表达与书面表达能力；具有团队协作精神；能克服困难、具良好心理素质</w:t>
            </w:r>
          </w:p>
        </w:tc>
        <w:tc>
          <w:tcPr>
            <w:tcW w:w="1581"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能通过各种媒体资源查找所需信息；能独立或小组协作制定工作计划并进行实施；能掌握当前的先进工艺生产情况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2" w:hRule="atLeast"/>
          <w:jc w:val="center"/>
        </w:trPr>
        <w:tc>
          <w:tcPr>
            <w:tcW w:w="1546" w:type="dxa"/>
            <w:noWrap/>
            <w:vAlign w:val="center"/>
          </w:tcPr>
          <w:p>
            <w:pPr>
              <w:rPr>
                <w:color w:val="auto"/>
                <w:highlight w:val="none"/>
              </w:rPr>
            </w:pPr>
          </w:p>
          <w:p>
            <w:pPr>
              <w:autoSpaceDN w:val="0"/>
              <w:jc w:val="center"/>
              <w:textAlignment w:val="center"/>
              <w:rPr>
                <w:rFonts w:ascii="宋体" w:hAnsi="宋体"/>
                <w:color w:val="auto"/>
                <w:szCs w:val="21"/>
                <w:highlight w:val="none"/>
              </w:rPr>
            </w:pPr>
            <w:r>
              <w:rPr>
                <w:rFonts w:hint="eastAsia" w:ascii="宋体" w:hAnsi="宋体"/>
                <w:color w:val="auto"/>
                <w:szCs w:val="21"/>
                <w:highlight w:val="none"/>
              </w:rPr>
              <w:t>化</w:t>
            </w:r>
          </w:p>
          <w:p>
            <w:pPr>
              <w:autoSpaceDN w:val="0"/>
              <w:jc w:val="center"/>
              <w:textAlignment w:val="center"/>
              <w:rPr>
                <w:rFonts w:ascii="宋体" w:hAnsi="宋体"/>
                <w:color w:val="auto"/>
                <w:szCs w:val="21"/>
                <w:highlight w:val="none"/>
              </w:rPr>
            </w:pPr>
            <w:r>
              <w:rPr>
                <w:rFonts w:hint="eastAsia" w:ascii="宋体" w:hAnsi="宋体"/>
                <w:color w:val="auto"/>
                <w:szCs w:val="21"/>
                <w:highlight w:val="none"/>
              </w:rPr>
              <w:t>工</w:t>
            </w:r>
          </w:p>
          <w:p>
            <w:pPr>
              <w:autoSpaceDN w:val="0"/>
              <w:jc w:val="center"/>
              <w:textAlignment w:val="center"/>
              <w:rPr>
                <w:rFonts w:ascii="宋体" w:hAnsi="宋体"/>
                <w:color w:val="auto"/>
                <w:szCs w:val="21"/>
                <w:highlight w:val="none"/>
              </w:rPr>
            </w:pPr>
            <w:r>
              <w:rPr>
                <w:rFonts w:hint="eastAsia" w:ascii="宋体" w:hAnsi="宋体"/>
                <w:color w:val="auto"/>
                <w:szCs w:val="21"/>
                <w:highlight w:val="none"/>
              </w:rPr>
              <w:t>主</w:t>
            </w:r>
          </w:p>
          <w:p>
            <w:pPr>
              <w:autoSpaceDN w:val="0"/>
              <w:jc w:val="center"/>
              <w:textAlignment w:val="center"/>
              <w:rPr>
                <w:rFonts w:ascii="宋体" w:hAnsi="宋体"/>
                <w:color w:val="auto"/>
                <w:szCs w:val="21"/>
                <w:highlight w:val="none"/>
              </w:rPr>
            </w:pPr>
            <w:r>
              <w:rPr>
                <w:rFonts w:hint="eastAsia" w:ascii="宋体" w:hAnsi="宋体"/>
                <w:color w:val="auto"/>
                <w:szCs w:val="21"/>
                <w:highlight w:val="none"/>
              </w:rPr>
              <w:t>控</w:t>
            </w:r>
          </w:p>
          <w:p>
            <w:pPr>
              <w:autoSpaceDN w:val="0"/>
              <w:jc w:val="center"/>
              <w:textAlignment w:val="center"/>
              <w:rPr>
                <w:rFonts w:ascii="宋体" w:hAnsi="宋体"/>
                <w:color w:val="auto"/>
                <w:szCs w:val="21"/>
                <w:highlight w:val="none"/>
              </w:rPr>
            </w:pPr>
            <w:r>
              <w:rPr>
                <w:rFonts w:hint="eastAsia" w:ascii="宋体" w:hAnsi="宋体"/>
                <w:color w:val="auto"/>
                <w:szCs w:val="21"/>
                <w:highlight w:val="none"/>
              </w:rPr>
              <w:t>操</w:t>
            </w:r>
          </w:p>
          <w:p>
            <w:pPr>
              <w:autoSpaceDN w:val="0"/>
              <w:jc w:val="center"/>
              <w:textAlignment w:val="center"/>
              <w:rPr>
                <w:rFonts w:ascii="宋体" w:hAnsi="宋体"/>
                <w:color w:val="auto"/>
                <w:szCs w:val="21"/>
                <w:highlight w:val="none"/>
              </w:rPr>
            </w:pPr>
            <w:r>
              <w:rPr>
                <w:rFonts w:hint="eastAsia" w:ascii="宋体" w:hAnsi="宋体"/>
                <w:color w:val="auto"/>
                <w:szCs w:val="21"/>
                <w:highlight w:val="none"/>
              </w:rPr>
              <w:t>作</w:t>
            </w:r>
          </w:p>
        </w:tc>
        <w:tc>
          <w:tcPr>
            <w:tcW w:w="1515"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煤化工工艺学、化工安全生产、化工仪表、煤炭气化、化工环境保护等</w:t>
            </w:r>
          </w:p>
        </w:tc>
        <w:tc>
          <w:tcPr>
            <w:tcW w:w="1320"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熟悉各种工艺参数和仪表的正确使用</w:t>
            </w:r>
          </w:p>
        </w:tc>
        <w:tc>
          <w:tcPr>
            <w:tcW w:w="1185"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安全生产管理能力</w:t>
            </w:r>
          </w:p>
        </w:tc>
        <w:tc>
          <w:tcPr>
            <w:tcW w:w="1581"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能够对异常情况作出及时并正确的判断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1546" w:type="dxa"/>
            <w:noWrap/>
            <w:vAlign w:val="center"/>
          </w:tcPr>
          <w:p>
            <w:pPr>
              <w:rPr>
                <w:color w:val="auto"/>
                <w:highlight w:val="none"/>
              </w:rPr>
            </w:pPr>
          </w:p>
          <w:p>
            <w:pPr>
              <w:autoSpaceDN w:val="0"/>
              <w:jc w:val="center"/>
              <w:textAlignment w:val="center"/>
              <w:rPr>
                <w:rFonts w:ascii="宋体" w:hAnsi="宋体"/>
                <w:color w:val="auto"/>
                <w:szCs w:val="21"/>
                <w:highlight w:val="none"/>
              </w:rPr>
            </w:pPr>
            <w:r>
              <w:rPr>
                <w:rFonts w:hint="eastAsia" w:ascii="宋体" w:hAnsi="宋体"/>
                <w:color w:val="auto"/>
                <w:szCs w:val="21"/>
                <w:highlight w:val="none"/>
              </w:rPr>
              <w:t>设</w:t>
            </w:r>
          </w:p>
          <w:p>
            <w:pPr>
              <w:autoSpaceDN w:val="0"/>
              <w:jc w:val="center"/>
              <w:textAlignment w:val="center"/>
              <w:rPr>
                <w:rFonts w:ascii="宋体" w:hAnsi="宋体"/>
                <w:color w:val="auto"/>
                <w:szCs w:val="21"/>
                <w:highlight w:val="none"/>
              </w:rPr>
            </w:pPr>
            <w:r>
              <w:rPr>
                <w:rFonts w:hint="eastAsia" w:ascii="宋体" w:hAnsi="宋体"/>
                <w:color w:val="auto"/>
                <w:szCs w:val="21"/>
                <w:highlight w:val="none"/>
              </w:rPr>
              <w:t>备</w:t>
            </w:r>
          </w:p>
          <w:p>
            <w:pPr>
              <w:autoSpaceDN w:val="0"/>
              <w:jc w:val="center"/>
              <w:textAlignment w:val="center"/>
              <w:rPr>
                <w:rFonts w:ascii="宋体" w:hAnsi="宋体"/>
                <w:color w:val="auto"/>
                <w:szCs w:val="21"/>
                <w:highlight w:val="none"/>
              </w:rPr>
            </w:pPr>
            <w:r>
              <w:rPr>
                <w:rFonts w:hint="eastAsia" w:ascii="宋体" w:hAnsi="宋体"/>
                <w:color w:val="auto"/>
                <w:szCs w:val="21"/>
                <w:highlight w:val="none"/>
              </w:rPr>
              <w:t>操</w:t>
            </w:r>
          </w:p>
          <w:p>
            <w:pPr>
              <w:autoSpaceDN w:val="0"/>
              <w:jc w:val="center"/>
              <w:textAlignment w:val="center"/>
              <w:rPr>
                <w:rFonts w:ascii="宋体" w:hAnsi="宋体"/>
                <w:color w:val="auto"/>
                <w:szCs w:val="21"/>
                <w:highlight w:val="none"/>
              </w:rPr>
            </w:pPr>
            <w:r>
              <w:rPr>
                <w:rFonts w:hint="eastAsia" w:ascii="宋体" w:hAnsi="宋体"/>
                <w:color w:val="auto"/>
                <w:szCs w:val="21"/>
                <w:highlight w:val="none"/>
              </w:rPr>
              <w:t>作</w:t>
            </w:r>
          </w:p>
          <w:p>
            <w:pPr>
              <w:autoSpaceDN w:val="0"/>
              <w:jc w:val="center"/>
              <w:textAlignment w:val="center"/>
              <w:rPr>
                <w:rFonts w:ascii="宋体" w:hAnsi="宋体"/>
                <w:color w:val="auto"/>
                <w:szCs w:val="21"/>
                <w:highlight w:val="none"/>
              </w:rPr>
            </w:pPr>
            <w:r>
              <w:rPr>
                <w:rFonts w:hint="eastAsia" w:ascii="宋体" w:hAnsi="宋体"/>
                <w:color w:val="auto"/>
                <w:szCs w:val="21"/>
                <w:highlight w:val="none"/>
              </w:rPr>
              <w:t>与</w:t>
            </w:r>
          </w:p>
          <w:p>
            <w:pPr>
              <w:autoSpaceDN w:val="0"/>
              <w:jc w:val="center"/>
              <w:textAlignment w:val="center"/>
              <w:rPr>
                <w:rFonts w:ascii="宋体" w:hAnsi="宋体"/>
                <w:color w:val="auto"/>
                <w:szCs w:val="21"/>
                <w:highlight w:val="none"/>
              </w:rPr>
            </w:pPr>
            <w:r>
              <w:rPr>
                <w:rFonts w:hint="eastAsia" w:ascii="宋体" w:hAnsi="宋体"/>
                <w:color w:val="auto"/>
                <w:szCs w:val="21"/>
                <w:highlight w:val="none"/>
              </w:rPr>
              <w:t>维</w:t>
            </w:r>
          </w:p>
          <w:p>
            <w:pPr>
              <w:autoSpaceDN w:val="0"/>
              <w:jc w:val="center"/>
              <w:textAlignment w:val="center"/>
              <w:rPr>
                <w:rFonts w:ascii="宋体" w:hAnsi="宋体"/>
                <w:color w:val="auto"/>
                <w:szCs w:val="21"/>
                <w:highlight w:val="none"/>
              </w:rPr>
            </w:pPr>
            <w:r>
              <w:rPr>
                <w:rFonts w:hint="eastAsia" w:ascii="宋体" w:hAnsi="宋体"/>
                <w:color w:val="auto"/>
                <w:szCs w:val="21"/>
                <w:highlight w:val="none"/>
              </w:rPr>
              <w:t>护</w:t>
            </w:r>
          </w:p>
        </w:tc>
        <w:tc>
          <w:tcPr>
            <w:tcW w:w="1515"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 xml:space="preserve">化工设备、化工仪表、化工安全生产等 </w:t>
            </w:r>
          </w:p>
        </w:tc>
        <w:tc>
          <w:tcPr>
            <w:tcW w:w="1320"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安全正确的操作使用煤化工设备；能够对煤化工该设备进行日常维护管理</w:t>
            </w:r>
          </w:p>
        </w:tc>
        <w:tc>
          <w:tcPr>
            <w:tcW w:w="1185"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较强的实践操作能力</w:t>
            </w:r>
          </w:p>
        </w:tc>
        <w:tc>
          <w:tcPr>
            <w:tcW w:w="1581"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能够独立诊断煤化工设备中常见的故障现象；能够熟练使用常见的煤化工设备检修工具</w:t>
            </w:r>
          </w:p>
        </w:tc>
      </w:tr>
      <w:bookmarkEnd w:id="58"/>
      <w:bookmarkEnd w:id="59"/>
      <w:bookmarkEnd w:id="60"/>
    </w:tbl>
    <w:p>
      <w:pPr>
        <w:pStyle w:val="2"/>
        <w:spacing w:line="360" w:lineRule="auto"/>
        <w:ind w:firstLine="1080" w:firstLineChars="300"/>
        <w:rPr>
          <w:rFonts w:ascii="黑体" w:hAnsi="黑体" w:eastAsia="黑体" w:cs="黑体"/>
          <w:b w:val="0"/>
          <w:bCs w:val="0"/>
          <w:color w:val="auto"/>
          <w:sz w:val="36"/>
          <w:szCs w:val="36"/>
          <w:highlight w:val="none"/>
        </w:rPr>
      </w:pPr>
      <w:bookmarkStart w:id="75" w:name="_Toc4681"/>
      <w:r>
        <w:rPr>
          <w:rFonts w:hint="eastAsia" w:ascii="黑体" w:hAnsi="黑体" w:eastAsia="黑体" w:cs="黑体"/>
          <w:b w:val="0"/>
          <w:bCs w:val="0"/>
          <w:color w:val="auto"/>
          <w:sz w:val="36"/>
          <w:szCs w:val="36"/>
          <w:highlight w:val="none"/>
        </w:rPr>
        <w:t>第四部分  煤化工技术专业核心课程标准</w:t>
      </w:r>
      <w:bookmarkEnd w:id="75"/>
    </w:p>
    <w:p>
      <w:pPr>
        <w:pStyle w:val="3"/>
        <w:spacing w:before="0" w:after="0" w:line="360" w:lineRule="auto"/>
        <w:ind w:firstLine="320" w:firstLineChars="100"/>
        <w:rPr>
          <w:b w:val="0"/>
          <w:bCs/>
          <w:color w:val="auto"/>
          <w:highlight w:val="none"/>
        </w:rPr>
      </w:pPr>
      <w:bookmarkStart w:id="76" w:name="_Toc17238585"/>
      <w:bookmarkStart w:id="77" w:name="_Toc361913077"/>
      <w:bookmarkStart w:id="78" w:name="_Toc3987"/>
      <w:bookmarkStart w:id="79" w:name="_Toc3958"/>
      <w:bookmarkStart w:id="80" w:name="_Toc339985617"/>
      <w:bookmarkStart w:id="81" w:name="_Toc341338646"/>
      <w:bookmarkStart w:id="82" w:name="_Toc339913816"/>
      <w:r>
        <w:rPr>
          <w:rFonts w:hint="eastAsia"/>
          <w:b w:val="0"/>
          <w:bCs/>
          <w:color w:val="auto"/>
          <w:highlight w:val="none"/>
        </w:rPr>
        <w:t>一、《化工单元操作》核心课程标准</w:t>
      </w:r>
      <w:bookmarkEnd w:id="76"/>
      <w:bookmarkEnd w:id="77"/>
      <w:bookmarkEnd w:id="78"/>
    </w:p>
    <w:bookmarkEnd w:id="79"/>
    <w:tbl>
      <w:tblPr>
        <w:tblStyle w:val="14"/>
        <w:tblW w:w="8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3577"/>
        <w:gridCol w:w="1317"/>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课程编码</w:t>
            </w:r>
          </w:p>
        </w:tc>
        <w:tc>
          <w:tcPr>
            <w:tcW w:w="3577" w:type="dxa"/>
            <w:noWrap/>
            <w:vAlign w:val="center"/>
          </w:tcPr>
          <w:p>
            <w:pPr>
              <w:widowControl/>
              <w:spacing w:line="240" w:lineRule="atLeast"/>
              <w:jc w:val="center"/>
              <w:rPr>
                <w:color w:val="auto"/>
                <w:szCs w:val="21"/>
                <w:highlight w:val="none"/>
              </w:rPr>
            </w:pPr>
            <w:r>
              <w:rPr>
                <w:rFonts w:hint="eastAsia" w:ascii="宋体" w:hAnsi="宋体"/>
                <w:color w:val="auto"/>
                <w:szCs w:val="21"/>
                <w:highlight w:val="none"/>
              </w:rPr>
              <w:t>10030</w:t>
            </w:r>
            <w:r>
              <w:rPr>
                <w:rFonts w:hint="eastAsia" w:ascii="宋体" w:hAnsi="宋体"/>
                <w:color w:val="auto"/>
                <w:szCs w:val="21"/>
                <w:highlight w:val="none"/>
                <w:lang w:val="en-US" w:eastAsia="zh-CN"/>
              </w:rPr>
              <w:t xml:space="preserve">62 </w:t>
            </w:r>
          </w:p>
        </w:tc>
        <w:tc>
          <w:tcPr>
            <w:tcW w:w="1317" w:type="dxa"/>
            <w:noWrap/>
            <w:vAlign w:val="center"/>
          </w:tcPr>
          <w:p>
            <w:pPr>
              <w:spacing w:line="360" w:lineRule="auto"/>
              <w:jc w:val="center"/>
              <w:rPr>
                <w:color w:val="auto"/>
                <w:szCs w:val="21"/>
                <w:highlight w:val="none"/>
              </w:rPr>
            </w:pPr>
            <w:r>
              <w:rPr>
                <w:rFonts w:hAnsi="宋体"/>
                <w:color w:val="auto"/>
                <w:szCs w:val="21"/>
                <w:highlight w:val="none"/>
              </w:rPr>
              <w:t>课程类别</w:t>
            </w:r>
          </w:p>
        </w:tc>
        <w:tc>
          <w:tcPr>
            <w:tcW w:w="1994" w:type="dxa"/>
            <w:noWrap/>
            <w:vAlign w:val="center"/>
          </w:tcPr>
          <w:p>
            <w:pPr>
              <w:spacing w:line="360" w:lineRule="auto"/>
              <w:jc w:val="center"/>
              <w:rPr>
                <w:color w:val="auto"/>
                <w:szCs w:val="21"/>
                <w:highlight w:val="none"/>
              </w:rPr>
            </w:pPr>
            <w:r>
              <w:rPr>
                <w:rFonts w:hAnsi="宋体"/>
                <w:color w:val="auto"/>
                <w:szCs w:val="21"/>
                <w:highlight w:val="none"/>
              </w:rPr>
              <w:t>专业学习领域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计划学时</w:t>
            </w:r>
          </w:p>
        </w:tc>
        <w:tc>
          <w:tcPr>
            <w:tcW w:w="3577" w:type="dxa"/>
            <w:noWrap/>
            <w:vAlign w:val="center"/>
          </w:tcPr>
          <w:p>
            <w:pPr>
              <w:spacing w:line="360" w:lineRule="auto"/>
              <w:jc w:val="center"/>
              <w:rPr>
                <w:color w:val="auto"/>
                <w:szCs w:val="21"/>
                <w:highlight w:val="none"/>
              </w:rPr>
            </w:pPr>
            <w:r>
              <w:rPr>
                <w:color w:val="auto"/>
                <w:szCs w:val="21"/>
                <w:highlight w:val="none"/>
              </w:rPr>
              <w:t>144</w:t>
            </w:r>
          </w:p>
        </w:tc>
        <w:tc>
          <w:tcPr>
            <w:tcW w:w="1317" w:type="dxa"/>
            <w:noWrap/>
            <w:vAlign w:val="center"/>
          </w:tcPr>
          <w:p>
            <w:pPr>
              <w:spacing w:line="360" w:lineRule="auto"/>
              <w:jc w:val="center"/>
              <w:rPr>
                <w:color w:val="auto"/>
                <w:szCs w:val="21"/>
                <w:highlight w:val="none"/>
              </w:rPr>
            </w:pPr>
            <w:r>
              <w:rPr>
                <w:rFonts w:hAnsi="宋体"/>
                <w:color w:val="auto"/>
                <w:szCs w:val="21"/>
                <w:highlight w:val="none"/>
              </w:rPr>
              <w:t>课程类型</w:t>
            </w:r>
          </w:p>
        </w:tc>
        <w:tc>
          <w:tcPr>
            <w:tcW w:w="1994" w:type="dxa"/>
            <w:noWrap/>
            <w:vAlign w:val="center"/>
          </w:tcPr>
          <w:p>
            <w:pPr>
              <w:spacing w:line="360" w:lineRule="auto"/>
              <w:jc w:val="center"/>
              <w:rPr>
                <w:color w:val="auto"/>
                <w:szCs w:val="21"/>
                <w:highlight w:val="none"/>
              </w:rPr>
            </w:pPr>
            <w:r>
              <w:rPr>
                <w:color w:val="auto"/>
                <w:szCs w:val="21"/>
                <w:highlight w:val="none"/>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适用专业</w:t>
            </w:r>
          </w:p>
        </w:tc>
        <w:tc>
          <w:tcPr>
            <w:tcW w:w="3577" w:type="dxa"/>
            <w:noWrap/>
            <w:vAlign w:val="center"/>
          </w:tcPr>
          <w:p>
            <w:pPr>
              <w:spacing w:line="360" w:lineRule="auto"/>
              <w:jc w:val="center"/>
              <w:rPr>
                <w:color w:val="auto"/>
                <w:szCs w:val="21"/>
                <w:highlight w:val="none"/>
              </w:rPr>
            </w:pPr>
            <w:r>
              <w:rPr>
                <w:rFonts w:hAnsi="宋体"/>
                <w:color w:val="auto"/>
                <w:szCs w:val="21"/>
                <w:highlight w:val="none"/>
              </w:rPr>
              <w:t>煤化工技术</w:t>
            </w:r>
          </w:p>
        </w:tc>
        <w:tc>
          <w:tcPr>
            <w:tcW w:w="1317" w:type="dxa"/>
            <w:noWrap/>
            <w:vAlign w:val="center"/>
          </w:tcPr>
          <w:p>
            <w:pPr>
              <w:spacing w:line="360" w:lineRule="auto"/>
              <w:jc w:val="center"/>
              <w:rPr>
                <w:color w:val="auto"/>
                <w:szCs w:val="21"/>
                <w:highlight w:val="none"/>
              </w:rPr>
            </w:pPr>
            <w:r>
              <w:rPr>
                <w:rFonts w:hAnsi="宋体"/>
                <w:color w:val="auto"/>
                <w:szCs w:val="21"/>
                <w:highlight w:val="none"/>
              </w:rPr>
              <w:t>课程性质</w:t>
            </w:r>
          </w:p>
        </w:tc>
        <w:tc>
          <w:tcPr>
            <w:tcW w:w="1994" w:type="dxa"/>
            <w:noWrap/>
            <w:vAlign w:val="center"/>
          </w:tcPr>
          <w:p>
            <w:pPr>
              <w:spacing w:line="360" w:lineRule="auto"/>
              <w:jc w:val="center"/>
              <w:rPr>
                <w:color w:val="auto"/>
                <w:szCs w:val="21"/>
                <w:highlight w:val="none"/>
              </w:rPr>
            </w:pPr>
            <w:r>
              <w:rPr>
                <w:rFonts w:hAnsi="宋体"/>
                <w:color w:val="auto"/>
                <w:szCs w:val="21"/>
                <w:highlight w:val="none"/>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开课学期</w:t>
            </w:r>
          </w:p>
        </w:tc>
        <w:tc>
          <w:tcPr>
            <w:tcW w:w="3577" w:type="dxa"/>
            <w:noWrap/>
            <w:vAlign w:val="center"/>
          </w:tcPr>
          <w:p>
            <w:pPr>
              <w:spacing w:line="360" w:lineRule="auto"/>
              <w:jc w:val="center"/>
              <w:rPr>
                <w:color w:val="auto"/>
                <w:szCs w:val="21"/>
                <w:highlight w:val="none"/>
              </w:rPr>
            </w:pPr>
            <w:r>
              <w:rPr>
                <w:rFonts w:hAnsi="宋体"/>
                <w:color w:val="auto"/>
                <w:szCs w:val="21"/>
                <w:highlight w:val="none"/>
              </w:rPr>
              <w:t>第</w:t>
            </w:r>
            <w:r>
              <w:rPr>
                <w:rFonts w:hint="eastAsia"/>
                <w:color w:val="auto"/>
                <w:szCs w:val="21"/>
                <w:highlight w:val="none"/>
              </w:rPr>
              <w:t>2、3</w:t>
            </w:r>
            <w:r>
              <w:rPr>
                <w:rFonts w:hAnsi="宋体"/>
                <w:color w:val="auto"/>
                <w:szCs w:val="21"/>
                <w:highlight w:val="none"/>
              </w:rPr>
              <w:t>学期</w:t>
            </w:r>
          </w:p>
        </w:tc>
        <w:tc>
          <w:tcPr>
            <w:tcW w:w="1317" w:type="dxa"/>
            <w:noWrap/>
            <w:vAlign w:val="center"/>
          </w:tcPr>
          <w:p>
            <w:pPr>
              <w:spacing w:line="360" w:lineRule="auto"/>
              <w:jc w:val="center"/>
              <w:rPr>
                <w:color w:val="auto"/>
                <w:szCs w:val="21"/>
                <w:highlight w:val="none"/>
              </w:rPr>
            </w:pPr>
            <w:r>
              <w:rPr>
                <w:rFonts w:hAnsi="宋体"/>
                <w:color w:val="auto"/>
                <w:szCs w:val="21"/>
                <w:highlight w:val="none"/>
              </w:rPr>
              <w:t>学分</w:t>
            </w:r>
          </w:p>
        </w:tc>
        <w:tc>
          <w:tcPr>
            <w:tcW w:w="1994" w:type="dxa"/>
            <w:noWrap/>
            <w:vAlign w:val="center"/>
          </w:tcPr>
          <w:p>
            <w:pPr>
              <w:spacing w:line="360" w:lineRule="auto"/>
              <w:jc w:val="center"/>
              <w:rPr>
                <w:color w:val="auto"/>
                <w:szCs w:val="21"/>
                <w:highlight w:val="none"/>
              </w:rPr>
            </w:pPr>
            <w:r>
              <w:rPr>
                <w:color w:val="auto"/>
                <w:szCs w:val="21"/>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先行课程</w:t>
            </w:r>
          </w:p>
        </w:tc>
        <w:tc>
          <w:tcPr>
            <w:tcW w:w="3577" w:type="dxa"/>
            <w:noWrap/>
            <w:vAlign w:val="center"/>
          </w:tcPr>
          <w:p>
            <w:pPr>
              <w:spacing w:line="360" w:lineRule="auto"/>
              <w:jc w:val="center"/>
              <w:rPr>
                <w:color w:val="auto"/>
                <w:szCs w:val="21"/>
                <w:highlight w:val="none"/>
              </w:rPr>
            </w:pPr>
            <w:r>
              <w:rPr>
                <w:rFonts w:hAnsi="宋体"/>
                <w:color w:val="auto"/>
                <w:szCs w:val="21"/>
                <w:highlight w:val="none"/>
              </w:rPr>
              <w:t>基础化学</w:t>
            </w:r>
            <w:r>
              <w:rPr>
                <w:rFonts w:hint="eastAsia" w:hAnsi="宋体"/>
                <w:color w:val="auto"/>
                <w:szCs w:val="21"/>
                <w:highlight w:val="none"/>
              </w:rPr>
              <w:t>，高等数学</w:t>
            </w:r>
          </w:p>
        </w:tc>
        <w:tc>
          <w:tcPr>
            <w:tcW w:w="1317" w:type="dxa"/>
            <w:noWrap/>
            <w:vAlign w:val="center"/>
          </w:tcPr>
          <w:p>
            <w:pPr>
              <w:spacing w:line="360" w:lineRule="auto"/>
              <w:jc w:val="center"/>
              <w:rPr>
                <w:color w:val="auto"/>
                <w:szCs w:val="21"/>
                <w:highlight w:val="none"/>
              </w:rPr>
            </w:pPr>
            <w:r>
              <w:rPr>
                <w:rFonts w:hAnsi="宋体"/>
                <w:color w:val="auto"/>
                <w:szCs w:val="21"/>
                <w:highlight w:val="none"/>
              </w:rPr>
              <w:t>开课单位</w:t>
            </w:r>
          </w:p>
        </w:tc>
        <w:tc>
          <w:tcPr>
            <w:tcW w:w="1994" w:type="dxa"/>
            <w:noWrap/>
            <w:vAlign w:val="center"/>
          </w:tcPr>
          <w:p>
            <w:pPr>
              <w:spacing w:line="360" w:lineRule="auto"/>
              <w:jc w:val="center"/>
              <w:rPr>
                <w:color w:val="auto"/>
                <w:szCs w:val="21"/>
                <w:highlight w:val="none"/>
              </w:rPr>
            </w:pPr>
            <w:r>
              <w:rPr>
                <w:rFonts w:hAnsi="宋体"/>
                <w:color w:val="auto"/>
                <w:szCs w:val="21"/>
                <w:highlight w:val="none"/>
              </w:rPr>
              <w:t>晋城职业技术学院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平行课程</w:t>
            </w:r>
          </w:p>
        </w:tc>
        <w:tc>
          <w:tcPr>
            <w:tcW w:w="3577" w:type="dxa"/>
            <w:noWrap/>
            <w:vAlign w:val="center"/>
          </w:tcPr>
          <w:p>
            <w:pPr>
              <w:widowControl/>
              <w:jc w:val="center"/>
              <w:rPr>
                <w:color w:val="auto"/>
                <w:szCs w:val="21"/>
                <w:highlight w:val="none"/>
              </w:rPr>
            </w:pPr>
            <w:r>
              <w:rPr>
                <w:rFonts w:hint="eastAsia" w:hAnsi="宋体"/>
                <w:color w:val="auto"/>
                <w:szCs w:val="21"/>
                <w:highlight w:val="none"/>
              </w:rPr>
              <w:t>化工安全技术、化工制图、化工设备</w:t>
            </w:r>
          </w:p>
        </w:tc>
        <w:tc>
          <w:tcPr>
            <w:tcW w:w="1317" w:type="dxa"/>
            <w:noWrap/>
            <w:vAlign w:val="center"/>
          </w:tcPr>
          <w:p>
            <w:pPr>
              <w:spacing w:line="360" w:lineRule="auto"/>
              <w:jc w:val="center"/>
              <w:rPr>
                <w:color w:val="auto"/>
                <w:szCs w:val="21"/>
                <w:highlight w:val="none"/>
              </w:rPr>
            </w:pPr>
            <w:r>
              <w:rPr>
                <w:rFonts w:hAnsi="宋体"/>
                <w:color w:val="auto"/>
                <w:szCs w:val="21"/>
                <w:highlight w:val="none"/>
              </w:rPr>
              <w:t>考核类型</w:t>
            </w:r>
          </w:p>
        </w:tc>
        <w:tc>
          <w:tcPr>
            <w:tcW w:w="1994" w:type="dxa"/>
            <w:noWrap/>
            <w:vAlign w:val="center"/>
          </w:tcPr>
          <w:p>
            <w:pPr>
              <w:spacing w:line="360" w:lineRule="auto"/>
              <w:jc w:val="center"/>
              <w:rPr>
                <w:color w:val="auto"/>
                <w:szCs w:val="21"/>
                <w:highlight w:val="none"/>
              </w:rPr>
            </w:pPr>
            <w:r>
              <w:rPr>
                <w:rFonts w:hAnsi="宋体"/>
                <w:color w:val="auto"/>
                <w:szCs w:val="21"/>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后继课程</w:t>
            </w:r>
          </w:p>
        </w:tc>
        <w:tc>
          <w:tcPr>
            <w:tcW w:w="6888" w:type="dxa"/>
            <w:gridSpan w:val="3"/>
            <w:noWrap/>
            <w:vAlign w:val="center"/>
          </w:tcPr>
          <w:p>
            <w:pPr>
              <w:spacing w:line="360" w:lineRule="auto"/>
              <w:jc w:val="center"/>
              <w:rPr>
                <w:color w:val="auto"/>
                <w:szCs w:val="21"/>
                <w:highlight w:val="none"/>
              </w:rPr>
            </w:pPr>
            <w:r>
              <w:rPr>
                <w:rFonts w:hint="eastAsia" w:hAnsi="宋体"/>
                <w:color w:val="auto"/>
                <w:szCs w:val="21"/>
                <w:highlight w:val="none"/>
              </w:rPr>
              <w:t>化工设备基础、无机</w:t>
            </w:r>
            <w:r>
              <w:rPr>
                <w:rFonts w:hAnsi="宋体"/>
                <w:color w:val="auto"/>
                <w:szCs w:val="21"/>
                <w:highlight w:val="none"/>
              </w:rPr>
              <w:t>化工生产技术，</w:t>
            </w:r>
            <w:r>
              <w:rPr>
                <w:rFonts w:hint="eastAsia" w:hAnsi="宋体"/>
                <w:color w:val="auto"/>
                <w:szCs w:val="21"/>
                <w:highlight w:val="none"/>
              </w:rPr>
              <w:t>现代</w:t>
            </w:r>
            <w:r>
              <w:rPr>
                <w:rFonts w:hAnsi="宋体"/>
                <w:color w:val="auto"/>
                <w:szCs w:val="21"/>
                <w:highlight w:val="none"/>
              </w:rPr>
              <w:t>煤化工</w:t>
            </w:r>
            <w:r>
              <w:rPr>
                <w:rFonts w:hint="eastAsia" w:hAnsi="宋体"/>
                <w:color w:val="auto"/>
                <w:szCs w:val="21"/>
                <w:highlight w:val="none"/>
              </w:rPr>
              <w:t>技术、</w:t>
            </w:r>
          </w:p>
        </w:tc>
      </w:tr>
    </w:tbl>
    <w:p>
      <w:pPr>
        <w:spacing w:line="360" w:lineRule="auto"/>
        <w:ind w:firstLine="300" w:firstLineChars="100"/>
        <w:rPr>
          <w:rFonts w:hint="eastAsia" w:ascii="黑体" w:hAnsi="黑体" w:eastAsia="黑体" w:cs="黑体"/>
          <w:bCs/>
          <w:color w:val="auto"/>
          <w:sz w:val="30"/>
          <w:szCs w:val="30"/>
          <w:highlight w:val="none"/>
        </w:rPr>
      </w:pPr>
      <w:bookmarkStart w:id="83" w:name="_Toc17666"/>
      <w:r>
        <w:rPr>
          <w:rFonts w:hint="eastAsia" w:ascii="黑体" w:hAnsi="黑体" w:eastAsia="黑体" w:cs="黑体"/>
          <w:bCs/>
          <w:color w:val="auto"/>
          <w:sz w:val="30"/>
          <w:szCs w:val="30"/>
          <w:highlight w:val="none"/>
          <w:lang w:eastAsia="zh-CN"/>
        </w:rPr>
        <w:t>（</w:t>
      </w:r>
      <w:r>
        <w:rPr>
          <w:rFonts w:hint="eastAsia" w:ascii="黑体" w:hAnsi="黑体" w:eastAsia="黑体" w:cs="黑体"/>
          <w:bCs/>
          <w:color w:val="auto"/>
          <w:sz w:val="30"/>
          <w:szCs w:val="30"/>
          <w:highlight w:val="none"/>
        </w:rPr>
        <w:t>一</w:t>
      </w:r>
      <w:r>
        <w:rPr>
          <w:rFonts w:hint="eastAsia" w:ascii="黑体" w:hAnsi="黑体" w:eastAsia="黑体" w:cs="黑体"/>
          <w:bCs/>
          <w:color w:val="auto"/>
          <w:sz w:val="30"/>
          <w:szCs w:val="30"/>
          <w:highlight w:val="none"/>
          <w:lang w:eastAsia="zh-CN"/>
        </w:rPr>
        <w:t>）</w:t>
      </w:r>
      <w:r>
        <w:rPr>
          <w:rFonts w:hint="eastAsia" w:ascii="黑体" w:hAnsi="黑体" w:eastAsia="黑体" w:cs="黑体"/>
          <w:bCs/>
          <w:color w:val="auto"/>
          <w:sz w:val="30"/>
          <w:szCs w:val="30"/>
          <w:highlight w:val="none"/>
        </w:rPr>
        <w:t>课程性质与定位</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eastAsia="zh-CN"/>
        </w:rPr>
        <w:t>.</w:t>
      </w:r>
      <w:r>
        <w:rPr>
          <w:rFonts w:hint="eastAsia" w:ascii="宋体" w:hAnsi="宋体"/>
          <w:color w:val="auto"/>
          <w:sz w:val="24"/>
          <w:highlight w:val="none"/>
        </w:rPr>
        <w:t>课程性质</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化工单元操作是以典型化工单元操作为研究对象，应用基础学科的相关原理，对各单元操作过程进行设计优化或操作优化的一门课程。它是化工类专业及其相近专业的一门基础技术课程和主干课程，带有很强的技术性、工程性及实用性，是构造应用化工高等技术应用型专门人才知识结构、素质结构与能力结构的必修课，是培养学生工程技术观点和化工核心实践技能的重要课程。</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w:t>
      </w:r>
      <w:r>
        <w:rPr>
          <w:rFonts w:hint="eastAsia" w:ascii="宋体" w:hAnsi="宋体"/>
          <w:color w:val="auto"/>
          <w:sz w:val="24"/>
          <w:highlight w:val="none"/>
          <w:lang w:eastAsia="zh-CN"/>
        </w:rPr>
        <w:t>.</w:t>
      </w:r>
      <w:r>
        <w:rPr>
          <w:rFonts w:hint="eastAsia" w:ascii="宋体" w:hAnsi="宋体"/>
          <w:color w:val="auto"/>
          <w:sz w:val="24"/>
          <w:highlight w:val="none"/>
        </w:rPr>
        <w:t>课程定位</w:t>
      </w:r>
    </w:p>
    <w:p>
      <w:pPr>
        <w:spacing w:line="360" w:lineRule="auto"/>
        <w:ind w:firstLine="480" w:firstLineChars="200"/>
        <w:rPr>
          <w:rFonts w:ascii="宋体" w:hAnsi="宋体"/>
          <w:bCs/>
          <w:color w:val="auto"/>
          <w:sz w:val="24"/>
          <w:highlight w:val="none"/>
        </w:rPr>
      </w:pPr>
      <w:r>
        <w:rPr>
          <w:rFonts w:hint="eastAsia" w:ascii="宋体" w:hAnsi="宋体"/>
          <w:color w:val="auto"/>
          <w:sz w:val="24"/>
          <w:highlight w:val="none"/>
        </w:rPr>
        <w:t>本课程是煤化工技术专业的专业核心类课程，专业课程体系符合高职高专教育类高端技能型人才培养目标和专业相关技术领域职业岗位（群）的任职要求，对学生职业能力培养和职业素养养成起主要支撑或明显促进作用，与《高等数学》、《无机分析及化学》、《有机化学》、《化工制图》、《物理化学》等前续课程密切衔接，为后续课程《无机生产技术》、《化工顶岗实习》、《毕业设计》等打下坚实的基础，同时注重培养学生的方法能力及社会能力，最终形成化工生产的职业综合能力。</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（二）课程设计理念</w:t>
      </w:r>
    </w:p>
    <w:p>
      <w:pPr>
        <w:spacing w:line="360" w:lineRule="auto"/>
        <w:ind w:firstLine="480" w:firstLineChars="200"/>
        <w:rPr>
          <w:rFonts w:hAnsi="宋体"/>
          <w:color w:val="auto"/>
          <w:sz w:val="24"/>
          <w:highlight w:val="none"/>
        </w:rPr>
        <w:sectPr>
          <w:headerReference r:id="rId5" w:type="default"/>
          <w:footerReference r:id="rId6" w:type="default"/>
          <w:pgSz w:w="11906" w:h="16838"/>
          <w:pgMar w:top="1440" w:right="1797" w:bottom="1440" w:left="1797" w:header="851" w:footer="992" w:gutter="0"/>
          <w:cols w:space="720" w:num="1"/>
          <w:docGrid w:type="lines" w:linePitch="312" w:charSpace="0"/>
        </w:sectPr>
      </w:pPr>
      <w:r>
        <w:rPr>
          <w:rFonts w:hAnsi="宋体"/>
          <w:color w:val="auto"/>
          <w:sz w:val="24"/>
          <w:highlight w:val="none"/>
        </w:rPr>
        <w:t>针对本课程实践性及实用性强的特点，我们在充分对化工企业岗位设置及岗位能力需求进行调研的基础上，以工作过程为导向，以职业能力培养为重点，与</w:t>
      </w:r>
    </w:p>
    <w:p>
      <w:pPr>
        <w:spacing w:line="360" w:lineRule="auto"/>
        <w:ind w:firstLine="480" w:firstLineChars="200"/>
        <w:rPr>
          <w:color w:val="auto"/>
          <w:sz w:val="24"/>
          <w:highlight w:val="none"/>
        </w:rPr>
      </w:pPr>
      <w:r>
        <w:rPr>
          <w:rFonts w:hAnsi="宋体"/>
          <w:color w:val="auto"/>
          <w:sz w:val="24"/>
          <w:highlight w:val="none"/>
        </w:rPr>
        <w:t>行业企业合作进行基于工作过程系统化的课程开发与设计，充分体现职业性、实践性和开放性的要求。在课程设置中，按职业岗位工作过程的完整性配置课程、构建课程体系；按典型工作任务需求选择能反映职业标准课程内容。通过情景项目及任务的实施，使学生能够较熟练掌握化工生产过程流体流动、传热、传质的基本原理</w:t>
      </w:r>
      <w:r>
        <w:rPr>
          <w:rFonts w:hint="eastAsia"/>
          <w:color w:val="auto"/>
          <w:sz w:val="24"/>
          <w:highlight w:val="none"/>
        </w:rPr>
        <w:t>，</w:t>
      </w:r>
      <w:r>
        <w:rPr>
          <w:rFonts w:hAnsi="宋体"/>
          <w:color w:val="auto"/>
          <w:sz w:val="24"/>
          <w:highlight w:val="none"/>
        </w:rPr>
        <w:t>合理地分析化工单元操作及典型设备的特点，正确地选择设备及进行操作，从而培养学生物料平衡能力、工艺计算能力、设备操作能力、设备维护保养能力，培养学生良好的职业道德和职业素质，理论联系实际解决实际生产问题的能力。</w:t>
      </w:r>
    </w:p>
    <w:p>
      <w:pPr>
        <w:spacing w:line="360" w:lineRule="auto"/>
        <w:ind w:firstLine="480" w:firstLineChars="200"/>
        <w:rPr>
          <w:rFonts w:ascii="宋体" w:hAnsi="宋体"/>
          <w:color w:val="auto"/>
          <w:sz w:val="24"/>
          <w:highlight w:val="none"/>
        </w:rPr>
      </w:pPr>
      <w:r>
        <w:rPr>
          <w:rFonts w:hAnsi="宋体"/>
          <w:color w:val="auto"/>
          <w:sz w:val="24"/>
          <w:highlight w:val="none"/>
        </w:rPr>
        <w:t>课程设计始终按照</w:t>
      </w:r>
      <w:r>
        <w:rPr>
          <w:rFonts w:hint="eastAsia"/>
          <w:color w:val="auto"/>
          <w:sz w:val="24"/>
          <w:highlight w:val="none"/>
        </w:rPr>
        <w:t>“</w:t>
      </w:r>
      <w:r>
        <w:rPr>
          <w:rFonts w:hAnsi="宋体"/>
          <w:color w:val="auto"/>
          <w:sz w:val="24"/>
          <w:highlight w:val="none"/>
        </w:rPr>
        <w:t>化工岗位群</w:t>
      </w:r>
      <w:r>
        <w:rPr>
          <w:color w:val="auto"/>
          <w:sz w:val="24"/>
          <w:highlight w:val="none"/>
        </w:rPr>
        <w:t>——</w:t>
      </w:r>
      <w:r>
        <w:rPr>
          <w:rFonts w:hAnsi="宋体"/>
          <w:color w:val="auto"/>
          <w:sz w:val="24"/>
          <w:highlight w:val="none"/>
        </w:rPr>
        <w:t>岗位典型的工作任务</w:t>
      </w:r>
      <w:r>
        <w:rPr>
          <w:color w:val="auto"/>
          <w:sz w:val="24"/>
          <w:highlight w:val="none"/>
        </w:rPr>
        <w:t>——</w:t>
      </w:r>
      <w:r>
        <w:rPr>
          <w:rFonts w:hAnsi="宋体"/>
          <w:color w:val="auto"/>
          <w:sz w:val="24"/>
          <w:highlight w:val="none"/>
        </w:rPr>
        <w:t>完成任务需要的基本能力</w:t>
      </w:r>
      <w:r>
        <w:rPr>
          <w:color w:val="auto"/>
          <w:sz w:val="24"/>
          <w:highlight w:val="none"/>
        </w:rPr>
        <w:t>——</w:t>
      </w:r>
      <w:r>
        <w:rPr>
          <w:rFonts w:hAnsi="宋体"/>
          <w:color w:val="auto"/>
          <w:sz w:val="24"/>
          <w:highlight w:val="none"/>
        </w:rPr>
        <w:t>培养能力所必须的基本技术</w:t>
      </w:r>
      <w:r>
        <w:rPr>
          <w:color w:val="auto"/>
          <w:sz w:val="24"/>
          <w:highlight w:val="none"/>
        </w:rPr>
        <w:t>——</w:t>
      </w:r>
      <w:r>
        <w:rPr>
          <w:rFonts w:hAnsi="宋体"/>
          <w:color w:val="auto"/>
          <w:sz w:val="24"/>
          <w:highlight w:val="none"/>
        </w:rPr>
        <w:t>培养技术必须的训练项目</w:t>
      </w:r>
      <w:r>
        <w:rPr>
          <w:color w:val="auto"/>
          <w:sz w:val="24"/>
          <w:highlight w:val="none"/>
        </w:rPr>
        <w:t>——</w:t>
      </w:r>
      <w:r>
        <w:rPr>
          <w:rFonts w:hAnsi="宋体"/>
          <w:color w:val="auto"/>
          <w:sz w:val="24"/>
          <w:highlight w:val="none"/>
        </w:rPr>
        <w:t>相应的理论知识</w:t>
      </w:r>
      <w:r>
        <w:rPr>
          <w:rFonts w:hint="eastAsia"/>
          <w:color w:val="auto"/>
          <w:sz w:val="24"/>
          <w:highlight w:val="none"/>
        </w:rPr>
        <w:t>”</w:t>
      </w:r>
      <w:r>
        <w:rPr>
          <w:rFonts w:hAnsi="宋体"/>
          <w:color w:val="auto"/>
          <w:sz w:val="24"/>
          <w:highlight w:val="none"/>
        </w:rPr>
        <w:t>这条主线来构建基于工作过程的课程体系和课程内容。</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（三）课程目标</w:t>
      </w:r>
    </w:p>
    <w:p>
      <w:pPr>
        <w:pStyle w:val="13"/>
        <w:spacing w:beforeAutospacing="0" w:afterAutospacing="0" w:line="360" w:lineRule="auto"/>
        <w:ind w:firstLine="480" w:firstLineChars="200"/>
        <w:jc w:val="both"/>
        <w:rPr>
          <w:color w:val="auto"/>
          <w:highlight w:val="none"/>
        </w:rPr>
      </w:pPr>
      <w:r>
        <w:rPr>
          <w:rFonts w:hint="eastAsia"/>
          <w:color w:val="auto"/>
          <w:highlight w:val="none"/>
        </w:rPr>
        <w:t>1</w:t>
      </w:r>
      <w:r>
        <w:rPr>
          <w:rFonts w:hint="eastAsia"/>
          <w:color w:val="auto"/>
          <w:highlight w:val="none"/>
          <w:lang w:eastAsia="zh-CN"/>
        </w:rPr>
        <w:t>.</w:t>
      </w:r>
      <w:r>
        <w:rPr>
          <w:rFonts w:hint="eastAsia"/>
          <w:color w:val="auto"/>
          <w:highlight w:val="none"/>
        </w:rPr>
        <w:t>专业知识</w:t>
      </w:r>
    </w:p>
    <w:p>
      <w:pPr>
        <w:pStyle w:val="13"/>
        <w:spacing w:beforeAutospacing="0" w:afterAutospacing="0" w:line="360" w:lineRule="auto"/>
        <w:ind w:firstLine="480" w:firstLineChars="200"/>
        <w:jc w:val="both"/>
        <w:rPr>
          <w:color w:val="auto"/>
          <w:highlight w:val="none"/>
        </w:rPr>
      </w:pPr>
      <w:r>
        <w:rPr>
          <w:rFonts w:hint="eastAsia"/>
          <w:color w:val="auto"/>
          <w:highlight w:val="none"/>
        </w:rPr>
        <w:t>本课要求学生综合运用基础化学、物理化学、化工制图等基础知识来分析和解决化工生产过程中的工程问题。在知识层面学生应掌握的内容：</w:t>
      </w:r>
    </w:p>
    <w:tbl>
      <w:tblPr>
        <w:tblStyle w:val="14"/>
        <w:tblW w:w="84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tcPr>
          <w:p>
            <w:pPr>
              <w:pStyle w:val="13"/>
              <w:spacing w:beforeAutospacing="0" w:afterAutospacing="0" w:line="360" w:lineRule="auto"/>
              <w:jc w:val="both"/>
              <w:rPr>
                <w:rFonts w:ascii="Times New Roman" w:hAnsi="Times New Roman"/>
                <w:color w:val="auto"/>
                <w:sz w:val="21"/>
                <w:szCs w:val="21"/>
                <w:highlight w:val="none"/>
              </w:rPr>
            </w:pPr>
            <w:r>
              <w:rPr>
                <w:rFonts w:ascii="Times New Roman"/>
                <w:color w:val="auto"/>
                <w:sz w:val="21"/>
                <w:szCs w:val="21"/>
                <w:highlight w:val="none"/>
              </w:rPr>
              <w:t>（</w:t>
            </w:r>
            <w:r>
              <w:rPr>
                <w:rFonts w:ascii="Times New Roman" w:hAnsi="Times New Roman"/>
                <w:color w:val="auto"/>
                <w:sz w:val="21"/>
                <w:szCs w:val="21"/>
                <w:highlight w:val="none"/>
              </w:rPr>
              <w:t>1</w:t>
            </w:r>
            <w:r>
              <w:rPr>
                <w:rFonts w:ascii="Times New Roman"/>
                <w:color w:val="auto"/>
                <w:sz w:val="21"/>
                <w:szCs w:val="21"/>
                <w:highlight w:val="none"/>
              </w:rPr>
              <w:t>）掌握化工单元操作的基本知识与原理；</w:t>
            </w:r>
          </w:p>
        </w:tc>
        <w:tc>
          <w:tcPr>
            <w:tcW w:w="4182" w:type="dxa"/>
            <w:noWrap/>
          </w:tcPr>
          <w:p>
            <w:pPr>
              <w:pStyle w:val="13"/>
              <w:spacing w:beforeAutospacing="0" w:afterAutospacing="0" w:line="360" w:lineRule="auto"/>
              <w:jc w:val="both"/>
              <w:rPr>
                <w:rFonts w:ascii="Times New Roman" w:hAnsi="Times New Roman"/>
                <w:color w:val="auto"/>
                <w:sz w:val="21"/>
                <w:szCs w:val="21"/>
                <w:highlight w:val="none"/>
              </w:rPr>
            </w:pPr>
            <w:r>
              <w:rPr>
                <w:rFonts w:ascii="Times New Roman"/>
                <w:color w:val="auto"/>
                <w:sz w:val="21"/>
                <w:szCs w:val="21"/>
                <w:highlight w:val="none"/>
              </w:rPr>
              <w:t>（</w:t>
            </w:r>
            <w:r>
              <w:rPr>
                <w:rFonts w:ascii="Times New Roman" w:hAnsi="Times New Roman"/>
                <w:color w:val="auto"/>
                <w:sz w:val="21"/>
                <w:szCs w:val="21"/>
                <w:highlight w:val="none"/>
              </w:rPr>
              <w:t>2</w:t>
            </w:r>
            <w:r>
              <w:rPr>
                <w:rFonts w:ascii="Times New Roman"/>
                <w:color w:val="auto"/>
                <w:sz w:val="21"/>
                <w:szCs w:val="21"/>
                <w:highlight w:val="none"/>
              </w:rPr>
              <w:t>）掌握化工操作设备的构造与选用方法；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tcPr>
          <w:p>
            <w:pPr>
              <w:pStyle w:val="13"/>
              <w:spacing w:beforeAutospacing="0" w:afterAutospacing="0" w:line="360" w:lineRule="auto"/>
              <w:jc w:val="both"/>
              <w:rPr>
                <w:rFonts w:ascii="Times New Roman" w:hAnsi="Times New Roman"/>
                <w:color w:val="auto"/>
                <w:sz w:val="21"/>
                <w:szCs w:val="21"/>
                <w:highlight w:val="none"/>
              </w:rPr>
            </w:pPr>
            <w:r>
              <w:rPr>
                <w:rFonts w:ascii="Times New Roman"/>
                <w:color w:val="auto"/>
                <w:sz w:val="21"/>
                <w:szCs w:val="21"/>
                <w:highlight w:val="none"/>
              </w:rPr>
              <w:t>（</w:t>
            </w:r>
            <w:r>
              <w:rPr>
                <w:rFonts w:ascii="Times New Roman" w:hAnsi="Times New Roman"/>
                <w:color w:val="auto"/>
                <w:sz w:val="21"/>
                <w:szCs w:val="21"/>
                <w:highlight w:val="none"/>
              </w:rPr>
              <w:t>3</w:t>
            </w:r>
            <w:r>
              <w:rPr>
                <w:rFonts w:ascii="Times New Roman"/>
                <w:color w:val="auto"/>
                <w:sz w:val="21"/>
                <w:szCs w:val="21"/>
                <w:highlight w:val="none"/>
              </w:rPr>
              <w:t>）掌握化工单元操作的相关工艺计算；</w:t>
            </w:r>
          </w:p>
        </w:tc>
        <w:tc>
          <w:tcPr>
            <w:tcW w:w="4182" w:type="dxa"/>
            <w:noWrap/>
          </w:tcPr>
          <w:p>
            <w:pPr>
              <w:pStyle w:val="13"/>
              <w:spacing w:beforeAutospacing="0" w:afterAutospacing="0" w:line="360" w:lineRule="auto"/>
              <w:jc w:val="both"/>
              <w:rPr>
                <w:rFonts w:ascii="Times New Roman" w:hAnsi="Times New Roman"/>
                <w:color w:val="auto"/>
                <w:sz w:val="21"/>
                <w:szCs w:val="21"/>
                <w:highlight w:val="none"/>
              </w:rPr>
            </w:pPr>
            <w:r>
              <w:rPr>
                <w:rFonts w:ascii="Times New Roman"/>
                <w:color w:val="auto"/>
                <w:sz w:val="21"/>
                <w:szCs w:val="21"/>
                <w:highlight w:val="none"/>
              </w:rPr>
              <w:t>（</w:t>
            </w:r>
            <w:r>
              <w:rPr>
                <w:rFonts w:ascii="Times New Roman" w:hAnsi="Times New Roman"/>
                <w:color w:val="auto"/>
                <w:sz w:val="21"/>
                <w:szCs w:val="21"/>
                <w:highlight w:val="none"/>
              </w:rPr>
              <w:t>4</w:t>
            </w:r>
            <w:r>
              <w:rPr>
                <w:rFonts w:ascii="Times New Roman"/>
                <w:color w:val="auto"/>
                <w:sz w:val="21"/>
                <w:szCs w:val="21"/>
                <w:highlight w:val="none"/>
              </w:rPr>
              <w:t>）理解工艺条件对化工单元操作的影响；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tcPr>
          <w:p>
            <w:pPr>
              <w:pStyle w:val="13"/>
              <w:spacing w:beforeAutospacing="0" w:afterAutospacing="0" w:line="360" w:lineRule="auto"/>
              <w:jc w:val="both"/>
              <w:rPr>
                <w:rFonts w:ascii="Times New Roman" w:hAnsi="Times New Roman"/>
                <w:color w:val="auto"/>
                <w:sz w:val="21"/>
                <w:szCs w:val="21"/>
                <w:highlight w:val="none"/>
              </w:rPr>
            </w:pPr>
            <w:r>
              <w:rPr>
                <w:rFonts w:ascii="Times New Roman"/>
                <w:color w:val="auto"/>
                <w:sz w:val="21"/>
                <w:szCs w:val="21"/>
                <w:highlight w:val="none"/>
              </w:rPr>
              <w:t>（</w:t>
            </w:r>
            <w:r>
              <w:rPr>
                <w:rFonts w:ascii="Times New Roman" w:hAnsi="Times New Roman"/>
                <w:color w:val="auto"/>
                <w:sz w:val="21"/>
                <w:szCs w:val="21"/>
                <w:highlight w:val="none"/>
              </w:rPr>
              <w:t>5</w:t>
            </w:r>
            <w:r>
              <w:rPr>
                <w:rFonts w:ascii="Times New Roman"/>
                <w:color w:val="auto"/>
                <w:sz w:val="21"/>
                <w:szCs w:val="21"/>
                <w:highlight w:val="none"/>
              </w:rPr>
              <w:t>）理解化工生产中节能环保的基本知识与原理；</w:t>
            </w:r>
          </w:p>
        </w:tc>
        <w:tc>
          <w:tcPr>
            <w:tcW w:w="4182" w:type="dxa"/>
            <w:noWrap/>
          </w:tcPr>
          <w:p>
            <w:pPr>
              <w:pStyle w:val="13"/>
              <w:spacing w:beforeAutospacing="0" w:afterAutospacing="0" w:line="360" w:lineRule="auto"/>
              <w:jc w:val="both"/>
              <w:rPr>
                <w:rFonts w:ascii="Times New Roman" w:hAnsi="Times New Roman"/>
                <w:color w:val="auto"/>
                <w:sz w:val="21"/>
                <w:szCs w:val="21"/>
                <w:highlight w:val="none"/>
              </w:rPr>
            </w:pPr>
            <w:r>
              <w:rPr>
                <w:rFonts w:ascii="Times New Roman"/>
                <w:color w:val="auto"/>
                <w:sz w:val="21"/>
                <w:szCs w:val="21"/>
                <w:highlight w:val="none"/>
              </w:rPr>
              <w:t>（</w:t>
            </w:r>
            <w:r>
              <w:rPr>
                <w:rFonts w:ascii="Times New Roman" w:hAnsi="Times New Roman"/>
                <w:color w:val="auto"/>
                <w:sz w:val="21"/>
                <w:szCs w:val="21"/>
                <w:highlight w:val="none"/>
              </w:rPr>
              <w:t>6</w:t>
            </w:r>
            <w:r>
              <w:rPr>
                <w:rFonts w:ascii="Times New Roman"/>
                <w:color w:val="auto"/>
                <w:sz w:val="21"/>
                <w:szCs w:val="21"/>
                <w:highlight w:val="none"/>
              </w:rPr>
              <w:t>）了解化工企业生产管理常识、安全生产知识和成本核算基本方法。</w:t>
            </w:r>
          </w:p>
        </w:tc>
      </w:tr>
    </w:tbl>
    <w:p>
      <w:pPr>
        <w:pStyle w:val="13"/>
        <w:spacing w:beforeAutospacing="0" w:afterAutospacing="0" w:line="360" w:lineRule="auto"/>
        <w:ind w:firstLine="480" w:firstLineChars="200"/>
        <w:jc w:val="both"/>
        <w:rPr>
          <w:color w:val="auto"/>
          <w:highlight w:val="none"/>
        </w:rPr>
      </w:pPr>
      <w:r>
        <w:rPr>
          <w:rFonts w:hint="eastAsia"/>
          <w:color w:val="auto"/>
          <w:highlight w:val="none"/>
        </w:rPr>
        <w:t>2</w:t>
      </w:r>
      <w:r>
        <w:rPr>
          <w:rFonts w:hint="eastAsia"/>
          <w:color w:val="auto"/>
          <w:highlight w:val="none"/>
          <w:lang w:eastAsia="zh-CN"/>
        </w:rPr>
        <w:t>.</w:t>
      </w:r>
      <w:r>
        <w:rPr>
          <w:rFonts w:hint="eastAsia"/>
          <w:color w:val="auto"/>
          <w:highlight w:val="none"/>
        </w:rPr>
        <w:t>专业技能</w:t>
      </w:r>
    </w:p>
    <w:p>
      <w:pPr>
        <w:pStyle w:val="13"/>
        <w:spacing w:beforeAutospacing="0" w:afterAutospacing="0" w:line="360" w:lineRule="auto"/>
        <w:ind w:firstLine="480" w:firstLineChars="200"/>
        <w:jc w:val="both"/>
        <w:rPr>
          <w:color w:val="auto"/>
          <w:highlight w:val="none"/>
        </w:rPr>
      </w:pPr>
      <w:r>
        <w:rPr>
          <w:rFonts w:hint="eastAsia"/>
          <w:color w:val="auto"/>
          <w:highlight w:val="none"/>
        </w:rPr>
        <w:t>通过本课程的学习，达到以下技能目标：</w:t>
      </w:r>
    </w:p>
    <w:tbl>
      <w:tblPr>
        <w:tblStyle w:val="14"/>
        <w:tblW w:w="84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tcPr>
          <w:p>
            <w:pPr>
              <w:pStyle w:val="13"/>
              <w:spacing w:beforeAutospacing="0" w:afterAutospacing="0" w:line="360" w:lineRule="auto"/>
              <w:jc w:val="both"/>
              <w:rPr>
                <w:rFonts w:ascii="Times New Roman" w:hAnsi="Times New Roman"/>
                <w:color w:val="auto"/>
                <w:sz w:val="21"/>
                <w:szCs w:val="21"/>
                <w:highlight w:val="none"/>
              </w:rPr>
            </w:pPr>
            <w:r>
              <w:rPr>
                <w:rFonts w:ascii="Times New Roman"/>
                <w:color w:val="auto"/>
                <w:sz w:val="21"/>
                <w:szCs w:val="21"/>
                <w:highlight w:val="none"/>
              </w:rPr>
              <w:t>（</w:t>
            </w:r>
            <w:r>
              <w:rPr>
                <w:rFonts w:ascii="Times New Roman" w:hAnsi="Times New Roman"/>
                <w:color w:val="auto"/>
                <w:sz w:val="21"/>
                <w:szCs w:val="21"/>
                <w:highlight w:val="none"/>
              </w:rPr>
              <w:t>1</w:t>
            </w:r>
            <w:r>
              <w:rPr>
                <w:rFonts w:ascii="Times New Roman"/>
                <w:color w:val="auto"/>
                <w:sz w:val="21"/>
                <w:szCs w:val="21"/>
                <w:highlight w:val="none"/>
              </w:rPr>
              <w:t>）会查阅有关工程计算图表和手册，能借助工程计算图表和手册进行简单的操作型和设计型计算；</w:t>
            </w:r>
          </w:p>
        </w:tc>
        <w:tc>
          <w:tcPr>
            <w:tcW w:w="4144" w:type="dxa"/>
            <w:noWrap/>
          </w:tcPr>
          <w:p>
            <w:pPr>
              <w:pStyle w:val="13"/>
              <w:spacing w:beforeAutospacing="0" w:afterAutospacing="0" w:line="360" w:lineRule="auto"/>
              <w:jc w:val="both"/>
              <w:rPr>
                <w:rFonts w:ascii="Times New Roman" w:hAnsi="Times New Roman"/>
                <w:color w:val="auto"/>
                <w:sz w:val="21"/>
                <w:szCs w:val="21"/>
                <w:highlight w:val="none"/>
              </w:rPr>
            </w:pPr>
            <w:r>
              <w:rPr>
                <w:rFonts w:ascii="Times New Roman"/>
                <w:color w:val="auto"/>
                <w:sz w:val="21"/>
                <w:szCs w:val="21"/>
                <w:highlight w:val="none"/>
              </w:rPr>
              <w:t>（</w:t>
            </w:r>
            <w:r>
              <w:rPr>
                <w:rFonts w:ascii="Times New Roman" w:hAnsi="Times New Roman"/>
                <w:color w:val="auto"/>
                <w:sz w:val="21"/>
                <w:szCs w:val="21"/>
                <w:highlight w:val="none"/>
              </w:rPr>
              <w:t>2</w:t>
            </w:r>
            <w:r>
              <w:rPr>
                <w:rFonts w:ascii="Times New Roman"/>
                <w:color w:val="auto"/>
                <w:sz w:val="21"/>
                <w:szCs w:val="21"/>
                <w:highlight w:val="none"/>
              </w:rPr>
              <w:t>）能识读带控制点的工艺流程图、配管图、设备平面布置图等，并能进行简单的管路设计与布置；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tcPr>
          <w:p>
            <w:pPr>
              <w:pStyle w:val="13"/>
              <w:spacing w:beforeAutospacing="0" w:afterAutospacing="0" w:line="360" w:lineRule="auto"/>
              <w:jc w:val="both"/>
              <w:rPr>
                <w:rFonts w:ascii="Times New Roman" w:hAnsi="Times New Roman"/>
                <w:color w:val="auto"/>
                <w:sz w:val="21"/>
                <w:szCs w:val="21"/>
                <w:highlight w:val="none"/>
              </w:rPr>
            </w:pPr>
            <w:r>
              <w:rPr>
                <w:rFonts w:ascii="Times New Roman"/>
                <w:color w:val="auto"/>
                <w:sz w:val="21"/>
                <w:szCs w:val="21"/>
                <w:highlight w:val="none"/>
              </w:rPr>
              <w:t>（</w:t>
            </w:r>
            <w:r>
              <w:rPr>
                <w:rFonts w:ascii="Times New Roman" w:hAnsi="Times New Roman"/>
                <w:color w:val="auto"/>
                <w:sz w:val="21"/>
                <w:szCs w:val="21"/>
                <w:highlight w:val="none"/>
              </w:rPr>
              <w:t>3</w:t>
            </w:r>
            <w:r>
              <w:rPr>
                <w:rFonts w:ascii="Times New Roman"/>
                <w:color w:val="auto"/>
                <w:sz w:val="21"/>
                <w:szCs w:val="21"/>
                <w:highlight w:val="none"/>
              </w:rPr>
              <w:t>）能根据具体生产任务要求及物料特性，选择合适的单元操作及设备；</w:t>
            </w:r>
          </w:p>
        </w:tc>
        <w:tc>
          <w:tcPr>
            <w:tcW w:w="4144" w:type="dxa"/>
            <w:noWrap/>
          </w:tcPr>
          <w:p>
            <w:pPr>
              <w:pStyle w:val="13"/>
              <w:spacing w:beforeAutospacing="0" w:afterAutospacing="0" w:line="360" w:lineRule="auto"/>
              <w:jc w:val="both"/>
              <w:rPr>
                <w:rFonts w:ascii="Times New Roman" w:hAnsi="Times New Roman"/>
                <w:color w:val="auto"/>
                <w:sz w:val="21"/>
                <w:szCs w:val="21"/>
                <w:highlight w:val="none"/>
              </w:rPr>
            </w:pPr>
            <w:r>
              <w:rPr>
                <w:rFonts w:ascii="Times New Roman"/>
                <w:color w:val="auto"/>
                <w:sz w:val="21"/>
                <w:szCs w:val="21"/>
                <w:highlight w:val="none"/>
              </w:rPr>
              <w:t>（</w:t>
            </w:r>
            <w:r>
              <w:rPr>
                <w:rFonts w:ascii="Times New Roman" w:hAnsi="Times New Roman"/>
                <w:color w:val="auto"/>
                <w:sz w:val="21"/>
                <w:szCs w:val="21"/>
                <w:highlight w:val="none"/>
              </w:rPr>
              <w:t>4</w:t>
            </w:r>
            <w:r>
              <w:rPr>
                <w:rFonts w:ascii="Times New Roman"/>
                <w:color w:val="auto"/>
                <w:sz w:val="21"/>
                <w:szCs w:val="21"/>
                <w:highlight w:val="none"/>
              </w:rPr>
              <w:t>）能进行单元操作工艺参数计算，并据此进行单元操作设备选型和设计；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tcPr>
          <w:p>
            <w:pPr>
              <w:pStyle w:val="13"/>
              <w:spacing w:beforeAutospacing="0" w:afterAutospacing="0" w:line="360" w:lineRule="auto"/>
              <w:jc w:val="both"/>
              <w:rPr>
                <w:rFonts w:ascii="Times New Roman" w:hAnsi="Times New Roman"/>
                <w:color w:val="auto"/>
                <w:sz w:val="21"/>
                <w:szCs w:val="21"/>
                <w:highlight w:val="none"/>
              </w:rPr>
            </w:pPr>
            <w:r>
              <w:rPr>
                <w:rFonts w:ascii="Times New Roman"/>
                <w:color w:val="auto"/>
                <w:sz w:val="21"/>
                <w:szCs w:val="21"/>
                <w:highlight w:val="none"/>
              </w:rPr>
              <w:t>（</w:t>
            </w:r>
            <w:r>
              <w:rPr>
                <w:rFonts w:ascii="Times New Roman" w:hAnsi="Times New Roman"/>
                <w:color w:val="auto"/>
                <w:sz w:val="21"/>
                <w:szCs w:val="21"/>
                <w:highlight w:val="none"/>
              </w:rPr>
              <w:t>5</w:t>
            </w:r>
            <w:r>
              <w:rPr>
                <w:rFonts w:ascii="Times New Roman"/>
                <w:color w:val="auto"/>
                <w:sz w:val="21"/>
                <w:szCs w:val="21"/>
                <w:highlight w:val="none"/>
              </w:rPr>
              <w:t>）能正确使用化工生产中的各种现场和远程仪表；</w:t>
            </w:r>
          </w:p>
        </w:tc>
        <w:tc>
          <w:tcPr>
            <w:tcW w:w="4144" w:type="dxa"/>
            <w:noWrap/>
          </w:tcPr>
          <w:p>
            <w:pPr>
              <w:pStyle w:val="13"/>
              <w:spacing w:beforeAutospacing="0" w:afterAutospacing="0" w:line="360" w:lineRule="auto"/>
              <w:jc w:val="both"/>
              <w:rPr>
                <w:rFonts w:ascii="Times New Roman" w:hAnsi="Times New Roman"/>
                <w:color w:val="auto"/>
                <w:sz w:val="21"/>
                <w:szCs w:val="21"/>
                <w:highlight w:val="none"/>
              </w:rPr>
            </w:pPr>
            <w:r>
              <w:rPr>
                <w:rFonts w:ascii="Times New Roman"/>
                <w:color w:val="auto"/>
                <w:sz w:val="21"/>
                <w:szCs w:val="21"/>
                <w:highlight w:val="none"/>
              </w:rPr>
              <w:t>（</w:t>
            </w:r>
            <w:r>
              <w:rPr>
                <w:rFonts w:ascii="Times New Roman" w:hAnsi="Times New Roman"/>
                <w:color w:val="auto"/>
                <w:sz w:val="21"/>
                <w:szCs w:val="21"/>
                <w:highlight w:val="none"/>
              </w:rPr>
              <w:t>6</w:t>
            </w:r>
            <w:r>
              <w:rPr>
                <w:rFonts w:ascii="Times New Roman"/>
                <w:color w:val="auto"/>
                <w:sz w:val="21"/>
                <w:szCs w:val="21"/>
                <w:highlight w:val="none"/>
              </w:rPr>
              <w:t>）能对生产中出现的各种突发事件进行应急处理。</w:t>
            </w:r>
          </w:p>
        </w:tc>
      </w:tr>
    </w:tbl>
    <w:p>
      <w:pPr>
        <w:pStyle w:val="13"/>
        <w:spacing w:beforeAutospacing="0" w:afterAutospacing="0" w:line="360" w:lineRule="auto"/>
        <w:ind w:firstLine="480" w:firstLineChars="200"/>
        <w:jc w:val="both"/>
        <w:rPr>
          <w:color w:val="auto"/>
          <w:highlight w:val="none"/>
        </w:rPr>
        <w:sectPr>
          <w:footerReference r:id="rId7" w:type="default"/>
          <w:pgSz w:w="11906" w:h="16838"/>
          <w:pgMar w:top="1440" w:right="1797" w:bottom="1440" w:left="1797" w:header="851" w:footer="992" w:gutter="0"/>
          <w:cols w:space="720" w:num="1"/>
          <w:docGrid w:type="lines" w:linePitch="312" w:charSpace="0"/>
        </w:sectPr>
      </w:pPr>
    </w:p>
    <w:p>
      <w:pPr>
        <w:pStyle w:val="13"/>
        <w:spacing w:beforeAutospacing="0" w:afterAutospacing="0" w:line="360" w:lineRule="auto"/>
        <w:ind w:firstLine="480" w:firstLineChars="200"/>
        <w:jc w:val="both"/>
        <w:rPr>
          <w:color w:val="auto"/>
          <w:highlight w:val="none"/>
        </w:rPr>
      </w:pPr>
    </w:p>
    <w:p>
      <w:pPr>
        <w:pStyle w:val="13"/>
        <w:spacing w:beforeAutospacing="0" w:afterAutospacing="0" w:line="360" w:lineRule="auto"/>
        <w:ind w:firstLine="480" w:firstLineChars="200"/>
        <w:jc w:val="both"/>
        <w:rPr>
          <w:color w:val="auto"/>
          <w:highlight w:val="none"/>
        </w:rPr>
      </w:pPr>
      <w:r>
        <w:rPr>
          <w:rFonts w:hint="eastAsia"/>
          <w:color w:val="auto"/>
          <w:highlight w:val="none"/>
        </w:rPr>
        <w:t>3</w:t>
      </w:r>
      <w:r>
        <w:rPr>
          <w:rFonts w:hint="eastAsia"/>
          <w:color w:val="auto"/>
          <w:highlight w:val="none"/>
          <w:lang w:eastAsia="zh-CN"/>
        </w:rPr>
        <w:t>.</w:t>
      </w:r>
      <w:r>
        <w:rPr>
          <w:rFonts w:hint="eastAsia"/>
          <w:color w:val="auto"/>
          <w:highlight w:val="none"/>
        </w:rPr>
        <w:t>自身素质</w:t>
      </w:r>
    </w:p>
    <w:tbl>
      <w:tblPr>
        <w:tblStyle w:val="14"/>
        <w:tblW w:w="84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5" w:type="dxa"/>
            <w:noWrap/>
          </w:tcPr>
          <w:p>
            <w:pPr>
              <w:pStyle w:val="13"/>
              <w:spacing w:beforeAutospacing="0" w:afterAutospacing="0" w:line="360" w:lineRule="auto"/>
              <w:jc w:val="both"/>
              <w:rPr>
                <w:rFonts w:ascii="Times New Roman" w:hAnsi="Times New Roman"/>
                <w:color w:val="auto"/>
                <w:sz w:val="21"/>
                <w:szCs w:val="21"/>
                <w:highlight w:val="none"/>
              </w:rPr>
            </w:pPr>
            <w:r>
              <w:rPr>
                <w:rFonts w:ascii="Times New Roman"/>
                <w:color w:val="auto"/>
                <w:sz w:val="21"/>
                <w:szCs w:val="21"/>
                <w:highlight w:val="none"/>
              </w:rPr>
              <w:t>（</w:t>
            </w:r>
            <w:r>
              <w:rPr>
                <w:rFonts w:ascii="Times New Roman" w:hAnsi="Times New Roman"/>
                <w:color w:val="auto"/>
                <w:sz w:val="21"/>
                <w:szCs w:val="21"/>
                <w:highlight w:val="none"/>
              </w:rPr>
              <w:t>1</w:t>
            </w:r>
            <w:r>
              <w:rPr>
                <w:rFonts w:ascii="Times New Roman"/>
                <w:color w:val="auto"/>
                <w:sz w:val="21"/>
                <w:szCs w:val="21"/>
                <w:highlight w:val="none"/>
              </w:rPr>
              <w:t>）培养学生自我学习、独立思考的能力，追求乐于探索、勇于创新的精神；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5" w:type="dxa"/>
            <w:noWrap/>
          </w:tcPr>
          <w:p>
            <w:pPr>
              <w:pStyle w:val="13"/>
              <w:spacing w:beforeAutospacing="0" w:afterAutospacing="0" w:line="360" w:lineRule="auto"/>
              <w:jc w:val="both"/>
              <w:rPr>
                <w:rFonts w:ascii="Times New Roman" w:hAnsi="Times New Roman"/>
                <w:color w:val="auto"/>
                <w:sz w:val="21"/>
                <w:szCs w:val="21"/>
                <w:highlight w:val="none"/>
              </w:rPr>
            </w:pPr>
            <w:r>
              <w:rPr>
                <w:rFonts w:ascii="Times New Roman"/>
                <w:color w:val="auto"/>
                <w:sz w:val="21"/>
                <w:szCs w:val="21"/>
                <w:highlight w:val="none"/>
              </w:rPr>
              <w:t>（</w:t>
            </w:r>
            <w:r>
              <w:rPr>
                <w:rFonts w:ascii="Times New Roman" w:hAnsi="Times New Roman"/>
                <w:color w:val="auto"/>
                <w:sz w:val="21"/>
                <w:szCs w:val="21"/>
                <w:highlight w:val="none"/>
              </w:rPr>
              <w:t>2</w:t>
            </w:r>
            <w:r>
              <w:rPr>
                <w:rFonts w:ascii="Times New Roman"/>
                <w:color w:val="auto"/>
                <w:sz w:val="21"/>
                <w:szCs w:val="21"/>
                <w:highlight w:val="none"/>
              </w:rPr>
              <w:t>）培养学生获取和分析信息的能力素质，并能理论联系实际，综合分析化工生产实际问题并解决问题的能力；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5" w:type="dxa"/>
            <w:noWrap/>
          </w:tcPr>
          <w:p>
            <w:pPr>
              <w:pStyle w:val="13"/>
              <w:spacing w:beforeAutospacing="0" w:afterAutospacing="0" w:line="360" w:lineRule="auto"/>
              <w:jc w:val="both"/>
              <w:rPr>
                <w:rFonts w:ascii="Times New Roman" w:hAnsi="Times New Roman"/>
                <w:color w:val="auto"/>
                <w:sz w:val="21"/>
                <w:szCs w:val="21"/>
                <w:highlight w:val="none"/>
              </w:rPr>
            </w:pPr>
            <w:r>
              <w:rPr>
                <w:rFonts w:ascii="Times New Roman"/>
                <w:color w:val="auto"/>
                <w:sz w:val="21"/>
                <w:szCs w:val="21"/>
                <w:highlight w:val="none"/>
              </w:rPr>
              <w:t>（</w:t>
            </w:r>
            <w:r>
              <w:rPr>
                <w:rFonts w:ascii="Times New Roman" w:hAnsi="Times New Roman"/>
                <w:color w:val="auto"/>
                <w:sz w:val="21"/>
                <w:szCs w:val="21"/>
                <w:highlight w:val="none"/>
              </w:rPr>
              <w:t>3</w:t>
            </w:r>
            <w:r>
              <w:rPr>
                <w:rFonts w:ascii="Times New Roman"/>
                <w:color w:val="auto"/>
                <w:sz w:val="21"/>
                <w:szCs w:val="21"/>
                <w:highlight w:val="none"/>
              </w:rPr>
              <w:t>）培养学生形成劳动保护、节能减排、安全生产、清洁生产的意识；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5" w:type="dxa"/>
            <w:noWrap/>
          </w:tcPr>
          <w:p>
            <w:pPr>
              <w:pStyle w:val="13"/>
              <w:spacing w:beforeAutospacing="0" w:afterAutospacing="0" w:line="360" w:lineRule="auto"/>
              <w:jc w:val="both"/>
              <w:rPr>
                <w:rFonts w:ascii="Times New Roman" w:hAnsi="Times New Roman"/>
                <w:color w:val="auto"/>
                <w:sz w:val="21"/>
                <w:szCs w:val="21"/>
                <w:highlight w:val="none"/>
              </w:rPr>
            </w:pPr>
            <w:r>
              <w:rPr>
                <w:rFonts w:ascii="Times New Roman"/>
                <w:color w:val="auto"/>
                <w:sz w:val="21"/>
                <w:szCs w:val="21"/>
                <w:highlight w:val="none"/>
              </w:rPr>
              <w:t>（</w:t>
            </w:r>
            <w:r>
              <w:rPr>
                <w:rFonts w:ascii="Times New Roman" w:hAnsi="Times New Roman"/>
                <w:color w:val="auto"/>
                <w:sz w:val="21"/>
                <w:szCs w:val="21"/>
                <w:highlight w:val="none"/>
              </w:rPr>
              <w:t>4</w:t>
            </w:r>
            <w:r>
              <w:rPr>
                <w:rFonts w:ascii="Times New Roman"/>
                <w:color w:val="auto"/>
                <w:sz w:val="21"/>
                <w:szCs w:val="21"/>
                <w:highlight w:val="none"/>
              </w:rPr>
              <w:t>）培养学生团结合作、积极进取的精神；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5" w:type="dxa"/>
            <w:noWrap/>
          </w:tcPr>
          <w:p>
            <w:pPr>
              <w:pStyle w:val="13"/>
              <w:spacing w:beforeAutospacing="0" w:afterAutospacing="0" w:line="360" w:lineRule="auto"/>
              <w:jc w:val="both"/>
              <w:rPr>
                <w:rFonts w:ascii="Times New Roman" w:hAnsi="Times New Roman"/>
                <w:color w:val="auto"/>
                <w:sz w:val="21"/>
                <w:szCs w:val="21"/>
                <w:highlight w:val="none"/>
              </w:rPr>
            </w:pPr>
            <w:r>
              <w:rPr>
                <w:rFonts w:ascii="Times New Roman"/>
                <w:color w:val="auto"/>
                <w:sz w:val="21"/>
                <w:szCs w:val="21"/>
                <w:highlight w:val="none"/>
              </w:rPr>
              <w:t>（</w:t>
            </w:r>
            <w:r>
              <w:rPr>
                <w:rFonts w:ascii="Times New Roman" w:hAnsi="Times New Roman"/>
                <w:color w:val="auto"/>
                <w:sz w:val="21"/>
                <w:szCs w:val="21"/>
                <w:highlight w:val="none"/>
              </w:rPr>
              <w:t>5</w:t>
            </w:r>
            <w:r>
              <w:rPr>
                <w:rFonts w:ascii="Times New Roman"/>
                <w:color w:val="auto"/>
                <w:sz w:val="21"/>
                <w:szCs w:val="21"/>
                <w:highlight w:val="none"/>
              </w:rPr>
              <w:t>）培养学生敬业爱岗、严格遵守操作规程的职业道德。</w:t>
            </w:r>
          </w:p>
        </w:tc>
      </w:tr>
    </w:tbl>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（四）课程教学内容及学时分配</w:t>
      </w:r>
    </w:p>
    <w:p>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按企业常规的岗位设置及单元操作技术特点，将全课程分为三个领域、七个模块（即学习情境）。每个模块设置若干个教学项目，每个项目以具体的工作任务为对象实施。具体内容安排见表4.</w:t>
      </w:r>
      <w:r>
        <w:rPr>
          <w:rFonts w:hint="eastAsia" w:ascii="宋体" w:hAnsi="宋体" w:cs="宋体"/>
          <w:color w:val="auto"/>
          <w:kern w:val="0"/>
          <w:sz w:val="24"/>
          <w:highlight w:val="none"/>
          <w:lang w:val="en-US" w:eastAsia="zh-CN"/>
        </w:rPr>
        <w:t>1</w:t>
      </w:r>
      <w:r>
        <w:rPr>
          <w:rFonts w:hint="eastAsia" w:ascii="宋体" w:hAnsi="宋体" w:cs="宋体"/>
          <w:color w:val="auto"/>
          <w:kern w:val="0"/>
          <w:sz w:val="24"/>
          <w:highlight w:val="none"/>
        </w:rPr>
        <w:t>。</w:t>
      </w:r>
    </w:p>
    <w:p>
      <w:pPr>
        <w:spacing w:after="156" w:afterLines="50" w:line="360" w:lineRule="auto"/>
        <w:jc w:val="center"/>
        <w:rPr>
          <w:color w:val="auto"/>
          <w:kern w:val="0"/>
          <w:sz w:val="24"/>
          <w:highlight w:val="none"/>
        </w:rPr>
      </w:pPr>
      <w:r>
        <w:rPr>
          <w:rFonts w:hAnsi="宋体"/>
          <w:color w:val="auto"/>
          <w:kern w:val="0"/>
          <w:sz w:val="24"/>
          <w:highlight w:val="none"/>
        </w:rPr>
        <w:t>表</w:t>
      </w:r>
      <w:r>
        <w:rPr>
          <w:color w:val="auto"/>
          <w:kern w:val="0"/>
          <w:sz w:val="24"/>
          <w:highlight w:val="none"/>
        </w:rPr>
        <w:t>4.</w:t>
      </w:r>
      <w:r>
        <w:rPr>
          <w:rFonts w:ascii="宋体" w:hAnsi="宋体"/>
          <w:color w:val="auto"/>
          <w:kern w:val="0"/>
          <w:sz w:val="24"/>
          <w:highlight w:val="none"/>
        </w:rPr>
        <w:t>1</w:t>
      </w:r>
      <w:r>
        <w:rPr>
          <w:rFonts w:hint="eastAsia" w:ascii="宋体" w:hAnsi="宋体"/>
          <w:color w:val="auto"/>
          <w:kern w:val="0"/>
          <w:sz w:val="24"/>
          <w:highlight w:val="none"/>
        </w:rPr>
        <w:t>《</w:t>
      </w:r>
      <w:r>
        <w:rPr>
          <w:rFonts w:hAnsi="宋体"/>
          <w:color w:val="auto"/>
          <w:kern w:val="0"/>
          <w:sz w:val="24"/>
          <w:highlight w:val="none"/>
        </w:rPr>
        <w:t>化工单元操作</w:t>
      </w:r>
      <w:r>
        <w:rPr>
          <w:rFonts w:hint="eastAsia" w:ascii="宋体" w:hAnsi="宋体"/>
          <w:color w:val="auto"/>
          <w:kern w:val="0"/>
          <w:sz w:val="24"/>
          <w:highlight w:val="none"/>
        </w:rPr>
        <w:t>》</w:t>
      </w:r>
      <w:r>
        <w:rPr>
          <w:rFonts w:hAnsi="宋体"/>
          <w:color w:val="auto"/>
          <w:kern w:val="0"/>
          <w:sz w:val="24"/>
          <w:highlight w:val="none"/>
        </w:rPr>
        <w:t>课程教学内容及学时安排</w:t>
      </w:r>
    </w:p>
    <w:tbl>
      <w:tblPr>
        <w:tblStyle w:val="14"/>
        <w:tblW w:w="9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6"/>
        <w:gridCol w:w="2980"/>
        <w:gridCol w:w="2239"/>
        <w:gridCol w:w="1980"/>
        <w:gridCol w:w="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dxa"/>
            <w:noWrap/>
            <w:vAlign w:val="center"/>
          </w:tcPr>
          <w:p>
            <w:pPr>
              <w:pStyle w:val="7"/>
              <w:snapToGrid w:val="0"/>
              <w:spacing w:line="240" w:lineRule="auto"/>
              <w:jc w:val="center"/>
              <w:rPr>
                <w:rFonts w:ascii="Times New Roman" w:hAnsi="Times New Roman" w:cs="Times New Roman"/>
                <w:b/>
                <w:color w:val="auto"/>
                <w:highlight w:val="none"/>
              </w:rPr>
            </w:pPr>
            <w:r>
              <w:rPr>
                <w:rFonts w:ascii="Times New Roman" w:hAnsi="宋体" w:cs="Times New Roman"/>
                <w:b/>
                <w:color w:val="auto"/>
                <w:highlight w:val="none"/>
              </w:rPr>
              <w:t>项目任务</w:t>
            </w:r>
          </w:p>
        </w:tc>
        <w:tc>
          <w:tcPr>
            <w:tcW w:w="2980" w:type="dxa"/>
            <w:noWrap/>
            <w:vAlign w:val="center"/>
          </w:tcPr>
          <w:p>
            <w:pPr>
              <w:pStyle w:val="7"/>
              <w:snapToGrid w:val="0"/>
              <w:spacing w:line="240" w:lineRule="auto"/>
              <w:jc w:val="center"/>
              <w:rPr>
                <w:rFonts w:ascii="Times New Roman" w:hAnsi="Times New Roman" w:cs="Times New Roman"/>
                <w:b/>
                <w:color w:val="auto"/>
                <w:highlight w:val="none"/>
              </w:rPr>
            </w:pPr>
            <w:r>
              <w:rPr>
                <w:rFonts w:ascii="Times New Roman" w:hAnsi="宋体" w:cs="Times New Roman"/>
                <w:b/>
                <w:color w:val="auto"/>
                <w:highlight w:val="none"/>
              </w:rPr>
              <w:t>学习情境描述及目标</w:t>
            </w:r>
          </w:p>
        </w:tc>
        <w:tc>
          <w:tcPr>
            <w:tcW w:w="2239" w:type="dxa"/>
            <w:noWrap/>
            <w:vAlign w:val="center"/>
          </w:tcPr>
          <w:p>
            <w:pPr>
              <w:pStyle w:val="7"/>
              <w:snapToGrid w:val="0"/>
              <w:spacing w:line="240" w:lineRule="auto"/>
              <w:jc w:val="center"/>
              <w:rPr>
                <w:rFonts w:ascii="Times New Roman" w:hAnsi="Times New Roman" w:cs="Times New Roman"/>
                <w:b/>
                <w:color w:val="auto"/>
                <w:highlight w:val="none"/>
              </w:rPr>
            </w:pPr>
            <w:r>
              <w:rPr>
                <w:rFonts w:ascii="Times New Roman" w:hAnsi="宋体" w:cs="Times New Roman"/>
                <w:b/>
                <w:color w:val="auto"/>
                <w:highlight w:val="none"/>
              </w:rPr>
              <w:t>学习内容</w:t>
            </w:r>
          </w:p>
        </w:tc>
        <w:tc>
          <w:tcPr>
            <w:tcW w:w="1980" w:type="dxa"/>
            <w:noWrap/>
            <w:vAlign w:val="center"/>
          </w:tcPr>
          <w:p>
            <w:pPr>
              <w:pStyle w:val="7"/>
              <w:snapToGrid w:val="0"/>
              <w:spacing w:line="240" w:lineRule="auto"/>
              <w:jc w:val="center"/>
              <w:rPr>
                <w:rFonts w:ascii="Times New Roman" w:hAnsi="Times New Roman" w:cs="Times New Roman"/>
                <w:b/>
                <w:color w:val="auto"/>
                <w:highlight w:val="none"/>
              </w:rPr>
            </w:pPr>
            <w:r>
              <w:rPr>
                <w:rFonts w:ascii="Times New Roman" w:hAnsi="宋体" w:cs="Times New Roman"/>
                <w:b/>
                <w:color w:val="auto"/>
                <w:highlight w:val="none"/>
              </w:rPr>
              <w:t>技能要求</w:t>
            </w:r>
          </w:p>
        </w:tc>
        <w:tc>
          <w:tcPr>
            <w:tcW w:w="747" w:type="dxa"/>
            <w:noWrap/>
            <w:vAlign w:val="center"/>
          </w:tcPr>
          <w:p>
            <w:pPr>
              <w:pStyle w:val="7"/>
              <w:snapToGrid w:val="0"/>
              <w:spacing w:line="240" w:lineRule="auto"/>
              <w:jc w:val="center"/>
              <w:rPr>
                <w:rFonts w:ascii="Times New Roman" w:hAnsi="Times New Roman" w:cs="Times New Roman"/>
                <w:b/>
                <w:color w:val="auto"/>
                <w:highlight w:val="none"/>
              </w:rPr>
            </w:pPr>
            <w:r>
              <w:rPr>
                <w:rFonts w:ascii="Times New Roman" w:hAnsi="宋体" w:cs="Times New Roman"/>
                <w:b/>
                <w:color w:val="auto"/>
                <w:highlight w:val="none"/>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3" w:hRule="atLeast"/>
          <w:jc w:val="center"/>
        </w:trPr>
        <w:tc>
          <w:tcPr>
            <w:tcW w:w="1076" w:type="dxa"/>
            <w:noWrap/>
            <w:vAlign w:val="center"/>
          </w:tcPr>
          <w:p>
            <w:pPr>
              <w:pStyle w:val="7"/>
              <w:snapToGrid w:val="0"/>
              <w:spacing w:line="240" w:lineRule="auto"/>
              <w:jc w:val="center"/>
              <w:rPr>
                <w:rFonts w:ascii="Times New Roman" w:hAnsi="Times New Roman" w:cs="Times New Roman"/>
                <w:bCs/>
                <w:color w:val="auto"/>
                <w:kern w:val="0"/>
                <w:highlight w:val="none"/>
              </w:rPr>
            </w:pPr>
            <w:r>
              <w:rPr>
                <w:rFonts w:ascii="Times New Roman" w:hAnsi="宋体" w:cs="Times New Roman"/>
                <w:bCs/>
                <w:color w:val="auto"/>
                <w:kern w:val="0"/>
                <w:highlight w:val="none"/>
              </w:rPr>
              <w:t>一、流体输送过程及设备的选择与操作</w:t>
            </w:r>
          </w:p>
        </w:tc>
        <w:tc>
          <w:tcPr>
            <w:tcW w:w="2980" w:type="dxa"/>
            <w:noWrap/>
            <w:vAlign w:val="center"/>
          </w:tcPr>
          <w:p>
            <w:pPr>
              <w:spacing w:line="240" w:lineRule="auto"/>
              <w:rPr>
                <w:color w:val="auto"/>
                <w:szCs w:val="21"/>
                <w:highlight w:val="none"/>
              </w:rPr>
            </w:pPr>
            <w:r>
              <w:rPr>
                <w:color w:val="auto"/>
                <w:szCs w:val="21"/>
                <w:highlight w:val="none"/>
              </w:rPr>
              <w:t xml:space="preserve">1. </w:t>
            </w:r>
            <w:r>
              <w:rPr>
                <w:rFonts w:hAnsi="宋体"/>
                <w:color w:val="auto"/>
                <w:szCs w:val="21"/>
                <w:highlight w:val="none"/>
              </w:rPr>
              <w:t>常见化工管路的设计、安装</w:t>
            </w:r>
            <w:r>
              <w:rPr>
                <w:rFonts w:hint="eastAsia" w:hAnsi="宋体"/>
                <w:color w:val="auto"/>
                <w:szCs w:val="21"/>
                <w:highlight w:val="none"/>
              </w:rPr>
              <w:t>；</w:t>
            </w:r>
          </w:p>
          <w:p>
            <w:pPr>
              <w:spacing w:line="240" w:lineRule="auto"/>
              <w:rPr>
                <w:color w:val="auto"/>
                <w:szCs w:val="21"/>
                <w:highlight w:val="none"/>
              </w:rPr>
            </w:pPr>
            <w:r>
              <w:rPr>
                <w:color w:val="auto"/>
                <w:szCs w:val="21"/>
                <w:highlight w:val="none"/>
              </w:rPr>
              <w:t xml:space="preserve">2. </w:t>
            </w:r>
            <w:r>
              <w:rPr>
                <w:rFonts w:hAnsi="宋体"/>
                <w:color w:val="auto"/>
                <w:szCs w:val="21"/>
                <w:highlight w:val="none"/>
              </w:rPr>
              <w:t>流体压力和液位的测量</w:t>
            </w:r>
            <w:r>
              <w:rPr>
                <w:rFonts w:hint="eastAsia" w:hAnsi="宋体"/>
                <w:color w:val="auto"/>
                <w:szCs w:val="21"/>
                <w:highlight w:val="none"/>
              </w:rPr>
              <w:t>；</w:t>
            </w:r>
          </w:p>
          <w:p>
            <w:pPr>
              <w:spacing w:line="240" w:lineRule="auto"/>
              <w:rPr>
                <w:color w:val="auto"/>
                <w:szCs w:val="21"/>
                <w:highlight w:val="none"/>
              </w:rPr>
            </w:pPr>
            <w:r>
              <w:rPr>
                <w:color w:val="auto"/>
                <w:szCs w:val="21"/>
                <w:highlight w:val="none"/>
              </w:rPr>
              <w:t xml:space="preserve">3. </w:t>
            </w:r>
            <w:r>
              <w:rPr>
                <w:rFonts w:hAnsi="宋体"/>
                <w:color w:val="auto"/>
                <w:szCs w:val="21"/>
                <w:highlight w:val="none"/>
              </w:rPr>
              <w:t>流量的测量和调节</w:t>
            </w:r>
            <w:r>
              <w:rPr>
                <w:rFonts w:hint="eastAsia" w:hAnsi="宋体"/>
                <w:color w:val="auto"/>
                <w:szCs w:val="21"/>
                <w:highlight w:val="none"/>
              </w:rPr>
              <w:t>；</w:t>
            </w:r>
          </w:p>
          <w:p>
            <w:pPr>
              <w:spacing w:line="240" w:lineRule="auto"/>
              <w:rPr>
                <w:color w:val="auto"/>
                <w:szCs w:val="21"/>
                <w:highlight w:val="none"/>
              </w:rPr>
            </w:pPr>
            <w:r>
              <w:rPr>
                <w:color w:val="auto"/>
                <w:szCs w:val="21"/>
                <w:highlight w:val="none"/>
              </w:rPr>
              <w:t xml:space="preserve">4. </w:t>
            </w:r>
            <w:r>
              <w:rPr>
                <w:rFonts w:hAnsi="宋体"/>
                <w:color w:val="auto"/>
                <w:szCs w:val="21"/>
                <w:highlight w:val="none"/>
              </w:rPr>
              <w:t>离心泵的选用、操作及安装</w:t>
            </w:r>
            <w:r>
              <w:rPr>
                <w:rFonts w:hint="eastAsia" w:hAnsi="宋体"/>
                <w:color w:val="auto"/>
                <w:szCs w:val="21"/>
                <w:highlight w:val="none"/>
              </w:rPr>
              <w:t>；</w:t>
            </w:r>
          </w:p>
          <w:p>
            <w:pPr>
              <w:spacing w:line="240" w:lineRule="auto"/>
              <w:rPr>
                <w:color w:val="auto"/>
                <w:kern w:val="0"/>
                <w:szCs w:val="21"/>
                <w:highlight w:val="none"/>
              </w:rPr>
            </w:pPr>
            <w:r>
              <w:rPr>
                <w:color w:val="auto"/>
                <w:szCs w:val="21"/>
                <w:highlight w:val="none"/>
              </w:rPr>
              <w:t xml:space="preserve">5. </w:t>
            </w:r>
            <w:r>
              <w:rPr>
                <w:rFonts w:hAnsi="宋体"/>
                <w:color w:val="auto"/>
                <w:szCs w:val="21"/>
                <w:highlight w:val="none"/>
              </w:rPr>
              <w:t>其它流体输送设备的应用</w:t>
            </w:r>
            <w:r>
              <w:rPr>
                <w:rFonts w:hint="eastAsia" w:hAnsi="宋体"/>
                <w:color w:val="auto"/>
                <w:szCs w:val="21"/>
                <w:highlight w:val="none"/>
              </w:rPr>
              <w:t>；</w:t>
            </w:r>
          </w:p>
        </w:tc>
        <w:tc>
          <w:tcPr>
            <w:tcW w:w="2239" w:type="dxa"/>
            <w:noWrap/>
            <w:vAlign w:val="center"/>
          </w:tcPr>
          <w:p>
            <w:pPr>
              <w:spacing w:line="240" w:lineRule="auto"/>
              <w:rPr>
                <w:color w:val="auto"/>
                <w:szCs w:val="21"/>
                <w:highlight w:val="none"/>
              </w:rPr>
            </w:pPr>
            <w:r>
              <w:rPr>
                <w:rFonts w:hAnsi="宋体"/>
                <w:color w:val="auto"/>
                <w:szCs w:val="21"/>
                <w:highlight w:val="none"/>
              </w:rPr>
              <w:t>①流体流动基本原理</w:t>
            </w:r>
            <w:r>
              <w:rPr>
                <w:rFonts w:hint="eastAsia" w:hAnsi="宋体"/>
                <w:color w:val="auto"/>
                <w:szCs w:val="21"/>
                <w:highlight w:val="none"/>
              </w:rPr>
              <w:t>，</w:t>
            </w:r>
            <w:r>
              <w:rPr>
                <w:rFonts w:hAnsi="宋体"/>
                <w:color w:val="auto"/>
                <w:szCs w:val="21"/>
                <w:highlight w:val="none"/>
              </w:rPr>
              <w:t>连续性方程，柏努利方程，范宁公式及应用</w:t>
            </w:r>
            <w:r>
              <w:rPr>
                <w:rFonts w:hint="eastAsia" w:hAnsi="宋体"/>
                <w:color w:val="auto"/>
                <w:szCs w:val="21"/>
                <w:highlight w:val="none"/>
              </w:rPr>
              <w:t>；</w:t>
            </w:r>
          </w:p>
          <w:p>
            <w:pPr>
              <w:spacing w:line="240" w:lineRule="auto"/>
              <w:rPr>
                <w:color w:val="auto"/>
                <w:szCs w:val="21"/>
                <w:highlight w:val="none"/>
              </w:rPr>
            </w:pPr>
            <w:r>
              <w:rPr>
                <w:rFonts w:hAnsi="宋体"/>
                <w:color w:val="auto"/>
                <w:szCs w:val="21"/>
                <w:highlight w:val="none"/>
              </w:rPr>
              <w:t>②离心泵的原理及选用安装计算</w:t>
            </w:r>
            <w:r>
              <w:rPr>
                <w:rFonts w:hint="eastAsia" w:hAnsi="宋体"/>
                <w:color w:val="auto"/>
                <w:szCs w:val="21"/>
                <w:highlight w:val="none"/>
              </w:rPr>
              <w:t>。</w:t>
            </w:r>
          </w:p>
        </w:tc>
        <w:tc>
          <w:tcPr>
            <w:tcW w:w="1980" w:type="dxa"/>
            <w:noWrap/>
            <w:vAlign w:val="center"/>
          </w:tcPr>
          <w:p>
            <w:pPr>
              <w:spacing w:line="240" w:lineRule="auto"/>
              <w:rPr>
                <w:color w:val="auto"/>
                <w:szCs w:val="21"/>
                <w:highlight w:val="none"/>
              </w:rPr>
            </w:pPr>
            <w:r>
              <w:rPr>
                <w:rFonts w:hAnsi="宋体"/>
                <w:color w:val="auto"/>
                <w:szCs w:val="21"/>
                <w:highlight w:val="none"/>
              </w:rPr>
              <w:t>①流量、压力的测量控制</w:t>
            </w:r>
            <w:r>
              <w:rPr>
                <w:rFonts w:hint="eastAsia" w:hAnsi="宋体"/>
                <w:color w:val="auto"/>
                <w:szCs w:val="21"/>
                <w:highlight w:val="none"/>
              </w:rPr>
              <w:t>；</w:t>
            </w:r>
          </w:p>
          <w:p>
            <w:pPr>
              <w:spacing w:line="240" w:lineRule="auto"/>
              <w:rPr>
                <w:color w:val="auto"/>
                <w:szCs w:val="21"/>
                <w:highlight w:val="none"/>
              </w:rPr>
            </w:pPr>
            <w:r>
              <w:rPr>
                <w:rFonts w:hAnsi="宋体"/>
                <w:color w:val="auto"/>
                <w:szCs w:val="21"/>
                <w:highlight w:val="none"/>
              </w:rPr>
              <w:t>②管路系统的计算设计</w:t>
            </w:r>
            <w:r>
              <w:rPr>
                <w:rFonts w:hint="eastAsia" w:hAnsi="宋体"/>
                <w:color w:val="auto"/>
                <w:szCs w:val="21"/>
                <w:highlight w:val="none"/>
              </w:rPr>
              <w:t>；</w:t>
            </w:r>
          </w:p>
          <w:p>
            <w:pPr>
              <w:spacing w:line="240" w:lineRule="auto"/>
              <w:rPr>
                <w:color w:val="auto"/>
                <w:szCs w:val="21"/>
                <w:highlight w:val="none"/>
              </w:rPr>
            </w:pPr>
            <w:r>
              <w:rPr>
                <w:rFonts w:hAnsi="宋体"/>
                <w:color w:val="auto"/>
                <w:szCs w:val="21"/>
                <w:highlight w:val="none"/>
              </w:rPr>
              <w:t>③离心泵的选用及安装、操作</w:t>
            </w:r>
            <w:r>
              <w:rPr>
                <w:rFonts w:hint="eastAsia" w:hAnsi="宋体"/>
                <w:color w:val="auto"/>
                <w:szCs w:val="21"/>
                <w:highlight w:val="none"/>
              </w:rPr>
              <w:t>。</w:t>
            </w:r>
          </w:p>
        </w:tc>
        <w:tc>
          <w:tcPr>
            <w:tcW w:w="747" w:type="dxa"/>
            <w:noWrap/>
            <w:vAlign w:val="center"/>
          </w:tcPr>
          <w:p>
            <w:pPr>
              <w:pStyle w:val="7"/>
              <w:snapToGrid w:val="0"/>
              <w:spacing w:line="240" w:lineRule="auto"/>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dxa"/>
            <w:noWrap/>
            <w:vAlign w:val="center"/>
          </w:tcPr>
          <w:p>
            <w:pPr>
              <w:pStyle w:val="7"/>
              <w:snapToGrid w:val="0"/>
              <w:spacing w:line="240" w:lineRule="auto"/>
              <w:jc w:val="center"/>
              <w:rPr>
                <w:rFonts w:ascii="Times New Roman" w:hAnsi="Times New Roman" w:cs="Times New Roman"/>
                <w:bCs/>
                <w:color w:val="auto"/>
                <w:kern w:val="0"/>
                <w:highlight w:val="none"/>
              </w:rPr>
            </w:pPr>
            <w:r>
              <w:rPr>
                <w:rFonts w:ascii="Times New Roman" w:hAnsi="宋体" w:cs="Times New Roman"/>
                <w:bCs/>
                <w:color w:val="auto"/>
                <w:kern w:val="0"/>
                <w:highlight w:val="none"/>
              </w:rPr>
              <w:t>二、非均相物系分离方案及设备的选择与操作</w:t>
            </w:r>
          </w:p>
        </w:tc>
        <w:tc>
          <w:tcPr>
            <w:tcW w:w="2980" w:type="dxa"/>
            <w:noWrap/>
            <w:vAlign w:val="center"/>
          </w:tcPr>
          <w:p>
            <w:pPr>
              <w:spacing w:line="240" w:lineRule="auto"/>
              <w:rPr>
                <w:color w:val="auto"/>
                <w:szCs w:val="21"/>
                <w:highlight w:val="none"/>
              </w:rPr>
            </w:pPr>
            <w:r>
              <w:rPr>
                <w:color w:val="auto"/>
                <w:szCs w:val="21"/>
                <w:highlight w:val="none"/>
              </w:rPr>
              <w:t xml:space="preserve">1. </w:t>
            </w:r>
            <w:r>
              <w:rPr>
                <w:rFonts w:hAnsi="宋体"/>
                <w:color w:val="auto"/>
                <w:szCs w:val="21"/>
                <w:highlight w:val="none"/>
              </w:rPr>
              <w:t>气固分离流程及设备选择</w:t>
            </w:r>
            <w:r>
              <w:rPr>
                <w:rFonts w:hint="eastAsia" w:hAnsi="宋体"/>
                <w:color w:val="auto"/>
                <w:szCs w:val="21"/>
                <w:highlight w:val="none"/>
              </w:rPr>
              <w:t>；</w:t>
            </w:r>
          </w:p>
          <w:p>
            <w:pPr>
              <w:spacing w:line="240" w:lineRule="auto"/>
              <w:rPr>
                <w:color w:val="auto"/>
                <w:szCs w:val="21"/>
                <w:highlight w:val="none"/>
              </w:rPr>
            </w:pPr>
            <w:r>
              <w:rPr>
                <w:color w:val="auto"/>
                <w:szCs w:val="21"/>
                <w:highlight w:val="none"/>
              </w:rPr>
              <w:t xml:space="preserve">2. </w:t>
            </w:r>
            <w:r>
              <w:rPr>
                <w:rFonts w:hAnsi="宋体"/>
                <w:color w:val="auto"/>
                <w:szCs w:val="21"/>
                <w:highlight w:val="none"/>
              </w:rPr>
              <w:t>液固分离设备的认识、操作</w:t>
            </w:r>
            <w:r>
              <w:rPr>
                <w:rFonts w:hint="eastAsia" w:hAnsi="宋体"/>
                <w:color w:val="auto"/>
                <w:szCs w:val="21"/>
                <w:highlight w:val="none"/>
              </w:rPr>
              <w:t>；</w:t>
            </w:r>
          </w:p>
          <w:p>
            <w:pPr>
              <w:pStyle w:val="7"/>
              <w:snapToGrid w:val="0"/>
              <w:spacing w:line="240" w:lineRule="auto"/>
              <w:rPr>
                <w:rFonts w:ascii="Times New Roman" w:hAnsi="Times New Roman" w:cs="Times New Roman"/>
                <w:color w:val="auto"/>
                <w:kern w:val="0"/>
                <w:highlight w:val="none"/>
              </w:rPr>
            </w:pPr>
            <w:r>
              <w:rPr>
                <w:rFonts w:ascii="Times New Roman" w:hAnsi="Times New Roman" w:cs="Times New Roman"/>
                <w:color w:val="auto"/>
                <w:highlight w:val="none"/>
              </w:rPr>
              <w:t xml:space="preserve">3. </w:t>
            </w:r>
            <w:r>
              <w:rPr>
                <w:rFonts w:ascii="Times New Roman" w:hAnsi="宋体" w:cs="Times New Roman"/>
                <w:color w:val="auto"/>
                <w:highlight w:val="none"/>
              </w:rPr>
              <w:t>板框压滤机的操作</w:t>
            </w:r>
            <w:r>
              <w:rPr>
                <w:rFonts w:hint="eastAsia" w:ascii="Times New Roman" w:hAnsi="宋体" w:cs="Times New Roman"/>
                <w:color w:val="auto"/>
                <w:highlight w:val="none"/>
              </w:rPr>
              <w:t>。</w:t>
            </w:r>
          </w:p>
        </w:tc>
        <w:tc>
          <w:tcPr>
            <w:tcW w:w="2239" w:type="dxa"/>
            <w:noWrap/>
            <w:vAlign w:val="center"/>
          </w:tcPr>
          <w:p>
            <w:pPr>
              <w:spacing w:line="240" w:lineRule="auto"/>
              <w:rPr>
                <w:color w:val="auto"/>
                <w:szCs w:val="21"/>
                <w:highlight w:val="none"/>
              </w:rPr>
            </w:pPr>
            <w:r>
              <w:rPr>
                <w:color w:val="auto"/>
                <w:szCs w:val="21"/>
                <w:highlight w:val="none"/>
              </w:rPr>
              <w:fldChar w:fldCharType="begin"/>
            </w:r>
            <w:r>
              <w:rPr>
                <w:color w:val="auto"/>
                <w:szCs w:val="21"/>
                <w:highlight w:val="none"/>
              </w:rPr>
              <w:instrText xml:space="preserve"> = 1 \* GB3 </w:instrText>
            </w:r>
            <w:r>
              <w:rPr>
                <w:color w:val="auto"/>
                <w:szCs w:val="21"/>
                <w:highlight w:val="none"/>
              </w:rPr>
              <w:fldChar w:fldCharType="separate"/>
            </w:r>
            <w:r>
              <w:rPr>
                <w:rFonts w:hAnsi="宋体"/>
                <w:color w:val="auto"/>
                <w:szCs w:val="21"/>
                <w:highlight w:val="none"/>
              </w:rPr>
              <w:t>①</w:t>
            </w:r>
            <w:r>
              <w:rPr>
                <w:color w:val="auto"/>
                <w:szCs w:val="21"/>
                <w:highlight w:val="none"/>
              </w:rPr>
              <w:fldChar w:fldCharType="end"/>
            </w:r>
            <w:r>
              <w:rPr>
                <w:rFonts w:hAnsi="宋体"/>
                <w:color w:val="auto"/>
                <w:szCs w:val="21"/>
                <w:highlight w:val="none"/>
              </w:rPr>
              <w:t>重力沉降原理，沉降速度的计算；沉降室、旋风分离器等设备的结构和工作原理</w:t>
            </w:r>
            <w:r>
              <w:rPr>
                <w:rFonts w:hint="eastAsia" w:hAnsi="宋体"/>
                <w:color w:val="auto"/>
                <w:szCs w:val="21"/>
                <w:highlight w:val="none"/>
              </w:rPr>
              <w:t>；</w:t>
            </w:r>
          </w:p>
          <w:p>
            <w:pPr>
              <w:pStyle w:val="7"/>
              <w:snapToGrid w:val="0"/>
              <w:spacing w:line="240" w:lineRule="auto"/>
              <w:rPr>
                <w:rFonts w:ascii="Times New Roman" w:hAnsi="Times New Roman" w:cs="Times New Roman"/>
                <w:color w:val="auto"/>
                <w:highlight w:val="none"/>
              </w:rPr>
            </w:pPr>
            <w:r>
              <w:rPr>
                <w:rFonts w:ascii="Times New Roman" w:hAnsi="宋体" w:cs="Times New Roman"/>
                <w:color w:val="auto"/>
                <w:highlight w:val="none"/>
              </w:rPr>
              <w:t>②过滤基本概念，板框过滤机的工作原理和特点</w:t>
            </w:r>
            <w:r>
              <w:rPr>
                <w:rFonts w:hint="eastAsia" w:ascii="Times New Roman" w:hAnsi="宋体" w:cs="Times New Roman"/>
                <w:color w:val="auto"/>
                <w:highlight w:val="none"/>
              </w:rPr>
              <w:t>。</w:t>
            </w:r>
          </w:p>
        </w:tc>
        <w:tc>
          <w:tcPr>
            <w:tcW w:w="1980" w:type="dxa"/>
            <w:noWrap/>
            <w:vAlign w:val="center"/>
          </w:tcPr>
          <w:p>
            <w:pPr>
              <w:pStyle w:val="7"/>
              <w:snapToGrid w:val="0"/>
              <w:spacing w:line="240" w:lineRule="auto"/>
              <w:rPr>
                <w:rFonts w:ascii="Times New Roman" w:hAnsi="Times New Roman" w:cs="Times New Roman"/>
                <w:color w:val="auto"/>
                <w:highlight w:val="none"/>
              </w:rPr>
            </w:pP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 1 \* GB3 </w:instrText>
            </w:r>
            <w:r>
              <w:rPr>
                <w:rFonts w:ascii="Times New Roman" w:hAnsi="Times New Roman" w:cs="Times New Roman"/>
                <w:color w:val="auto"/>
                <w:highlight w:val="none"/>
              </w:rPr>
              <w:fldChar w:fldCharType="separate"/>
            </w:r>
            <w:r>
              <w:rPr>
                <w:rFonts w:ascii="Times New Roman" w:hAnsi="宋体" w:cs="Times New Roman"/>
                <w:color w:val="auto"/>
                <w:highlight w:val="none"/>
              </w:rPr>
              <w:t>①</w:t>
            </w:r>
            <w:r>
              <w:rPr>
                <w:rFonts w:ascii="Times New Roman" w:hAnsi="Times New Roman" w:cs="Times New Roman"/>
                <w:color w:val="auto"/>
                <w:highlight w:val="none"/>
              </w:rPr>
              <w:fldChar w:fldCharType="end"/>
            </w:r>
            <w:r>
              <w:rPr>
                <w:rFonts w:ascii="Times New Roman" w:hAnsi="宋体" w:cs="Times New Roman"/>
                <w:color w:val="auto"/>
                <w:highlight w:val="none"/>
              </w:rPr>
              <w:t>能根据沉降、过滤的原理，正确合理的选择除尘器、过滤器</w:t>
            </w:r>
            <w:r>
              <w:rPr>
                <w:rFonts w:hint="eastAsia" w:ascii="Times New Roman" w:hAnsi="宋体" w:cs="Times New Roman"/>
                <w:color w:val="auto"/>
                <w:highlight w:val="none"/>
              </w:rPr>
              <w:t>；</w:t>
            </w:r>
          </w:p>
          <w:p>
            <w:pPr>
              <w:pStyle w:val="7"/>
              <w:snapToGrid w:val="0"/>
              <w:spacing w:line="240" w:lineRule="auto"/>
              <w:rPr>
                <w:rFonts w:ascii="Times New Roman" w:hAnsi="Times New Roman" w:cs="Times New Roman"/>
                <w:color w:val="auto"/>
                <w:highlight w:val="none"/>
              </w:rPr>
            </w:pPr>
            <w:r>
              <w:rPr>
                <w:rFonts w:ascii="Times New Roman" w:hAnsi="宋体" w:cs="Times New Roman"/>
                <w:color w:val="auto"/>
                <w:highlight w:val="none"/>
              </w:rPr>
              <w:t>②正确操作板框过滤机</w:t>
            </w:r>
            <w:r>
              <w:rPr>
                <w:rFonts w:hint="eastAsia" w:ascii="Times New Roman" w:hAnsi="宋体" w:cs="Times New Roman"/>
                <w:color w:val="auto"/>
                <w:highlight w:val="none"/>
              </w:rPr>
              <w:t>。</w:t>
            </w:r>
          </w:p>
        </w:tc>
        <w:tc>
          <w:tcPr>
            <w:tcW w:w="747" w:type="dxa"/>
            <w:noWrap/>
            <w:vAlign w:val="center"/>
          </w:tcPr>
          <w:p>
            <w:pPr>
              <w:pStyle w:val="7"/>
              <w:snapToGrid w:val="0"/>
              <w:spacing w:line="240" w:lineRule="auto"/>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14</w:t>
            </w:r>
          </w:p>
        </w:tc>
      </w:tr>
    </w:tbl>
    <w:p>
      <w:pPr>
        <w:spacing w:line="240" w:lineRule="auto"/>
        <w:jc w:val="center"/>
        <w:rPr>
          <w:rFonts w:hAnsi="宋体"/>
          <w:bCs/>
          <w:color w:val="auto"/>
          <w:kern w:val="0"/>
          <w:szCs w:val="21"/>
          <w:highlight w:val="none"/>
        </w:rPr>
        <w:sectPr>
          <w:footerReference r:id="rId8" w:type="default"/>
          <w:pgSz w:w="11906" w:h="16838"/>
          <w:pgMar w:top="1440" w:right="1797" w:bottom="1440" w:left="1797" w:header="851" w:footer="992" w:gutter="0"/>
          <w:cols w:space="720" w:num="1"/>
          <w:docGrid w:type="lines" w:linePitch="312" w:charSpace="0"/>
        </w:sectPr>
      </w:pPr>
    </w:p>
    <w:tbl>
      <w:tblPr>
        <w:tblStyle w:val="14"/>
        <w:tblW w:w="9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6"/>
        <w:gridCol w:w="2980"/>
        <w:gridCol w:w="2239"/>
        <w:gridCol w:w="1980"/>
        <w:gridCol w:w="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7" w:hRule="atLeast"/>
          <w:jc w:val="center"/>
        </w:trPr>
        <w:tc>
          <w:tcPr>
            <w:tcW w:w="1076" w:type="dxa"/>
            <w:noWrap/>
            <w:vAlign w:val="center"/>
          </w:tcPr>
          <w:p>
            <w:pPr>
              <w:spacing w:line="240" w:lineRule="auto"/>
              <w:jc w:val="center"/>
              <w:rPr>
                <w:bCs/>
                <w:color w:val="auto"/>
                <w:kern w:val="0"/>
                <w:szCs w:val="21"/>
                <w:highlight w:val="none"/>
              </w:rPr>
            </w:pPr>
            <w:r>
              <w:rPr>
                <w:rFonts w:hAnsi="宋体"/>
                <w:bCs/>
                <w:color w:val="auto"/>
                <w:kern w:val="0"/>
                <w:szCs w:val="21"/>
                <w:highlight w:val="none"/>
              </w:rPr>
              <w:t>三</w:t>
            </w:r>
            <w:r>
              <w:rPr>
                <w:rFonts w:hint="eastAsia" w:hAnsi="宋体"/>
                <w:bCs/>
                <w:color w:val="auto"/>
                <w:kern w:val="0"/>
                <w:szCs w:val="21"/>
                <w:highlight w:val="none"/>
              </w:rPr>
              <w:t>、</w:t>
            </w:r>
            <w:r>
              <w:rPr>
                <w:rFonts w:hAnsi="宋体"/>
                <w:bCs/>
                <w:color w:val="auto"/>
                <w:kern w:val="0"/>
                <w:szCs w:val="21"/>
                <w:highlight w:val="none"/>
              </w:rPr>
              <w:t>传热过程及设备的选择与操作</w:t>
            </w:r>
          </w:p>
        </w:tc>
        <w:tc>
          <w:tcPr>
            <w:tcW w:w="2980" w:type="dxa"/>
            <w:noWrap/>
            <w:vAlign w:val="center"/>
          </w:tcPr>
          <w:p>
            <w:pPr>
              <w:spacing w:line="240" w:lineRule="auto"/>
              <w:rPr>
                <w:color w:val="auto"/>
                <w:szCs w:val="21"/>
                <w:highlight w:val="none"/>
              </w:rPr>
            </w:pPr>
            <w:r>
              <w:rPr>
                <w:color w:val="auto"/>
                <w:szCs w:val="21"/>
                <w:highlight w:val="none"/>
              </w:rPr>
              <w:t xml:space="preserve">1. </w:t>
            </w:r>
            <w:r>
              <w:rPr>
                <w:rFonts w:hAnsi="宋体"/>
                <w:color w:val="auto"/>
                <w:szCs w:val="21"/>
                <w:highlight w:val="none"/>
              </w:rPr>
              <w:t>传热介质选择及用量确定</w:t>
            </w:r>
            <w:r>
              <w:rPr>
                <w:rFonts w:hint="eastAsia" w:hAnsi="宋体"/>
                <w:color w:val="auto"/>
                <w:szCs w:val="21"/>
                <w:highlight w:val="none"/>
              </w:rPr>
              <w:t>；</w:t>
            </w:r>
          </w:p>
          <w:p>
            <w:pPr>
              <w:spacing w:line="240" w:lineRule="auto"/>
              <w:rPr>
                <w:color w:val="auto"/>
                <w:szCs w:val="21"/>
                <w:highlight w:val="none"/>
              </w:rPr>
            </w:pPr>
            <w:r>
              <w:rPr>
                <w:color w:val="auto"/>
                <w:szCs w:val="21"/>
                <w:highlight w:val="none"/>
              </w:rPr>
              <w:t xml:space="preserve">2. </w:t>
            </w:r>
            <w:r>
              <w:rPr>
                <w:rFonts w:hAnsi="宋体"/>
                <w:color w:val="auto"/>
                <w:szCs w:val="21"/>
                <w:highlight w:val="none"/>
              </w:rPr>
              <w:t>化工设备保温材料的选择和保温层厚度的计算</w:t>
            </w:r>
            <w:r>
              <w:rPr>
                <w:rFonts w:hint="eastAsia" w:hAnsi="宋体"/>
                <w:color w:val="auto"/>
                <w:szCs w:val="21"/>
                <w:highlight w:val="none"/>
              </w:rPr>
              <w:t>；</w:t>
            </w:r>
          </w:p>
          <w:p>
            <w:pPr>
              <w:spacing w:line="240" w:lineRule="auto"/>
              <w:rPr>
                <w:color w:val="auto"/>
                <w:szCs w:val="21"/>
                <w:highlight w:val="none"/>
              </w:rPr>
            </w:pPr>
            <w:r>
              <w:rPr>
                <w:color w:val="auto"/>
                <w:szCs w:val="21"/>
                <w:highlight w:val="none"/>
              </w:rPr>
              <w:t xml:space="preserve">3. </w:t>
            </w:r>
            <w:r>
              <w:rPr>
                <w:rFonts w:hAnsi="宋体"/>
                <w:color w:val="auto"/>
                <w:szCs w:val="21"/>
                <w:highlight w:val="none"/>
              </w:rPr>
              <w:t>换热器的选择</w:t>
            </w:r>
            <w:r>
              <w:rPr>
                <w:rFonts w:hint="eastAsia" w:hAnsi="宋体"/>
                <w:color w:val="auto"/>
                <w:szCs w:val="21"/>
                <w:highlight w:val="none"/>
              </w:rPr>
              <w:t>；</w:t>
            </w:r>
          </w:p>
          <w:p>
            <w:pPr>
              <w:spacing w:line="240" w:lineRule="auto"/>
              <w:rPr>
                <w:color w:val="auto"/>
                <w:szCs w:val="21"/>
                <w:highlight w:val="none"/>
              </w:rPr>
            </w:pPr>
            <w:r>
              <w:rPr>
                <w:color w:val="auto"/>
                <w:szCs w:val="21"/>
                <w:highlight w:val="none"/>
              </w:rPr>
              <w:t xml:space="preserve">4. </w:t>
            </w:r>
            <w:r>
              <w:rPr>
                <w:rFonts w:hAnsi="宋体"/>
                <w:color w:val="auto"/>
                <w:szCs w:val="21"/>
                <w:highlight w:val="none"/>
              </w:rPr>
              <w:t>换热器的操作</w:t>
            </w:r>
            <w:r>
              <w:rPr>
                <w:rFonts w:hint="eastAsia" w:hAnsi="宋体"/>
                <w:color w:val="auto"/>
                <w:szCs w:val="21"/>
                <w:highlight w:val="none"/>
              </w:rPr>
              <w:t>。</w:t>
            </w:r>
          </w:p>
        </w:tc>
        <w:tc>
          <w:tcPr>
            <w:tcW w:w="2239" w:type="dxa"/>
            <w:noWrap/>
            <w:vAlign w:val="center"/>
          </w:tcPr>
          <w:p>
            <w:pPr>
              <w:spacing w:line="240" w:lineRule="auto"/>
              <w:rPr>
                <w:color w:val="auto"/>
                <w:szCs w:val="21"/>
                <w:highlight w:val="none"/>
              </w:rPr>
            </w:pPr>
            <w:r>
              <w:rPr>
                <w:rFonts w:hAnsi="宋体"/>
                <w:color w:val="auto"/>
                <w:szCs w:val="21"/>
                <w:highlight w:val="none"/>
              </w:rPr>
              <w:t>①传导传热、对流传热基本原理；</w:t>
            </w:r>
          </w:p>
          <w:p>
            <w:pPr>
              <w:spacing w:line="240" w:lineRule="auto"/>
              <w:rPr>
                <w:color w:val="auto"/>
                <w:szCs w:val="21"/>
                <w:highlight w:val="none"/>
              </w:rPr>
            </w:pPr>
            <w:r>
              <w:rPr>
                <w:rFonts w:hAnsi="宋体"/>
                <w:color w:val="auto"/>
                <w:szCs w:val="21"/>
                <w:highlight w:val="none"/>
              </w:rPr>
              <w:t>②传热基本计算</w:t>
            </w:r>
            <w:r>
              <w:rPr>
                <w:rFonts w:hint="eastAsia" w:hAnsi="宋体"/>
                <w:color w:val="auto"/>
                <w:szCs w:val="21"/>
                <w:highlight w:val="none"/>
              </w:rPr>
              <w:t>。</w:t>
            </w:r>
          </w:p>
        </w:tc>
        <w:tc>
          <w:tcPr>
            <w:tcW w:w="1980" w:type="dxa"/>
            <w:noWrap/>
            <w:vAlign w:val="center"/>
          </w:tcPr>
          <w:p>
            <w:pPr>
              <w:spacing w:line="240" w:lineRule="auto"/>
              <w:rPr>
                <w:color w:val="auto"/>
                <w:szCs w:val="21"/>
                <w:highlight w:val="none"/>
              </w:rPr>
            </w:pPr>
            <w:r>
              <w:rPr>
                <w:rFonts w:hAnsi="宋体"/>
                <w:color w:val="auto"/>
                <w:szCs w:val="21"/>
                <w:highlight w:val="none"/>
              </w:rPr>
              <w:t>①正确选择换热器；</w:t>
            </w:r>
          </w:p>
          <w:p>
            <w:pPr>
              <w:spacing w:line="240" w:lineRule="auto"/>
              <w:rPr>
                <w:color w:val="auto"/>
                <w:szCs w:val="21"/>
                <w:highlight w:val="none"/>
              </w:rPr>
            </w:pPr>
            <w:r>
              <w:rPr>
                <w:rFonts w:hAnsi="宋体"/>
                <w:color w:val="auto"/>
                <w:szCs w:val="21"/>
                <w:highlight w:val="none"/>
              </w:rPr>
              <w:t>②换热过程的强化，节能的方法</w:t>
            </w:r>
            <w:r>
              <w:rPr>
                <w:rFonts w:hint="eastAsia" w:hAnsi="宋体"/>
                <w:color w:val="auto"/>
                <w:szCs w:val="21"/>
                <w:highlight w:val="none"/>
              </w:rPr>
              <w:t>。</w:t>
            </w:r>
          </w:p>
        </w:tc>
        <w:tc>
          <w:tcPr>
            <w:tcW w:w="747" w:type="dxa"/>
            <w:noWrap/>
            <w:vAlign w:val="center"/>
          </w:tcPr>
          <w:p>
            <w:pPr>
              <w:pStyle w:val="7"/>
              <w:snapToGrid w:val="0"/>
              <w:spacing w:line="240" w:lineRule="auto"/>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9" w:hRule="atLeast"/>
          <w:jc w:val="center"/>
        </w:trPr>
        <w:tc>
          <w:tcPr>
            <w:tcW w:w="1076" w:type="dxa"/>
            <w:noWrap/>
            <w:vAlign w:val="center"/>
          </w:tcPr>
          <w:p>
            <w:pPr>
              <w:spacing w:line="240" w:lineRule="auto"/>
              <w:jc w:val="center"/>
              <w:rPr>
                <w:bCs/>
                <w:color w:val="auto"/>
                <w:kern w:val="0"/>
                <w:szCs w:val="21"/>
                <w:highlight w:val="none"/>
              </w:rPr>
            </w:pPr>
            <w:r>
              <w:rPr>
                <w:rFonts w:hAnsi="宋体"/>
                <w:bCs/>
                <w:color w:val="auto"/>
                <w:kern w:val="0"/>
                <w:szCs w:val="21"/>
                <w:highlight w:val="none"/>
              </w:rPr>
              <w:t>四、蒸发过程及设备的选择与操作</w:t>
            </w:r>
          </w:p>
        </w:tc>
        <w:tc>
          <w:tcPr>
            <w:tcW w:w="2980" w:type="dxa"/>
            <w:noWrap/>
            <w:vAlign w:val="center"/>
          </w:tcPr>
          <w:p>
            <w:pPr>
              <w:spacing w:line="240" w:lineRule="auto"/>
              <w:rPr>
                <w:color w:val="auto"/>
                <w:szCs w:val="21"/>
                <w:highlight w:val="none"/>
              </w:rPr>
            </w:pPr>
            <w:r>
              <w:rPr>
                <w:color w:val="auto"/>
                <w:szCs w:val="21"/>
                <w:highlight w:val="none"/>
              </w:rPr>
              <w:t>1.</w:t>
            </w:r>
            <w:r>
              <w:rPr>
                <w:rFonts w:hAnsi="宋体"/>
                <w:color w:val="auto"/>
                <w:szCs w:val="21"/>
                <w:highlight w:val="none"/>
              </w:rPr>
              <w:t>蒸发设备的选择和流程布置</w:t>
            </w:r>
            <w:r>
              <w:rPr>
                <w:rFonts w:hint="eastAsia" w:hAnsi="宋体"/>
                <w:color w:val="auto"/>
                <w:szCs w:val="21"/>
                <w:highlight w:val="none"/>
              </w:rPr>
              <w:t>；</w:t>
            </w:r>
          </w:p>
          <w:p>
            <w:pPr>
              <w:spacing w:line="240" w:lineRule="auto"/>
              <w:rPr>
                <w:color w:val="auto"/>
                <w:szCs w:val="21"/>
                <w:highlight w:val="none"/>
              </w:rPr>
            </w:pPr>
            <w:r>
              <w:rPr>
                <w:color w:val="auto"/>
                <w:szCs w:val="21"/>
                <w:highlight w:val="none"/>
              </w:rPr>
              <w:t xml:space="preserve">2. </w:t>
            </w:r>
            <w:r>
              <w:rPr>
                <w:rFonts w:hAnsi="宋体"/>
                <w:color w:val="auto"/>
                <w:szCs w:val="21"/>
                <w:highlight w:val="none"/>
              </w:rPr>
              <w:t>确定单效蒸发的工艺参数</w:t>
            </w:r>
            <w:r>
              <w:rPr>
                <w:rFonts w:hint="eastAsia" w:hAnsi="宋体"/>
                <w:color w:val="auto"/>
                <w:szCs w:val="21"/>
                <w:highlight w:val="none"/>
              </w:rPr>
              <w:t>。</w:t>
            </w:r>
          </w:p>
        </w:tc>
        <w:tc>
          <w:tcPr>
            <w:tcW w:w="2239" w:type="dxa"/>
            <w:noWrap/>
            <w:vAlign w:val="center"/>
          </w:tcPr>
          <w:p>
            <w:pPr>
              <w:spacing w:line="240" w:lineRule="auto"/>
              <w:rPr>
                <w:color w:val="auto"/>
                <w:szCs w:val="21"/>
                <w:highlight w:val="none"/>
              </w:rPr>
            </w:pPr>
            <w:r>
              <w:rPr>
                <w:rFonts w:hAnsi="宋体"/>
                <w:color w:val="auto"/>
                <w:szCs w:val="21"/>
                <w:highlight w:val="none"/>
              </w:rPr>
              <w:t>①蒸发基本原理及流程</w:t>
            </w:r>
            <w:r>
              <w:rPr>
                <w:rFonts w:hint="eastAsia" w:hAnsi="宋体"/>
                <w:color w:val="auto"/>
                <w:szCs w:val="21"/>
                <w:highlight w:val="none"/>
              </w:rPr>
              <w:t>；</w:t>
            </w:r>
          </w:p>
          <w:p>
            <w:pPr>
              <w:spacing w:line="240" w:lineRule="auto"/>
              <w:rPr>
                <w:color w:val="auto"/>
                <w:szCs w:val="21"/>
                <w:highlight w:val="none"/>
              </w:rPr>
            </w:pPr>
            <w:r>
              <w:rPr>
                <w:rFonts w:hAnsi="宋体"/>
                <w:color w:val="auto"/>
                <w:szCs w:val="21"/>
                <w:highlight w:val="none"/>
              </w:rPr>
              <w:t>②单效蒸发计算</w:t>
            </w:r>
            <w:r>
              <w:rPr>
                <w:rFonts w:hint="eastAsia" w:hAnsi="宋体"/>
                <w:color w:val="auto"/>
                <w:szCs w:val="21"/>
                <w:highlight w:val="none"/>
              </w:rPr>
              <w:t>。</w:t>
            </w:r>
          </w:p>
        </w:tc>
        <w:tc>
          <w:tcPr>
            <w:tcW w:w="1980" w:type="dxa"/>
            <w:noWrap/>
            <w:vAlign w:val="center"/>
          </w:tcPr>
          <w:p>
            <w:pPr>
              <w:spacing w:line="240" w:lineRule="auto"/>
              <w:rPr>
                <w:color w:val="auto"/>
                <w:szCs w:val="21"/>
                <w:highlight w:val="none"/>
              </w:rPr>
            </w:pPr>
            <w:r>
              <w:rPr>
                <w:rFonts w:hAnsi="宋体"/>
                <w:color w:val="auto"/>
                <w:szCs w:val="21"/>
                <w:highlight w:val="none"/>
              </w:rPr>
              <w:t>能根据物料特性及工艺要求，正确合理选择蒸发器</w:t>
            </w:r>
            <w:r>
              <w:rPr>
                <w:rFonts w:hint="eastAsia" w:hAnsi="宋体"/>
                <w:color w:val="auto"/>
                <w:szCs w:val="21"/>
                <w:highlight w:val="none"/>
              </w:rPr>
              <w:t>。</w:t>
            </w:r>
          </w:p>
        </w:tc>
        <w:tc>
          <w:tcPr>
            <w:tcW w:w="747" w:type="dxa"/>
            <w:noWrap/>
            <w:vAlign w:val="center"/>
          </w:tcPr>
          <w:p>
            <w:pPr>
              <w:pStyle w:val="7"/>
              <w:snapToGrid w:val="0"/>
              <w:spacing w:line="240" w:lineRule="auto"/>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7" w:hRule="atLeast"/>
          <w:jc w:val="center"/>
        </w:trPr>
        <w:tc>
          <w:tcPr>
            <w:tcW w:w="1076" w:type="dxa"/>
            <w:noWrap/>
            <w:vAlign w:val="center"/>
          </w:tcPr>
          <w:p>
            <w:pPr>
              <w:spacing w:line="240" w:lineRule="auto"/>
              <w:jc w:val="center"/>
              <w:rPr>
                <w:bCs/>
                <w:color w:val="auto"/>
                <w:kern w:val="0"/>
                <w:szCs w:val="21"/>
                <w:highlight w:val="none"/>
              </w:rPr>
            </w:pPr>
            <w:r>
              <w:rPr>
                <w:rFonts w:hAnsi="宋体"/>
                <w:bCs/>
                <w:color w:val="auto"/>
                <w:kern w:val="0"/>
                <w:szCs w:val="21"/>
                <w:highlight w:val="none"/>
              </w:rPr>
              <w:t>五、蒸馏过程及设备的选择与操作</w:t>
            </w:r>
          </w:p>
        </w:tc>
        <w:tc>
          <w:tcPr>
            <w:tcW w:w="2980" w:type="dxa"/>
            <w:noWrap/>
            <w:vAlign w:val="center"/>
          </w:tcPr>
          <w:p>
            <w:pPr>
              <w:spacing w:line="240" w:lineRule="auto"/>
              <w:rPr>
                <w:color w:val="auto"/>
                <w:szCs w:val="21"/>
                <w:highlight w:val="none"/>
              </w:rPr>
            </w:pPr>
            <w:r>
              <w:rPr>
                <w:color w:val="auto"/>
                <w:szCs w:val="21"/>
                <w:highlight w:val="none"/>
              </w:rPr>
              <w:t xml:space="preserve">1. </w:t>
            </w:r>
            <w:r>
              <w:rPr>
                <w:rFonts w:hAnsi="宋体"/>
                <w:color w:val="auto"/>
                <w:szCs w:val="21"/>
                <w:highlight w:val="none"/>
              </w:rPr>
              <w:t>认识、了解各种精馏设备</w:t>
            </w:r>
            <w:r>
              <w:rPr>
                <w:rFonts w:hint="eastAsia" w:hAnsi="宋体"/>
                <w:color w:val="auto"/>
                <w:szCs w:val="21"/>
                <w:highlight w:val="none"/>
              </w:rPr>
              <w:t>；</w:t>
            </w:r>
          </w:p>
          <w:p>
            <w:pPr>
              <w:spacing w:line="240" w:lineRule="auto"/>
              <w:rPr>
                <w:color w:val="auto"/>
                <w:szCs w:val="21"/>
                <w:highlight w:val="none"/>
              </w:rPr>
            </w:pPr>
            <w:r>
              <w:rPr>
                <w:color w:val="auto"/>
                <w:szCs w:val="21"/>
                <w:highlight w:val="none"/>
              </w:rPr>
              <w:t xml:space="preserve">2. </w:t>
            </w:r>
            <w:r>
              <w:rPr>
                <w:rFonts w:hAnsi="宋体"/>
                <w:color w:val="auto"/>
                <w:szCs w:val="21"/>
                <w:highlight w:val="none"/>
              </w:rPr>
              <w:t>确定连续精馏操作的参数</w:t>
            </w:r>
            <w:r>
              <w:rPr>
                <w:rFonts w:hint="eastAsia" w:hAnsi="宋体"/>
                <w:color w:val="auto"/>
                <w:szCs w:val="21"/>
                <w:highlight w:val="none"/>
              </w:rPr>
              <w:t>；</w:t>
            </w:r>
          </w:p>
          <w:p>
            <w:pPr>
              <w:spacing w:line="240" w:lineRule="auto"/>
              <w:rPr>
                <w:color w:val="auto"/>
                <w:szCs w:val="21"/>
                <w:highlight w:val="none"/>
              </w:rPr>
            </w:pPr>
            <w:r>
              <w:rPr>
                <w:color w:val="auto"/>
                <w:szCs w:val="21"/>
                <w:highlight w:val="none"/>
              </w:rPr>
              <w:t xml:space="preserve">3. </w:t>
            </w:r>
            <w:r>
              <w:rPr>
                <w:rFonts w:hAnsi="宋体"/>
                <w:color w:val="auto"/>
                <w:szCs w:val="21"/>
                <w:highlight w:val="none"/>
              </w:rPr>
              <w:t>精馏塔塔高和塔径的确定</w:t>
            </w:r>
            <w:r>
              <w:rPr>
                <w:rFonts w:hint="eastAsia" w:hAnsi="宋体"/>
                <w:color w:val="auto"/>
                <w:szCs w:val="21"/>
                <w:highlight w:val="none"/>
              </w:rPr>
              <w:t>；</w:t>
            </w:r>
          </w:p>
          <w:p>
            <w:pPr>
              <w:spacing w:line="240" w:lineRule="auto"/>
              <w:rPr>
                <w:color w:val="auto"/>
                <w:szCs w:val="21"/>
                <w:highlight w:val="none"/>
              </w:rPr>
            </w:pPr>
            <w:r>
              <w:rPr>
                <w:color w:val="auto"/>
                <w:szCs w:val="21"/>
                <w:highlight w:val="none"/>
              </w:rPr>
              <w:t xml:space="preserve">4. </w:t>
            </w:r>
            <w:r>
              <w:rPr>
                <w:rFonts w:hAnsi="宋体"/>
                <w:color w:val="auto"/>
                <w:szCs w:val="21"/>
                <w:highlight w:val="none"/>
              </w:rPr>
              <w:t>板式精馏塔的操作和调节</w:t>
            </w:r>
            <w:r>
              <w:rPr>
                <w:rFonts w:hint="eastAsia" w:hAnsi="宋体"/>
                <w:color w:val="auto"/>
                <w:szCs w:val="21"/>
                <w:highlight w:val="none"/>
              </w:rPr>
              <w:t>。</w:t>
            </w:r>
          </w:p>
        </w:tc>
        <w:tc>
          <w:tcPr>
            <w:tcW w:w="2239" w:type="dxa"/>
            <w:noWrap/>
            <w:vAlign w:val="center"/>
          </w:tcPr>
          <w:p>
            <w:pPr>
              <w:spacing w:line="240" w:lineRule="auto"/>
              <w:rPr>
                <w:color w:val="auto"/>
                <w:szCs w:val="21"/>
                <w:highlight w:val="none"/>
              </w:rPr>
            </w:pPr>
            <w:r>
              <w:rPr>
                <w:rFonts w:hAnsi="宋体"/>
                <w:color w:val="auto"/>
                <w:szCs w:val="21"/>
                <w:highlight w:val="none"/>
              </w:rPr>
              <w:t>①相平衡原理；</w:t>
            </w:r>
          </w:p>
          <w:p>
            <w:pPr>
              <w:spacing w:line="240" w:lineRule="auto"/>
              <w:rPr>
                <w:color w:val="auto"/>
                <w:szCs w:val="21"/>
                <w:highlight w:val="none"/>
              </w:rPr>
            </w:pPr>
            <w:r>
              <w:rPr>
                <w:rFonts w:hAnsi="宋体"/>
                <w:color w:val="auto"/>
                <w:szCs w:val="21"/>
                <w:highlight w:val="none"/>
              </w:rPr>
              <w:t>②两组份连续精馏的相关计算；</w:t>
            </w:r>
          </w:p>
          <w:p>
            <w:pPr>
              <w:spacing w:line="240" w:lineRule="auto"/>
              <w:rPr>
                <w:color w:val="auto"/>
                <w:szCs w:val="21"/>
                <w:highlight w:val="none"/>
              </w:rPr>
            </w:pPr>
            <w:r>
              <w:rPr>
                <w:rFonts w:hAnsi="宋体"/>
                <w:color w:val="auto"/>
                <w:szCs w:val="21"/>
                <w:highlight w:val="none"/>
              </w:rPr>
              <w:t>③板式精馏塔的类型及设计计算</w:t>
            </w:r>
            <w:r>
              <w:rPr>
                <w:rFonts w:hint="eastAsia" w:hAnsi="宋体"/>
                <w:color w:val="auto"/>
                <w:szCs w:val="21"/>
                <w:highlight w:val="none"/>
              </w:rPr>
              <w:t>。</w:t>
            </w:r>
          </w:p>
        </w:tc>
        <w:tc>
          <w:tcPr>
            <w:tcW w:w="1980" w:type="dxa"/>
            <w:noWrap/>
            <w:vAlign w:val="center"/>
          </w:tcPr>
          <w:p>
            <w:pPr>
              <w:spacing w:line="240" w:lineRule="auto"/>
              <w:rPr>
                <w:color w:val="auto"/>
                <w:szCs w:val="21"/>
                <w:highlight w:val="none"/>
              </w:rPr>
            </w:pPr>
            <w:r>
              <w:rPr>
                <w:rFonts w:hAnsi="宋体"/>
                <w:color w:val="auto"/>
                <w:szCs w:val="21"/>
                <w:highlight w:val="none"/>
              </w:rPr>
              <w:t>①正确进行板式精馏塔塔板数的计算，并能分析其影响因素；</w:t>
            </w:r>
          </w:p>
          <w:p>
            <w:pPr>
              <w:spacing w:line="240" w:lineRule="auto"/>
              <w:rPr>
                <w:color w:val="auto"/>
                <w:szCs w:val="21"/>
                <w:highlight w:val="none"/>
              </w:rPr>
            </w:pPr>
            <w:r>
              <w:rPr>
                <w:rFonts w:hAnsi="宋体"/>
                <w:color w:val="auto"/>
                <w:szCs w:val="21"/>
                <w:highlight w:val="none"/>
              </w:rPr>
              <w:t>②板式精馏塔的操作及工艺参数的调节</w:t>
            </w:r>
            <w:r>
              <w:rPr>
                <w:rFonts w:hint="eastAsia" w:hAnsi="宋体"/>
                <w:color w:val="auto"/>
                <w:szCs w:val="21"/>
                <w:highlight w:val="none"/>
              </w:rPr>
              <w:t>。</w:t>
            </w:r>
          </w:p>
        </w:tc>
        <w:tc>
          <w:tcPr>
            <w:tcW w:w="747" w:type="dxa"/>
            <w:noWrap/>
            <w:vAlign w:val="center"/>
          </w:tcPr>
          <w:p>
            <w:pPr>
              <w:pStyle w:val="7"/>
              <w:snapToGrid w:val="0"/>
              <w:spacing w:line="240" w:lineRule="auto"/>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7" w:hRule="atLeast"/>
          <w:jc w:val="center"/>
        </w:trPr>
        <w:tc>
          <w:tcPr>
            <w:tcW w:w="1076" w:type="dxa"/>
            <w:noWrap/>
            <w:vAlign w:val="center"/>
          </w:tcPr>
          <w:p>
            <w:pPr>
              <w:spacing w:line="240" w:lineRule="auto"/>
              <w:jc w:val="center"/>
              <w:rPr>
                <w:bCs/>
                <w:color w:val="auto"/>
                <w:kern w:val="0"/>
                <w:szCs w:val="21"/>
                <w:highlight w:val="none"/>
              </w:rPr>
            </w:pPr>
            <w:r>
              <w:rPr>
                <w:rFonts w:hAnsi="宋体"/>
                <w:bCs/>
                <w:color w:val="auto"/>
                <w:kern w:val="0"/>
                <w:szCs w:val="21"/>
                <w:highlight w:val="none"/>
              </w:rPr>
              <w:t>六、吸收过程及设备的选择与操作</w:t>
            </w:r>
          </w:p>
        </w:tc>
        <w:tc>
          <w:tcPr>
            <w:tcW w:w="2980" w:type="dxa"/>
            <w:noWrap/>
            <w:vAlign w:val="center"/>
          </w:tcPr>
          <w:p>
            <w:pPr>
              <w:spacing w:line="240" w:lineRule="auto"/>
              <w:rPr>
                <w:color w:val="auto"/>
                <w:szCs w:val="21"/>
                <w:highlight w:val="none"/>
              </w:rPr>
            </w:pPr>
            <w:r>
              <w:rPr>
                <w:color w:val="auto"/>
                <w:szCs w:val="21"/>
                <w:highlight w:val="none"/>
              </w:rPr>
              <w:t xml:space="preserve">1. </w:t>
            </w:r>
            <w:r>
              <w:rPr>
                <w:rFonts w:hAnsi="宋体"/>
                <w:color w:val="auto"/>
                <w:szCs w:val="21"/>
                <w:highlight w:val="none"/>
              </w:rPr>
              <w:t>认识、了解各种吸收设备</w:t>
            </w:r>
            <w:r>
              <w:rPr>
                <w:rFonts w:hint="eastAsia" w:hAnsi="宋体"/>
                <w:color w:val="auto"/>
                <w:szCs w:val="21"/>
                <w:highlight w:val="none"/>
              </w:rPr>
              <w:t>；</w:t>
            </w:r>
          </w:p>
          <w:p>
            <w:pPr>
              <w:spacing w:line="240" w:lineRule="auto"/>
              <w:rPr>
                <w:color w:val="auto"/>
                <w:szCs w:val="21"/>
                <w:highlight w:val="none"/>
              </w:rPr>
            </w:pPr>
            <w:r>
              <w:rPr>
                <w:color w:val="auto"/>
                <w:szCs w:val="21"/>
                <w:highlight w:val="none"/>
              </w:rPr>
              <w:t xml:space="preserve">2. </w:t>
            </w:r>
            <w:r>
              <w:rPr>
                <w:rFonts w:hAnsi="宋体"/>
                <w:color w:val="auto"/>
                <w:szCs w:val="21"/>
                <w:highlight w:val="none"/>
              </w:rPr>
              <w:t>选择吸收剂，确定吸收剂用量</w:t>
            </w:r>
            <w:r>
              <w:rPr>
                <w:rFonts w:hint="eastAsia" w:hAnsi="宋体"/>
                <w:color w:val="auto"/>
                <w:szCs w:val="21"/>
                <w:highlight w:val="none"/>
              </w:rPr>
              <w:t>；</w:t>
            </w:r>
          </w:p>
          <w:p>
            <w:pPr>
              <w:spacing w:line="240" w:lineRule="auto"/>
              <w:rPr>
                <w:color w:val="auto"/>
                <w:szCs w:val="21"/>
                <w:highlight w:val="none"/>
              </w:rPr>
            </w:pPr>
            <w:r>
              <w:rPr>
                <w:color w:val="auto"/>
                <w:szCs w:val="21"/>
                <w:highlight w:val="none"/>
              </w:rPr>
              <w:t xml:space="preserve">3. </w:t>
            </w:r>
            <w:r>
              <w:rPr>
                <w:rFonts w:hAnsi="宋体"/>
                <w:color w:val="auto"/>
                <w:szCs w:val="21"/>
                <w:highlight w:val="none"/>
              </w:rPr>
              <w:t>吸收塔塔高和塔径的确定</w:t>
            </w:r>
            <w:r>
              <w:rPr>
                <w:rFonts w:hint="eastAsia" w:hAnsi="宋体"/>
                <w:color w:val="auto"/>
                <w:szCs w:val="21"/>
                <w:highlight w:val="none"/>
              </w:rPr>
              <w:t>；</w:t>
            </w:r>
          </w:p>
          <w:p>
            <w:pPr>
              <w:spacing w:line="240" w:lineRule="auto"/>
              <w:rPr>
                <w:color w:val="auto"/>
                <w:szCs w:val="21"/>
                <w:highlight w:val="none"/>
              </w:rPr>
            </w:pPr>
            <w:r>
              <w:rPr>
                <w:color w:val="auto"/>
                <w:szCs w:val="21"/>
                <w:highlight w:val="none"/>
              </w:rPr>
              <w:t xml:space="preserve">4. </w:t>
            </w:r>
            <w:r>
              <w:rPr>
                <w:rFonts w:hAnsi="宋体"/>
                <w:color w:val="auto"/>
                <w:szCs w:val="21"/>
                <w:highlight w:val="none"/>
              </w:rPr>
              <w:t>填料吸收塔的操作和调节</w:t>
            </w:r>
            <w:r>
              <w:rPr>
                <w:rFonts w:hint="eastAsia" w:hAnsi="宋体"/>
                <w:color w:val="auto"/>
                <w:szCs w:val="21"/>
                <w:highlight w:val="none"/>
              </w:rPr>
              <w:t>。</w:t>
            </w:r>
          </w:p>
        </w:tc>
        <w:tc>
          <w:tcPr>
            <w:tcW w:w="2239" w:type="dxa"/>
            <w:noWrap/>
            <w:vAlign w:val="center"/>
          </w:tcPr>
          <w:p>
            <w:pPr>
              <w:spacing w:line="240" w:lineRule="auto"/>
              <w:rPr>
                <w:color w:val="auto"/>
                <w:szCs w:val="21"/>
                <w:highlight w:val="none"/>
              </w:rPr>
            </w:pPr>
            <w:r>
              <w:rPr>
                <w:rFonts w:hAnsi="宋体"/>
                <w:color w:val="auto"/>
                <w:szCs w:val="21"/>
                <w:highlight w:val="none"/>
              </w:rPr>
              <w:t>①吸收原理及亨利定律；</w:t>
            </w:r>
          </w:p>
          <w:p>
            <w:pPr>
              <w:spacing w:line="240" w:lineRule="auto"/>
              <w:rPr>
                <w:color w:val="auto"/>
                <w:szCs w:val="21"/>
                <w:highlight w:val="none"/>
              </w:rPr>
            </w:pPr>
            <w:r>
              <w:rPr>
                <w:rFonts w:hAnsi="宋体"/>
                <w:color w:val="auto"/>
                <w:szCs w:val="21"/>
                <w:highlight w:val="none"/>
              </w:rPr>
              <w:t>②吸收速率方程及其意义；</w:t>
            </w:r>
          </w:p>
          <w:p>
            <w:pPr>
              <w:spacing w:line="240" w:lineRule="auto"/>
              <w:rPr>
                <w:color w:val="auto"/>
                <w:szCs w:val="21"/>
                <w:highlight w:val="none"/>
              </w:rPr>
            </w:pPr>
            <w:r>
              <w:rPr>
                <w:rFonts w:hAnsi="宋体"/>
                <w:color w:val="auto"/>
                <w:szCs w:val="21"/>
                <w:highlight w:val="none"/>
              </w:rPr>
              <w:t>③吸收塔的类型及基本计算</w:t>
            </w:r>
            <w:r>
              <w:rPr>
                <w:rFonts w:hint="eastAsia" w:hAnsi="宋体"/>
                <w:color w:val="auto"/>
                <w:szCs w:val="21"/>
                <w:highlight w:val="none"/>
              </w:rPr>
              <w:t>。</w:t>
            </w:r>
          </w:p>
        </w:tc>
        <w:tc>
          <w:tcPr>
            <w:tcW w:w="1980" w:type="dxa"/>
            <w:noWrap/>
            <w:vAlign w:val="center"/>
          </w:tcPr>
          <w:p>
            <w:pPr>
              <w:spacing w:line="240" w:lineRule="auto"/>
              <w:rPr>
                <w:color w:val="auto"/>
                <w:szCs w:val="21"/>
                <w:highlight w:val="none"/>
              </w:rPr>
            </w:pPr>
            <w:r>
              <w:rPr>
                <w:rFonts w:hAnsi="宋体"/>
                <w:color w:val="auto"/>
                <w:szCs w:val="21"/>
                <w:highlight w:val="none"/>
              </w:rPr>
              <w:t>①正确进行吸收塔设计型、操作型计算分析；</w:t>
            </w:r>
          </w:p>
          <w:p>
            <w:pPr>
              <w:spacing w:line="240" w:lineRule="auto"/>
              <w:rPr>
                <w:color w:val="auto"/>
                <w:szCs w:val="21"/>
                <w:highlight w:val="none"/>
              </w:rPr>
            </w:pPr>
            <w:r>
              <w:rPr>
                <w:rFonts w:hAnsi="宋体"/>
                <w:color w:val="auto"/>
                <w:szCs w:val="21"/>
                <w:highlight w:val="none"/>
              </w:rPr>
              <w:t>②填料吸收塔的操作及工艺参数的调节</w:t>
            </w:r>
            <w:r>
              <w:rPr>
                <w:rFonts w:hint="eastAsia" w:hAnsi="宋体"/>
                <w:color w:val="auto"/>
                <w:szCs w:val="21"/>
                <w:highlight w:val="none"/>
              </w:rPr>
              <w:t>。</w:t>
            </w:r>
          </w:p>
        </w:tc>
        <w:tc>
          <w:tcPr>
            <w:tcW w:w="747" w:type="dxa"/>
            <w:noWrap/>
            <w:vAlign w:val="center"/>
          </w:tcPr>
          <w:p>
            <w:pPr>
              <w:pStyle w:val="7"/>
              <w:snapToGrid w:val="0"/>
              <w:spacing w:line="240" w:lineRule="auto"/>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9" w:hRule="atLeast"/>
          <w:jc w:val="center"/>
        </w:trPr>
        <w:tc>
          <w:tcPr>
            <w:tcW w:w="1076" w:type="dxa"/>
            <w:noWrap/>
            <w:vAlign w:val="center"/>
          </w:tcPr>
          <w:p>
            <w:pPr>
              <w:spacing w:line="240" w:lineRule="auto"/>
              <w:jc w:val="center"/>
              <w:rPr>
                <w:bCs/>
                <w:color w:val="auto"/>
                <w:kern w:val="0"/>
                <w:szCs w:val="21"/>
                <w:highlight w:val="none"/>
              </w:rPr>
            </w:pPr>
            <w:r>
              <w:rPr>
                <w:rFonts w:hAnsi="宋体"/>
                <w:bCs/>
                <w:color w:val="auto"/>
                <w:kern w:val="0"/>
                <w:szCs w:val="21"/>
                <w:highlight w:val="none"/>
              </w:rPr>
              <w:t>七、干燥过程及设备的选择与操作</w:t>
            </w:r>
          </w:p>
        </w:tc>
        <w:tc>
          <w:tcPr>
            <w:tcW w:w="2980" w:type="dxa"/>
            <w:noWrap/>
            <w:vAlign w:val="center"/>
          </w:tcPr>
          <w:p>
            <w:pPr>
              <w:spacing w:line="240" w:lineRule="auto"/>
              <w:rPr>
                <w:color w:val="auto"/>
                <w:szCs w:val="21"/>
                <w:highlight w:val="none"/>
              </w:rPr>
            </w:pPr>
            <w:r>
              <w:rPr>
                <w:color w:val="auto"/>
                <w:szCs w:val="21"/>
                <w:highlight w:val="none"/>
              </w:rPr>
              <w:t xml:space="preserve">1. </w:t>
            </w:r>
            <w:r>
              <w:rPr>
                <w:rFonts w:hAnsi="宋体"/>
                <w:color w:val="auto"/>
                <w:szCs w:val="21"/>
                <w:highlight w:val="none"/>
              </w:rPr>
              <w:t>认识、了解各种干燥设备</w:t>
            </w:r>
            <w:r>
              <w:rPr>
                <w:rFonts w:hint="eastAsia" w:hAnsi="宋体"/>
                <w:color w:val="auto"/>
                <w:szCs w:val="21"/>
                <w:highlight w:val="none"/>
              </w:rPr>
              <w:t>；</w:t>
            </w:r>
          </w:p>
          <w:p>
            <w:pPr>
              <w:spacing w:line="240" w:lineRule="auto"/>
              <w:rPr>
                <w:color w:val="auto"/>
                <w:szCs w:val="21"/>
                <w:highlight w:val="none"/>
              </w:rPr>
            </w:pPr>
            <w:r>
              <w:rPr>
                <w:color w:val="auto"/>
                <w:szCs w:val="21"/>
                <w:highlight w:val="none"/>
              </w:rPr>
              <w:t xml:space="preserve">2. </w:t>
            </w:r>
            <w:r>
              <w:rPr>
                <w:rFonts w:hAnsi="宋体"/>
                <w:color w:val="auto"/>
                <w:szCs w:val="21"/>
                <w:highlight w:val="none"/>
              </w:rPr>
              <w:t>选择、确定干燥过程的操作条件</w:t>
            </w:r>
            <w:r>
              <w:rPr>
                <w:rFonts w:hint="eastAsia" w:hAnsi="宋体"/>
                <w:color w:val="auto"/>
                <w:szCs w:val="21"/>
                <w:highlight w:val="none"/>
              </w:rPr>
              <w:t>；</w:t>
            </w:r>
          </w:p>
          <w:p>
            <w:pPr>
              <w:spacing w:line="240" w:lineRule="auto"/>
              <w:rPr>
                <w:color w:val="auto"/>
                <w:szCs w:val="21"/>
                <w:highlight w:val="none"/>
              </w:rPr>
            </w:pPr>
            <w:r>
              <w:rPr>
                <w:color w:val="auto"/>
                <w:szCs w:val="21"/>
                <w:highlight w:val="none"/>
              </w:rPr>
              <w:t xml:space="preserve">3. </w:t>
            </w:r>
            <w:r>
              <w:rPr>
                <w:rFonts w:hAnsi="宋体"/>
                <w:color w:val="auto"/>
                <w:szCs w:val="21"/>
                <w:highlight w:val="none"/>
              </w:rPr>
              <w:t>干燥器的操作和调节</w:t>
            </w:r>
            <w:r>
              <w:rPr>
                <w:rFonts w:hint="eastAsia" w:hAnsi="宋体"/>
                <w:color w:val="auto"/>
                <w:szCs w:val="21"/>
                <w:highlight w:val="none"/>
              </w:rPr>
              <w:t>。</w:t>
            </w:r>
          </w:p>
        </w:tc>
        <w:tc>
          <w:tcPr>
            <w:tcW w:w="2239" w:type="dxa"/>
            <w:noWrap/>
            <w:vAlign w:val="center"/>
          </w:tcPr>
          <w:p>
            <w:pPr>
              <w:spacing w:line="240" w:lineRule="auto"/>
              <w:rPr>
                <w:color w:val="auto"/>
                <w:szCs w:val="21"/>
                <w:highlight w:val="none"/>
              </w:rPr>
            </w:pPr>
            <w:r>
              <w:rPr>
                <w:rFonts w:hAnsi="宋体"/>
                <w:color w:val="auto"/>
                <w:szCs w:val="21"/>
                <w:highlight w:val="none"/>
              </w:rPr>
              <w:t>①干燥原理及湿度图的应用；</w:t>
            </w:r>
          </w:p>
          <w:p>
            <w:pPr>
              <w:spacing w:line="240" w:lineRule="auto"/>
              <w:rPr>
                <w:color w:val="auto"/>
                <w:szCs w:val="21"/>
                <w:highlight w:val="none"/>
              </w:rPr>
            </w:pPr>
            <w:r>
              <w:rPr>
                <w:rFonts w:hAnsi="宋体"/>
                <w:color w:val="auto"/>
                <w:szCs w:val="21"/>
                <w:highlight w:val="none"/>
              </w:rPr>
              <w:t>②干燥曲线及相关计算</w:t>
            </w:r>
            <w:r>
              <w:rPr>
                <w:rFonts w:hint="eastAsia" w:hAnsi="宋体"/>
                <w:color w:val="auto"/>
                <w:szCs w:val="21"/>
                <w:highlight w:val="none"/>
              </w:rPr>
              <w:t>。</w:t>
            </w:r>
          </w:p>
        </w:tc>
        <w:tc>
          <w:tcPr>
            <w:tcW w:w="1980" w:type="dxa"/>
            <w:noWrap/>
            <w:vAlign w:val="center"/>
          </w:tcPr>
          <w:p>
            <w:pPr>
              <w:spacing w:line="240" w:lineRule="auto"/>
              <w:rPr>
                <w:color w:val="auto"/>
                <w:szCs w:val="21"/>
                <w:highlight w:val="none"/>
              </w:rPr>
            </w:pPr>
            <w:r>
              <w:rPr>
                <w:rFonts w:hAnsi="宋体"/>
                <w:color w:val="auto"/>
                <w:szCs w:val="21"/>
                <w:highlight w:val="none"/>
              </w:rPr>
              <w:t>①流化床干燥器的操作及工艺参数的调节；</w:t>
            </w:r>
          </w:p>
          <w:p>
            <w:pPr>
              <w:spacing w:line="240" w:lineRule="auto"/>
              <w:rPr>
                <w:color w:val="auto"/>
                <w:szCs w:val="21"/>
                <w:highlight w:val="none"/>
              </w:rPr>
            </w:pPr>
            <w:r>
              <w:rPr>
                <w:rFonts w:hAnsi="宋体"/>
                <w:color w:val="auto"/>
                <w:szCs w:val="21"/>
                <w:highlight w:val="none"/>
              </w:rPr>
              <w:t>②干燥器的合理选择</w:t>
            </w:r>
            <w:r>
              <w:rPr>
                <w:rFonts w:hint="eastAsia" w:hAnsi="宋体"/>
                <w:color w:val="auto"/>
                <w:szCs w:val="21"/>
                <w:highlight w:val="none"/>
              </w:rPr>
              <w:t>。</w:t>
            </w:r>
          </w:p>
        </w:tc>
        <w:tc>
          <w:tcPr>
            <w:tcW w:w="747" w:type="dxa"/>
            <w:noWrap/>
            <w:vAlign w:val="center"/>
          </w:tcPr>
          <w:p>
            <w:pPr>
              <w:pStyle w:val="7"/>
              <w:snapToGrid w:val="0"/>
              <w:spacing w:line="240" w:lineRule="auto"/>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16</w:t>
            </w:r>
          </w:p>
        </w:tc>
      </w:tr>
    </w:tbl>
    <w:p>
      <w:pPr>
        <w:spacing w:line="360" w:lineRule="auto"/>
        <w:ind w:firstLine="360" w:firstLineChars="150"/>
        <w:rPr>
          <w:rFonts w:ascii="宋体" w:hAnsi="宋体"/>
          <w:color w:val="auto"/>
          <w:sz w:val="24"/>
          <w:highlight w:val="none"/>
        </w:rPr>
      </w:pPr>
    </w:p>
    <w:p>
      <w:pPr>
        <w:spacing w:line="360" w:lineRule="auto"/>
        <w:ind w:firstLine="360" w:firstLineChars="150"/>
        <w:rPr>
          <w:rFonts w:ascii="宋体" w:hAnsi="宋体"/>
          <w:color w:val="auto"/>
          <w:sz w:val="24"/>
          <w:highlight w:val="none"/>
        </w:rPr>
        <w:sectPr>
          <w:footerReference r:id="rId9" w:type="default"/>
          <w:pgSz w:w="11906" w:h="16838"/>
          <w:pgMar w:top="1440" w:right="1797" w:bottom="1440" w:left="1797" w:header="851" w:footer="992" w:gutter="0"/>
          <w:cols w:space="720" w:num="1"/>
          <w:docGrid w:type="lines" w:linePitch="312" w:charSpace="0"/>
        </w:sectPr>
      </w:pP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（五）教学组织与教学方法</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eastAsia="zh-CN"/>
        </w:rPr>
        <w:t>.</w:t>
      </w:r>
      <w:r>
        <w:rPr>
          <w:rFonts w:hint="eastAsia" w:ascii="宋体" w:hAnsi="宋体"/>
          <w:color w:val="auto"/>
          <w:sz w:val="24"/>
          <w:highlight w:val="none"/>
        </w:rPr>
        <w:t>教学组织</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以“多媒体教学” 、“现场教学”为主的教学模式，将传统的课堂搬到实验、实训场所，强调“以学生为主体、以教师为主导”思想来设计教学活动，结合具体对象和模型，边讲边练、边学边做，实现了“理实一体化”教学。</w:t>
      </w:r>
    </w:p>
    <w:p>
      <w:pPr>
        <w:spacing w:line="360" w:lineRule="auto"/>
        <w:rPr>
          <w:color w:val="auto"/>
          <w:sz w:val="24"/>
          <w:highlight w:val="none"/>
        </w:rPr>
      </w:pPr>
      <w:r>
        <w:rPr>
          <w:rFonts w:hint="eastAsia" w:ascii="宋体" w:hAnsi="宋体"/>
          <w:color w:val="auto"/>
          <w:sz w:val="24"/>
          <w:highlight w:val="none"/>
        </w:rPr>
        <w:t>每个任务均按照“课前准备”、“典型实例分析”、“知识链接”、“任务实施”、“知识拓展”、“技能检测”六个步骤完成。</w:t>
      </w:r>
    </w:p>
    <w:p>
      <w:pPr>
        <w:spacing w:line="360" w:lineRule="auto"/>
        <w:ind w:firstLine="480" w:firstLineChars="200"/>
        <w:rPr>
          <w:color w:val="auto"/>
          <w:sz w:val="24"/>
          <w:highlight w:val="none"/>
        </w:rPr>
      </w:pPr>
      <w:r>
        <w:rPr>
          <w:rFonts w:hint="eastAsia"/>
          <w:color w:val="auto"/>
          <w:sz w:val="24"/>
          <w:highlight w:val="none"/>
        </w:rPr>
        <w:t>2</w:t>
      </w:r>
      <w:r>
        <w:rPr>
          <w:rFonts w:hint="eastAsia"/>
          <w:color w:val="auto"/>
          <w:sz w:val="24"/>
          <w:highlight w:val="none"/>
          <w:lang w:eastAsia="zh-CN"/>
        </w:rPr>
        <w:t>.</w:t>
      </w:r>
      <w:r>
        <w:rPr>
          <w:rFonts w:hint="eastAsia"/>
          <w:color w:val="auto"/>
          <w:sz w:val="24"/>
          <w:highlight w:val="none"/>
        </w:rPr>
        <w:t>教学方法</w:t>
      </w:r>
    </w:p>
    <w:p>
      <w:pPr>
        <w:spacing w:line="360" w:lineRule="auto"/>
        <w:rPr>
          <w:color w:val="auto"/>
          <w:sz w:val="24"/>
          <w:highlight w:val="none"/>
        </w:rPr>
      </w:pPr>
      <w:r>
        <w:rPr>
          <w:rFonts w:hint="eastAsia"/>
          <w:color w:val="auto"/>
          <w:sz w:val="24"/>
          <w:highlight w:val="none"/>
        </w:rPr>
        <w:t xml:space="preserve">   （1）“任务驱动、项目导向”的教学方法</w:t>
      </w:r>
    </w:p>
    <w:p>
      <w:pPr>
        <w:spacing w:line="360" w:lineRule="auto"/>
        <w:rPr>
          <w:color w:val="auto"/>
          <w:sz w:val="24"/>
          <w:highlight w:val="none"/>
        </w:rPr>
      </w:pPr>
      <w:r>
        <w:rPr>
          <w:rFonts w:hint="eastAsia"/>
          <w:color w:val="auto"/>
          <w:sz w:val="24"/>
          <w:highlight w:val="none"/>
        </w:rPr>
        <w:t xml:space="preserve">    本课程采用“任务驱动、项目导向”的教学方法进行教学，将课程设置成26个项目，全程贯通项目教学，项目选择采用实际工作任务，辅之以情境教学、案例教学等教学方法。整个教学按照“资讯</w:t>
      </w:r>
      <w:r>
        <w:rPr>
          <w:rFonts w:hint="eastAsia" w:cs="SSJ0+ZETBZa-3"/>
          <w:color w:val="auto"/>
          <w:sz w:val="24"/>
          <w:highlight w:val="none"/>
        </w:rPr>
        <w:t>—</w:t>
      </w:r>
      <w:r>
        <w:rPr>
          <w:rFonts w:hint="eastAsia"/>
          <w:color w:val="auto"/>
          <w:sz w:val="24"/>
          <w:highlight w:val="none"/>
        </w:rPr>
        <w:t>决策</w:t>
      </w:r>
      <w:r>
        <w:rPr>
          <w:rFonts w:hint="eastAsia" w:cs="SSJ0+ZETBZa-3"/>
          <w:color w:val="auto"/>
          <w:sz w:val="24"/>
          <w:highlight w:val="none"/>
        </w:rPr>
        <w:t>—</w:t>
      </w:r>
      <w:r>
        <w:rPr>
          <w:rFonts w:hint="eastAsia"/>
          <w:color w:val="auto"/>
          <w:sz w:val="24"/>
          <w:highlight w:val="none"/>
        </w:rPr>
        <w:t>计划</w:t>
      </w:r>
      <w:r>
        <w:rPr>
          <w:rFonts w:hint="eastAsia" w:cs="SSJ0+ZETBZa-3"/>
          <w:color w:val="auto"/>
          <w:sz w:val="24"/>
          <w:highlight w:val="none"/>
        </w:rPr>
        <w:t>—</w:t>
      </w:r>
      <w:r>
        <w:rPr>
          <w:rFonts w:hint="eastAsia"/>
          <w:color w:val="auto"/>
          <w:sz w:val="24"/>
          <w:highlight w:val="none"/>
        </w:rPr>
        <w:t>实施</w:t>
      </w:r>
      <w:r>
        <w:rPr>
          <w:rFonts w:hint="eastAsia" w:cs="SSJ0+ZETBZa-3"/>
          <w:color w:val="auto"/>
          <w:sz w:val="24"/>
          <w:highlight w:val="none"/>
        </w:rPr>
        <w:t>—</w:t>
      </w:r>
      <w:r>
        <w:rPr>
          <w:rFonts w:hint="eastAsia"/>
          <w:color w:val="auto"/>
          <w:sz w:val="24"/>
          <w:highlight w:val="none"/>
        </w:rPr>
        <w:t>检查</w:t>
      </w:r>
      <w:r>
        <w:rPr>
          <w:rFonts w:hint="eastAsia" w:cs="SSJ0+ZETBZa-3"/>
          <w:color w:val="auto"/>
          <w:sz w:val="24"/>
          <w:highlight w:val="none"/>
        </w:rPr>
        <w:t>—</w:t>
      </w:r>
      <w:r>
        <w:rPr>
          <w:rFonts w:hint="eastAsia"/>
          <w:color w:val="auto"/>
          <w:sz w:val="24"/>
          <w:highlight w:val="none"/>
        </w:rPr>
        <w:t>评价”六个步骤进行，即教师布置任务后，学生分组，收集资料→决策工作方案→制定工作计划，教师审核工作计划，提出改进意见→学生按工作计划实施项目→教师检查→学生互评，教师考核。这一过程中，始终以“任务驱动”为主线，将策划、任务分解、“教学做”有机结合起来。通过“任务驱动，项目导向”教学法，可以加强学生训练目的性，学生通过项目调研、项目实施、项目验收等环节的训练，培养了学生发现问题、分析问题和解决问题的能力和技术综合应用能力。</w:t>
      </w:r>
    </w:p>
    <w:p>
      <w:pPr>
        <w:autoSpaceDE w:val="0"/>
        <w:autoSpaceDN w:val="0"/>
        <w:adjustRightInd w:val="0"/>
        <w:spacing w:line="360" w:lineRule="auto"/>
        <w:ind w:firstLine="480" w:firstLineChars="200"/>
        <w:rPr>
          <w:rFonts w:ascii="E-HZ+ZETBZb-4" w:eastAsia="E-HZ+ZETBZb-4" w:cs="E-HZ+ZETBZb-4"/>
          <w:color w:val="auto"/>
          <w:kern w:val="0"/>
          <w:szCs w:val="21"/>
          <w:highlight w:val="none"/>
        </w:rPr>
      </w:pPr>
      <w:r>
        <w:rPr>
          <w:rFonts w:hint="eastAsia" w:ascii="宋体" w:hAnsi="宋体"/>
          <w:color w:val="auto"/>
          <w:kern w:val="0"/>
          <w:sz w:val="24"/>
          <w:highlight w:val="none"/>
        </w:rPr>
        <w:t>倡导以学生为主体自主完成六步全过程</w:t>
      </w:r>
      <w:r>
        <w:rPr>
          <w:rFonts w:hint="eastAsia" w:ascii="宋体" w:hAnsi="宋体" w:cs="AdobeHeitiStd-Regular"/>
          <w:color w:val="auto"/>
          <w:kern w:val="0"/>
          <w:sz w:val="24"/>
          <w:highlight w:val="none"/>
        </w:rPr>
        <w:t>，</w:t>
      </w:r>
      <w:r>
        <w:rPr>
          <w:rFonts w:hint="eastAsia" w:ascii="宋体" w:hAnsi="宋体"/>
          <w:color w:val="auto"/>
          <w:kern w:val="0"/>
          <w:sz w:val="24"/>
          <w:highlight w:val="none"/>
        </w:rPr>
        <w:t>充分挖掘对学生能力培养的因素</w:t>
      </w:r>
      <w:r>
        <w:rPr>
          <w:rFonts w:hint="eastAsia" w:ascii="宋体" w:hAnsi="宋体" w:cs="AdobeHeitiStd-Regular"/>
          <w:color w:val="auto"/>
          <w:kern w:val="0"/>
          <w:sz w:val="24"/>
          <w:highlight w:val="none"/>
        </w:rPr>
        <w:t>，</w:t>
      </w:r>
      <w:r>
        <w:rPr>
          <w:rFonts w:hint="eastAsia" w:ascii="宋体" w:hAnsi="宋体"/>
          <w:color w:val="auto"/>
          <w:kern w:val="0"/>
          <w:sz w:val="24"/>
          <w:highlight w:val="none"/>
        </w:rPr>
        <w:t>学生自主进行计划制定</w:t>
      </w:r>
      <w:r>
        <w:rPr>
          <w:rFonts w:hint="eastAsia" w:ascii="宋体" w:hAnsi="宋体" w:cs="SSJ0+ZETBZa-3"/>
          <w:color w:val="auto"/>
          <w:kern w:val="0"/>
          <w:sz w:val="24"/>
          <w:highlight w:val="none"/>
        </w:rPr>
        <w:t>、</w:t>
      </w:r>
      <w:r>
        <w:rPr>
          <w:rFonts w:hint="eastAsia" w:ascii="宋体" w:hAnsi="宋体"/>
          <w:color w:val="auto"/>
          <w:kern w:val="0"/>
          <w:sz w:val="24"/>
          <w:highlight w:val="none"/>
        </w:rPr>
        <w:t>过程实施</w:t>
      </w:r>
      <w:r>
        <w:rPr>
          <w:rFonts w:hint="eastAsia" w:ascii="宋体" w:hAnsi="宋体" w:cs="SSJ0+ZETBZa-3"/>
          <w:color w:val="auto"/>
          <w:kern w:val="0"/>
          <w:sz w:val="24"/>
          <w:highlight w:val="none"/>
        </w:rPr>
        <w:t>、</w:t>
      </w:r>
      <w:r>
        <w:rPr>
          <w:rFonts w:hint="eastAsia" w:ascii="宋体" w:hAnsi="宋体"/>
          <w:color w:val="auto"/>
          <w:kern w:val="0"/>
          <w:sz w:val="24"/>
          <w:highlight w:val="none"/>
        </w:rPr>
        <w:t>质量控制与管理及工作评价</w:t>
      </w:r>
      <w:r>
        <w:rPr>
          <w:rFonts w:hint="eastAsia" w:ascii="宋体" w:hAnsi="宋体" w:cs="AdobeHeitiStd-Regular"/>
          <w:color w:val="auto"/>
          <w:kern w:val="0"/>
          <w:sz w:val="24"/>
          <w:highlight w:val="none"/>
        </w:rPr>
        <w:t>，</w:t>
      </w:r>
      <w:r>
        <w:rPr>
          <w:rFonts w:hint="eastAsia" w:ascii="宋体" w:hAnsi="宋体"/>
          <w:color w:val="auto"/>
          <w:kern w:val="0"/>
          <w:sz w:val="24"/>
          <w:highlight w:val="none"/>
        </w:rPr>
        <w:t>同学之间协同配合</w:t>
      </w:r>
      <w:r>
        <w:rPr>
          <w:rFonts w:hint="eastAsia" w:ascii="宋体" w:hAnsi="宋体" w:cs="AdobeHeitiStd-Regular"/>
          <w:color w:val="auto"/>
          <w:kern w:val="0"/>
          <w:sz w:val="24"/>
          <w:highlight w:val="none"/>
        </w:rPr>
        <w:t>，</w:t>
      </w:r>
      <w:r>
        <w:rPr>
          <w:rFonts w:hint="eastAsia" w:ascii="宋体" w:hAnsi="宋体"/>
          <w:color w:val="auto"/>
          <w:kern w:val="0"/>
          <w:sz w:val="24"/>
          <w:highlight w:val="none"/>
        </w:rPr>
        <w:t>共同完成</w:t>
      </w:r>
      <w:r>
        <w:rPr>
          <w:rFonts w:hint="eastAsia" w:ascii="宋体" w:hAnsi="宋体" w:cs="SSJ0+ZETBZa-3"/>
          <w:color w:val="auto"/>
          <w:kern w:val="0"/>
          <w:sz w:val="24"/>
          <w:highlight w:val="none"/>
        </w:rPr>
        <w:t>“</w:t>
      </w:r>
      <w:r>
        <w:rPr>
          <w:rFonts w:hint="eastAsia" w:ascii="宋体" w:hAnsi="宋体"/>
          <w:color w:val="auto"/>
          <w:kern w:val="0"/>
          <w:sz w:val="24"/>
          <w:highlight w:val="none"/>
        </w:rPr>
        <w:t>工作任务</w:t>
      </w:r>
      <w:r>
        <w:rPr>
          <w:rFonts w:hint="eastAsia" w:ascii="宋体" w:hAnsi="宋体" w:cs="SSJ0+ZETBZc-6"/>
          <w:color w:val="auto"/>
          <w:kern w:val="0"/>
          <w:sz w:val="24"/>
          <w:highlight w:val="none"/>
        </w:rPr>
        <w:t>”</w:t>
      </w:r>
      <w:r>
        <w:rPr>
          <w:rFonts w:hint="eastAsia" w:ascii="宋体" w:hAnsi="宋体" w:cs="AdobeHeitiStd-Regular"/>
          <w:color w:val="auto"/>
          <w:kern w:val="0"/>
          <w:sz w:val="24"/>
          <w:highlight w:val="none"/>
        </w:rPr>
        <w:t>，</w:t>
      </w:r>
      <w:r>
        <w:rPr>
          <w:rFonts w:hint="eastAsia" w:ascii="宋体" w:hAnsi="宋体"/>
          <w:color w:val="auto"/>
          <w:kern w:val="0"/>
          <w:sz w:val="24"/>
          <w:highlight w:val="none"/>
        </w:rPr>
        <w:t>教师在其中只起到指导</w:t>
      </w:r>
      <w:r>
        <w:rPr>
          <w:rFonts w:hint="eastAsia" w:ascii="宋体" w:hAnsi="宋体" w:cs="SSJ0+ZETBZa-3"/>
          <w:color w:val="auto"/>
          <w:kern w:val="0"/>
          <w:sz w:val="24"/>
          <w:highlight w:val="none"/>
        </w:rPr>
        <w:t>、</w:t>
      </w:r>
      <w:r>
        <w:rPr>
          <w:rFonts w:hint="eastAsia" w:ascii="宋体" w:hAnsi="宋体"/>
          <w:color w:val="auto"/>
          <w:kern w:val="0"/>
          <w:sz w:val="24"/>
          <w:highlight w:val="none"/>
        </w:rPr>
        <w:t>答疑和归纳提升作用</w:t>
      </w:r>
      <w:r>
        <w:rPr>
          <w:rFonts w:hint="eastAsia" w:ascii="宋体" w:hAnsi="宋体" w:cs="SSJ0+ZETBZa-3"/>
          <w:color w:val="auto"/>
          <w:kern w:val="0"/>
          <w:sz w:val="24"/>
          <w:highlight w:val="none"/>
        </w:rPr>
        <w:t>。</w:t>
      </w:r>
      <w:r>
        <w:rPr>
          <w:rFonts w:hint="eastAsia" w:ascii="宋体" w:hAnsi="宋体"/>
          <w:color w:val="auto"/>
          <w:kern w:val="0"/>
          <w:sz w:val="24"/>
          <w:highlight w:val="none"/>
        </w:rPr>
        <w:t>学生以小组配合的学习形式</w:t>
      </w:r>
      <w:r>
        <w:rPr>
          <w:rFonts w:hint="eastAsia" w:ascii="宋体" w:hAnsi="宋体" w:cs="AdobeHeitiStd-Regular"/>
          <w:color w:val="auto"/>
          <w:kern w:val="0"/>
          <w:sz w:val="24"/>
          <w:highlight w:val="none"/>
        </w:rPr>
        <w:t>，</w:t>
      </w:r>
      <w:r>
        <w:rPr>
          <w:rFonts w:hint="eastAsia" w:ascii="宋体" w:hAnsi="宋体"/>
          <w:color w:val="auto"/>
          <w:kern w:val="0"/>
          <w:sz w:val="24"/>
          <w:highlight w:val="none"/>
        </w:rPr>
        <w:t>组内成员在完成每一次教学任务时都分工明确</w:t>
      </w:r>
      <w:r>
        <w:rPr>
          <w:rFonts w:hint="eastAsia" w:ascii="宋体" w:hAnsi="宋体" w:cs="AdobeHeitiStd-Regular"/>
          <w:color w:val="auto"/>
          <w:kern w:val="0"/>
          <w:sz w:val="24"/>
          <w:highlight w:val="none"/>
        </w:rPr>
        <w:t>，</w:t>
      </w:r>
      <w:r>
        <w:rPr>
          <w:rFonts w:hint="eastAsia" w:ascii="宋体" w:hAnsi="宋体"/>
          <w:color w:val="auto"/>
          <w:kern w:val="0"/>
          <w:sz w:val="24"/>
          <w:highlight w:val="none"/>
        </w:rPr>
        <w:t>按照规定完成资料收集</w:t>
      </w:r>
      <w:r>
        <w:rPr>
          <w:rFonts w:hint="eastAsia" w:ascii="宋体" w:hAnsi="宋体" w:cs="SSJ0+ZETBZa-3"/>
          <w:color w:val="auto"/>
          <w:kern w:val="0"/>
          <w:sz w:val="24"/>
          <w:highlight w:val="none"/>
        </w:rPr>
        <w:t>、</w:t>
      </w:r>
      <w:r>
        <w:rPr>
          <w:rFonts w:hint="eastAsia" w:ascii="宋体" w:hAnsi="宋体"/>
          <w:color w:val="auto"/>
          <w:kern w:val="0"/>
          <w:sz w:val="24"/>
          <w:highlight w:val="none"/>
        </w:rPr>
        <w:t>计划制定</w:t>
      </w:r>
      <w:r>
        <w:rPr>
          <w:rFonts w:hint="eastAsia" w:ascii="宋体" w:hAnsi="宋体" w:cs="SSJ0+ZETBZa-3"/>
          <w:color w:val="auto"/>
          <w:kern w:val="0"/>
          <w:sz w:val="24"/>
          <w:highlight w:val="none"/>
        </w:rPr>
        <w:t>、</w:t>
      </w:r>
      <w:r>
        <w:rPr>
          <w:rFonts w:hint="eastAsia" w:ascii="宋体" w:hAnsi="宋体"/>
          <w:color w:val="auto"/>
          <w:kern w:val="0"/>
          <w:sz w:val="24"/>
          <w:highlight w:val="none"/>
        </w:rPr>
        <w:t>拟定安全注意事项</w:t>
      </w:r>
      <w:r>
        <w:rPr>
          <w:rFonts w:hint="eastAsia" w:ascii="宋体" w:hAnsi="宋体" w:cs="SSJ0+ZETBZa-3"/>
          <w:color w:val="auto"/>
          <w:kern w:val="0"/>
          <w:sz w:val="24"/>
          <w:highlight w:val="none"/>
        </w:rPr>
        <w:t>、</w:t>
      </w:r>
      <w:r>
        <w:rPr>
          <w:rFonts w:hint="eastAsia" w:ascii="宋体" w:hAnsi="宋体"/>
          <w:color w:val="auto"/>
          <w:kern w:val="0"/>
          <w:sz w:val="24"/>
          <w:highlight w:val="none"/>
        </w:rPr>
        <w:t>熟悉操作规程</w:t>
      </w:r>
      <w:r>
        <w:rPr>
          <w:rFonts w:hint="eastAsia" w:ascii="宋体" w:hAnsi="宋体" w:cs="SSJ0+ZETBZa-3"/>
          <w:color w:val="auto"/>
          <w:kern w:val="0"/>
          <w:sz w:val="24"/>
          <w:highlight w:val="none"/>
        </w:rPr>
        <w:t>、</w:t>
      </w:r>
      <w:r>
        <w:rPr>
          <w:rFonts w:hint="eastAsia" w:ascii="宋体" w:hAnsi="宋体"/>
          <w:color w:val="auto"/>
          <w:kern w:val="0"/>
          <w:sz w:val="24"/>
          <w:highlight w:val="none"/>
        </w:rPr>
        <w:t>实施装置操作等工作任务</w:t>
      </w:r>
      <w:r>
        <w:rPr>
          <w:rFonts w:hint="eastAsia" w:ascii="宋体" w:hAnsi="宋体" w:cs="AdobeHeitiStd-Regular"/>
          <w:color w:val="auto"/>
          <w:kern w:val="0"/>
          <w:sz w:val="24"/>
          <w:highlight w:val="none"/>
        </w:rPr>
        <w:t>，</w:t>
      </w:r>
      <w:r>
        <w:rPr>
          <w:rFonts w:hint="eastAsia" w:ascii="宋体" w:hAnsi="宋体"/>
          <w:color w:val="auto"/>
          <w:kern w:val="0"/>
          <w:sz w:val="24"/>
          <w:highlight w:val="none"/>
        </w:rPr>
        <w:t>通过反复训练</w:t>
      </w:r>
      <w:r>
        <w:rPr>
          <w:rFonts w:hint="eastAsia" w:ascii="宋体" w:hAnsi="宋体" w:cs="AdobeHeitiStd-Regular"/>
          <w:color w:val="auto"/>
          <w:kern w:val="0"/>
          <w:sz w:val="24"/>
          <w:highlight w:val="none"/>
        </w:rPr>
        <w:t>，</w:t>
      </w:r>
      <w:r>
        <w:rPr>
          <w:rFonts w:hint="eastAsia" w:ascii="宋体" w:hAnsi="宋体"/>
          <w:color w:val="auto"/>
          <w:kern w:val="0"/>
          <w:sz w:val="24"/>
          <w:highlight w:val="none"/>
        </w:rPr>
        <w:t>使学生熟练掌握专业技能</w:t>
      </w:r>
      <w:r>
        <w:rPr>
          <w:rFonts w:hint="eastAsia" w:ascii="宋体" w:hAnsi="宋体" w:cs="AdobeHeitiStd-Regular"/>
          <w:color w:val="auto"/>
          <w:kern w:val="0"/>
          <w:sz w:val="24"/>
          <w:highlight w:val="none"/>
        </w:rPr>
        <w:t>，</w:t>
      </w:r>
      <w:r>
        <w:rPr>
          <w:rFonts w:hint="eastAsia" w:ascii="宋体" w:hAnsi="宋体"/>
          <w:color w:val="auto"/>
          <w:kern w:val="0"/>
          <w:sz w:val="24"/>
          <w:highlight w:val="none"/>
        </w:rPr>
        <w:t>学习到与操作有关的理论知识</w:t>
      </w:r>
      <w:r>
        <w:rPr>
          <w:rFonts w:hint="eastAsia" w:ascii="宋体" w:hAnsi="宋体" w:cs="AdobeHeitiStd-Regular"/>
          <w:color w:val="auto"/>
          <w:kern w:val="0"/>
          <w:sz w:val="24"/>
          <w:highlight w:val="none"/>
        </w:rPr>
        <w:t>，</w:t>
      </w:r>
      <w:r>
        <w:rPr>
          <w:rFonts w:hint="eastAsia" w:ascii="宋体" w:hAnsi="宋体"/>
          <w:color w:val="auto"/>
          <w:kern w:val="0"/>
          <w:sz w:val="24"/>
          <w:highlight w:val="none"/>
        </w:rPr>
        <w:t>特别是应用理论知识解决问题问题的能力得到提高</w:t>
      </w:r>
      <w:r>
        <w:rPr>
          <w:rFonts w:hint="eastAsia" w:ascii="宋体" w:hAnsi="宋体" w:cs="AdobeHeitiStd-Regular"/>
          <w:color w:val="auto"/>
          <w:kern w:val="0"/>
          <w:sz w:val="24"/>
          <w:highlight w:val="none"/>
        </w:rPr>
        <w:t>，</w:t>
      </w:r>
      <w:r>
        <w:rPr>
          <w:rFonts w:hint="eastAsia" w:ascii="宋体" w:hAnsi="宋体"/>
          <w:color w:val="auto"/>
          <w:kern w:val="0"/>
          <w:sz w:val="24"/>
          <w:highlight w:val="none"/>
        </w:rPr>
        <w:t>同时培养学生的团队合作精神</w:t>
      </w:r>
      <w:r>
        <w:rPr>
          <w:rFonts w:hint="eastAsia" w:ascii="宋体" w:hAnsi="宋体" w:cs="AdobeHeitiStd-Regular"/>
          <w:color w:val="auto"/>
          <w:kern w:val="0"/>
          <w:sz w:val="24"/>
          <w:highlight w:val="none"/>
        </w:rPr>
        <w:t>，</w:t>
      </w:r>
      <w:r>
        <w:rPr>
          <w:rFonts w:hint="eastAsia" w:ascii="宋体" w:hAnsi="宋体"/>
          <w:color w:val="auto"/>
          <w:kern w:val="0"/>
          <w:sz w:val="24"/>
          <w:highlight w:val="none"/>
        </w:rPr>
        <w:t>并在工作中享受自我实现的成就感</w:t>
      </w:r>
      <w:r>
        <w:rPr>
          <w:rFonts w:hint="eastAsia" w:ascii="宋体" w:hAnsi="宋体" w:cs="AdobeHeitiStd-Regular"/>
          <w:color w:val="auto"/>
          <w:kern w:val="0"/>
          <w:sz w:val="24"/>
          <w:highlight w:val="none"/>
        </w:rPr>
        <w:t>，</w:t>
      </w:r>
      <w:r>
        <w:rPr>
          <w:rFonts w:hint="eastAsia" w:ascii="宋体" w:hAnsi="宋体"/>
          <w:color w:val="auto"/>
          <w:sz w:val="24"/>
          <w:highlight w:val="none"/>
        </w:rPr>
        <w:t>充分发挥学生的主动性和创造性</w:t>
      </w:r>
      <w:r>
        <w:rPr>
          <w:rFonts w:hint="eastAsia" w:ascii="宋体" w:hAnsi="宋体" w:cs="SSJ0+ZETBZa-3"/>
          <w:color w:val="auto"/>
          <w:sz w:val="24"/>
          <w:highlight w:val="none"/>
        </w:rPr>
        <w:t>。</w:t>
      </w:r>
      <w:r>
        <w:rPr>
          <w:rFonts w:hint="eastAsia" w:ascii="宋体" w:hAnsi="宋体"/>
          <w:color w:val="auto"/>
          <w:sz w:val="24"/>
          <w:highlight w:val="none"/>
        </w:rPr>
        <w:t>每个学习任务结束时教师对任务相关的理论知识进行系统提炼</w:t>
      </w:r>
      <w:r>
        <w:rPr>
          <w:rFonts w:hint="eastAsia" w:ascii="宋体" w:hAnsi="宋体" w:cs="SSJ0+ZETBZa-3"/>
          <w:color w:val="auto"/>
          <w:sz w:val="24"/>
          <w:highlight w:val="none"/>
        </w:rPr>
        <w:t>。</w:t>
      </w:r>
    </w:p>
    <w:p>
      <w:pPr>
        <w:autoSpaceDE w:val="0"/>
        <w:autoSpaceDN w:val="0"/>
        <w:adjustRightIn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（2）小组合作学习法</w:t>
      </w:r>
    </w:p>
    <w:p>
      <w:pPr>
        <w:autoSpaceDE w:val="0"/>
        <w:autoSpaceDN w:val="0"/>
        <w:adjustRightInd w:val="0"/>
        <w:spacing w:line="360" w:lineRule="auto"/>
        <w:ind w:firstLine="480" w:firstLineChars="200"/>
        <w:rPr>
          <w:rFonts w:ascii="宋体" w:hAnsi="宋体"/>
          <w:color w:val="auto"/>
          <w:kern w:val="0"/>
          <w:sz w:val="24"/>
          <w:highlight w:val="none"/>
        </w:rPr>
        <w:sectPr>
          <w:footerReference r:id="rId10" w:type="default"/>
          <w:pgSz w:w="11906" w:h="16838"/>
          <w:pgMar w:top="1440" w:right="1797" w:bottom="1440" w:left="1797" w:header="851" w:footer="992" w:gutter="0"/>
          <w:cols w:space="720" w:num="1"/>
          <w:docGrid w:type="lines" w:linePitch="312" w:charSpace="0"/>
        </w:sectPr>
      </w:pPr>
      <w:r>
        <w:rPr>
          <w:rFonts w:hint="eastAsia" w:ascii="宋体" w:hAnsi="宋体"/>
          <w:color w:val="auto"/>
          <w:kern w:val="0"/>
          <w:sz w:val="24"/>
          <w:highlight w:val="none"/>
        </w:rPr>
        <w:t>将学生分成若干小组，每个小组一般可由4—6名学生组成，每组推选一名小</w:t>
      </w:r>
    </w:p>
    <w:p>
      <w:pPr>
        <w:autoSpaceDE w:val="0"/>
        <w:autoSpaceDN w:val="0"/>
        <w:adjustRightInd w:val="0"/>
        <w:spacing w:line="360" w:lineRule="auto"/>
        <w:rPr>
          <w:rFonts w:ascii="宋体" w:hAnsi="宋体"/>
          <w:color w:val="auto"/>
          <w:kern w:val="0"/>
          <w:sz w:val="24"/>
          <w:highlight w:val="none"/>
        </w:rPr>
      </w:pPr>
      <w:r>
        <w:rPr>
          <w:rFonts w:hint="eastAsia" w:ascii="宋体" w:hAnsi="宋体"/>
          <w:color w:val="auto"/>
          <w:kern w:val="0"/>
          <w:sz w:val="24"/>
          <w:highlight w:val="none"/>
        </w:rPr>
        <w:t>组长，以小组讨论方式进行合作学习，同学之间协同配合，共同制定工作计划，进行任务分配来完成具体的工作任务，教师在其中只起到指导、答疑和归纳提升作用。学生以小组配合的学习形式，组内成员在完成每一次教学任务时都分工明确，按照规定完成资料收集、计划制定、拟定安全注意事项、熟悉操作规程、实施装置操作等工作任务，通过反复训练，使学生熟练掌握专业技能，学习到与操作有关的理论知识，特别是应用理论知识解决问题问题的能力得到提高，同时培养学生的团队合作精神，并在工作中享受自我实现的成就感，充分发挥学生的主动性和创造性。</w:t>
      </w:r>
    </w:p>
    <w:p>
      <w:pPr>
        <w:autoSpaceDE w:val="0"/>
        <w:autoSpaceDN w:val="0"/>
        <w:adjustRightIn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（3）自主学习法</w:t>
      </w:r>
    </w:p>
    <w:p>
      <w:pPr>
        <w:autoSpaceDE w:val="0"/>
        <w:autoSpaceDN w:val="0"/>
        <w:adjustRightIn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在教学过程中，倡导以学生为主体自主完成六步全过程，充分挖掘对学生能力培养的因素。学生通过自主进行计划制定、过程实施、质量控制与管理及工作评价，可极大地发挥自身的能动性和主体性；通过完成任务所需的获取信息、设计方案、制定操作规程、操作等完整实践过程，可有效掌握职业技能、获得专业知识，从而构建自己的经验和知识体系。此外，还可以通过在线网站和教学录像、动画视频、电化教学片等内容，让学生进行自主学习。</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（六）考核标准与成绩评定方法</w:t>
      </w:r>
    </w:p>
    <w:p>
      <w:pPr>
        <w:spacing w:line="360" w:lineRule="auto"/>
        <w:rPr>
          <w:color w:val="auto"/>
          <w:kern w:val="0"/>
          <w:sz w:val="24"/>
          <w:highlight w:val="none"/>
        </w:rPr>
      </w:pPr>
      <w:r>
        <w:rPr>
          <w:rFonts w:hint="eastAsia"/>
          <w:color w:val="auto"/>
          <w:kern w:val="0"/>
          <w:sz w:val="24"/>
          <w:highlight w:val="none"/>
        </w:rPr>
        <w:t xml:space="preserve">    基于“工作过程导向”的课程中对学生的学习评价以过程性评价为主，结合阶段性评价和结果性评价，把教师评价、学生评价、企业评价有机结合作为主要形式。以完成工作任务的质量为依据，即学生按要求提交的方案、产品或技术报告等。教师对学生的评价以探究式评价为主，采用笔试与现场考核相结合的方式。考核内容主要是学生综合运用专业知识解决实际操作问题的能力，辅之以必需的基本知识。学生评价采用小组内互评和小组间互评结合的形式，要求对每一位学生的成果都应有同组学生和外组学生给出的评定结果。企业评价主要指在企业生产岗位上进行的项目课程，评价方式可以是问卷调查、所在岗位师傅的鉴定等形式。具体评价内容及指标如下：</w:t>
      </w:r>
    </w:p>
    <w:p>
      <w:pPr>
        <w:autoSpaceDE w:val="0"/>
        <w:autoSpaceDN w:val="0"/>
        <w:adjustRightInd w:val="0"/>
        <w:spacing w:before="156" w:beforeLines="50" w:after="156" w:afterLines="50" w:line="440" w:lineRule="exact"/>
        <w:jc w:val="center"/>
        <w:rPr>
          <w:rFonts w:hAnsi="宋体"/>
          <w:bCs/>
          <w:color w:val="auto"/>
          <w:kern w:val="0"/>
          <w:sz w:val="24"/>
          <w:highlight w:val="none"/>
        </w:rPr>
      </w:pPr>
    </w:p>
    <w:p>
      <w:pPr>
        <w:autoSpaceDE w:val="0"/>
        <w:autoSpaceDN w:val="0"/>
        <w:adjustRightInd w:val="0"/>
        <w:spacing w:before="156" w:beforeLines="50" w:after="156" w:afterLines="50" w:line="440" w:lineRule="exact"/>
        <w:jc w:val="center"/>
        <w:rPr>
          <w:rFonts w:hAnsi="宋体"/>
          <w:bCs/>
          <w:color w:val="auto"/>
          <w:kern w:val="0"/>
          <w:sz w:val="24"/>
          <w:highlight w:val="none"/>
        </w:rPr>
      </w:pPr>
    </w:p>
    <w:p>
      <w:pPr>
        <w:autoSpaceDE w:val="0"/>
        <w:autoSpaceDN w:val="0"/>
        <w:adjustRightInd w:val="0"/>
        <w:spacing w:before="156" w:beforeLines="50" w:after="156" w:afterLines="50" w:line="440" w:lineRule="exact"/>
        <w:jc w:val="center"/>
        <w:rPr>
          <w:rFonts w:hAnsi="宋体"/>
          <w:bCs/>
          <w:color w:val="auto"/>
          <w:kern w:val="0"/>
          <w:sz w:val="24"/>
          <w:highlight w:val="none"/>
        </w:rPr>
      </w:pPr>
    </w:p>
    <w:p>
      <w:pPr>
        <w:autoSpaceDE w:val="0"/>
        <w:autoSpaceDN w:val="0"/>
        <w:adjustRightInd w:val="0"/>
        <w:spacing w:before="156" w:beforeLines="50" w:after="156" w:afterLines="50" w:line="440" w:lineRule="exact"/>
        <w:jc w:val="center"/>
        <w:rPr>
          <w:rFonts w:hAnsi="宋体"/>
          <w:bCs/>
          <w:color w:val="auto"/>
          <w:kern w:val="0"/>
          <w:sz w:val="24"/>
          <w:highlight w:val="none"/>
        </w:rPr>
        <w:sectPr>
          <w:footerReference r:id="rId11" w:type="default"/>
          <w:pgSz w:w="11906" w:h="16838"/>
          <w:pgMar w:top="1440" w:right="1797" w:bottom="1440" w:left="1797" w:header="851" w:footer="992" w:gutter="0"/>
          <w:cols w:space="720" w:num="1"/>
          <w:docGrid w:type="lines" w:linePitch="312" w:charSpace="0"/>
        </w:sectPr>
      </w:pPr>
    </w:p>
    <w:p>
      <w:pPr>
        <w:autoSpaceDE w:val="0"/>
        <w:autoSpaceDN w:val="0"/>
        <w:adjustRightInd w:val="0"/>
        <w:spacing w:before="156" w:beforeLines="50" w:after="156" w:afterLines="50" w:line="440" w:lineRule="exact"/>
        <w:jc w:val="center"/>
        <w:rPr>
          <w:bCs/>
          <w:color w:val="auto"/>
          <w:kern w:val="0"/>
          <w:sz w:val="24"/>
          <w:highlight w:val="none"/>
        </w:rPr>
      </w:pPr>
      <w:r>
        <w:rPr>
          <w:rFonts w:hAnsi="宋体"/>
          <w:bCs/>
          <w:color w:val="auto"/>
          <w:kern w:val="0"/>
          <w:sz w:val="24"/>
          <w:highlight w:val="none"/>
        </w:rPr>
        <w:t>表</w:t>
      </w:r>
      <w:r>
        <w:rPr>
          <w:bCs/>
          <w:color w:val="auto"/>
          <w:kern w:val="0"/>
          <w:sz w:val="24"/>
          <w:highlight w:val="none"/>
        </w:rPr>
        <w:t>4.2</w:t>
      </w:r>
      <w:r>
        <w:rPr>
          <w:rFonts w:hAnsi="宋体"/>
          <w:bCs/>
          <w:color w:val="auto"/>
          <w:kern w:val="0"/>
          <w:sz w:val="24"/>
          <w:highlight w:val="none"/>
        </w:rPr>
        <w:t>《化工单元操作</w:t>
      </w:r>
      <w:r>
        <w:rPr>
          <w:rFonts w:hint="eastAsia" w:ascii="宋体" w:hAnsi="宋体"/>
          <w:bCs/>
          <w:color w:val="auto"/>
          <w:kern w:val="0"/>
          <w:sz w:val="24"/>
          <w:highlight w:val="none"/>
        </w:rPr>
        <w:t>》</w:t>
      </w:r>
      <w:r>
        <w:rPr>
          <w:rFonts w:hAnsi="宋体"/>
          <w:bCs/>
          <w:color w:val="auto"/>
          <w:kern w:val="0"/>
          <w:sz w:val="24"/>
          <w:highlight w:val="none"/>
        </w:rPr>
        <w:t>教学评价指标及权重</w:t>
      </w:r>
    </w:p>
    <w:tbl>
      <w:tblPr>
        <w:tblStyle w:val="14"/>
        <w:tblW w:w="8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2"/>
        <w:gridCol w:w="3569"/>
        <w:gridCol w:w="952"/>
        <w:gridCol w:w="2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522" w:type="dxa"/>
            <w:noWrap/>
            <w:vAlign w:val="center"/>
          </w:tcPr>
          <w:p>
            <w:pPr>
              <w:autoSpaceDE w:val="0"/>
              <w:autoSpaceDN w:val="0"/>
              <w:adjustRightInd w:val="0"/>
              <w:jc w:val="center"/>
              <w:rPr>
                <w:b/>
                <w:bCs/>
                <w:color w:val="auto"/>
                <w:kern w:val="0"/>
                <w:szCs w:val="21"/>
                <w:highlight w:val="none"/>
              </w:rPr>
            </w:pPr>
            <w:r>
              <w:rPr>
                <w:rFonts w:hAnsi="宋体"/>
                <w:b/>
                <w:bCs/>
                <w:color w:val="auto"/>
                <w:kern w:val="0"/>
                <w:szCs w:val="21"/>
                <w:highlight w:val="none"/>
              </w:rPr>
              <w:t>一级指标</w:t>
            </w:r>
          </w:p>
        </w:tc>
        <w:tc>
          <w:tcPr>
            <w:tcW w:w="3569" w:type="dxa"/>
            <w:noWrap/>
            <w:vAlign w:val="center"/>
          </w:tcPr>
          <w:p>
            <w:pPr>
              <w:autoSpaceDE w:val="0"/>
              <w:autoSpaceDN w:val="0"/>
              <w:adjustRightInd w:val="0"/>
              <w:jc w:val="center"/>
              <w:rPr>
                <w:b/>
                <w:bCs/>
                <w:color w:val="auto"/>
                <w:kern w:val="0"/>
                <w:szCs w:val="21"/>
                <w:highlight w:val="none"/>
              </w:rPr>
            </w:pPr>
            <w:r>
              <w:rPr>
                <w:rFonts w:hAnsi="宋体"/>
                <w:b/>
                <w:bCs/>
                <w:color w:val="auto"/>
                <w:kern w:val="0"/>
                <w:szCs w:val="21"/>
                <w:highlight w:val="none"/>
              </w:rPr>
              <w:t>二级指标</w:t>
            </w:r>
          </w:p>
        </w:tc>
        <w:tc>
          <w:tcPr>
            <w:tcW w:w="952" w:type="dxa"/>
            <w:noWrap/>
            <w:vAlign w:val="center"/>
          </w:tcPr>
          <w:p>
            <w:pPr>
              <w:autoSpaceDE w:val="0"/>
              <w:autoSpaceDN w:val="0"/>
              <w:adjustRightInd w:val="0"/>
              <w:jc w:val="center"/>
              <w:rPr>
                <w:b/>
                <w:bCs/>
                <w:color w:val="auto"/>
                <w:kern w:val="0"/>
                <w:szCs w:val="21"/>
                <w:highlight w:val="none"/>
              </w:rPr>
            </w:pPr>
            <w:r>
              <w:rPr>
                <w:rFonts w:hAnsi="宋体"/>
                <w:b/>
                <w:bCs/>
                <w:color w:val="auto"/>
                <w:kern w:val="0"/>
                <w:szCs w:val="21"/>
                <w:highlight w:val="none"/>
              </w:rPr>
              <w:t>权重</w:t>
            </w:r>
          </w:p>
        </w:tc>
        <w:tc>
          <w:tcPr>
            <w:tcW w:w="2337" w:type="dxa"/>
            <w:noWrap/>
            <w:vAlign w:val="center"/>
          </w:tcPr>
          <w:p>
            <w:pPr>
              <w:autoSpaceDE w:val="0"/>
              <w:autoSpaceDN w:val="0"/>
              <w:adjustRightInd w:val="0"/>
              <w:jc w:val="center"/>
              <w:rPr>
                <w:b/>
                <w:bCs/>
                <w:color w:val="auto"/>
                <w:kern w:val="0"/>
                <w:szCs w:val="21"/>
                <w:highlight w:val="none"/>
              </w:rPr>
            </w:pPr>
            <w:r>
              <w:rPr>
                <w:rFonts w:hAnsi="宋体"/>
                <w:b/>
                <w:bCs/>
                <w:color w:val="auto"/>
                <w:kern w:val="0"/>
                <w:szCs w:val="21"/>
                <w:highlight w:val="none"/>
              </w:rPr>
              <w:t>评价方式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522" w:type="dxa"/>
            <w:vMerge w:val="restart"/>
            <w:noWrap/>
            <w:vAlign w:val="center"/>
          </w:tcPr>
          <w:p>
            <w:pPr>
              <w:autoSpaceDE w:val="0"/>
              <w:autoSpaceDN w:val="0"/>
              <w:adjustRightInd w:val="0"/>
              <w:jc w:val="center"/>
              <w:rPr>
                <w:color w:val="auto"/>
                <w:kern w:val="0"/>
                <w:szCs w:val="21"/>
                <w:highlight w:val="none"/>
              </w:rPr>
            </w:pPr>
            <w:r>
              <w:rPr>
                <w:rFonts w:hAnsi="宋体"/>
                <w:color w:val="auto"/>
                <w:kern w:val="0"/>
                <w:szCs w:val="21"/>
                <w:highlight w:val="none"/>
              </w:rPr>
              <w:t>教师评价（</w:t>
            </w:r>
            <w:r>
              <w:rPr>
                <w:color w:val="auto"/>
                <w:kern w:val="0"/>
                <w:szCs w:val="21"/>
                <w:highlight w:val="none"/>
              </w:rPr>
              <w:t>70%</w:t>
            </w:r>
            <w:r>
              <w:rPr>
                <w:rFonts w:hAnsi="宋体"/>
                <w:color w:val="auto"/>
                <w:kern w:val="0"/>
                <w:szCs w:val="21"/>
                <w:highlight w:val="none"/>
              </w:rPr>
              <w:t>）</w:t>
            </w:r>
          </w:p>
        </w:tc>
        <w:tc>
          <w:tcPr>
            <w:tcW w:w="3569" w:type="dxa"/>
            <w:noWrap/>
            <w:vAlign w:val="center"/>
          </w:tcPr>
          <w:p>
            <w:pPr>
              <w:autoSpaceDE w:val="0"/>
              <w:autoSpaceDN w:val="0"/>
              <w:adjustRightInd w:val="0"/>
              <w:jc w:val="center"/>
              <w:rPr>
                <w:color w:val="auto"/>
                <w:kern w:val="0"/>
                <w:szCs w:val="21"/>
                <w:highlight w:val="none"/>
              </w:rPr>
            </w:pPr>
            <w:r>
              <w:rPr>
                <w:rFonts w:hAnsi="宋体"/>
                <w:color w:val="auto"/>
                <w:kern w:val="0"/>
                <w:szCs w:val="21"/>
                <w:highlight w:val="none"/>
              </w:rPr>
              <w:t>知识考核</w:t>
            </w:r>
          </w:p>
        </w:tc>
        <w:tc>
          <w:tcPr>
            <w:tcW w:w="952" w:type="dxa"/>
            <w:noWrap/>
            <w:vAlign w:val="center"/>
          </w:tcPr>
          <w:p>
            <w:pPr>
              <w:autoSpaceDE w:val="0"/>
              <w:autoSpaceDN w:val="0"/>
              <w:adjustRightInd w:val="0"/>
              <w:jc w:val="center"/>
              <w:rPr>
                <w:color w:val="auto"/>
                <w:kern w:val="0"/>
                <w:szCs w:val="21"/>
                <w:highlight w:val="none"/>
              </w:rPr>
            </w:pPr>
            <w:r>
              <w:rPr>
                <w:color w:val="auto"/>
                <w:kern w:val="0"/>
                <w:szCs w:val="21"/>
                <w:highlight w:val="none"/>
              </w:rPr>
              <w:t>10%</w:t>
            </w:r>
          </w:p>
        </w:tc>
        <w:tc>
          <w:tcPr>
            <w:tcW w:w="2337" w:type="dxa"/>
            <w:noWrap/>
            <w:vAlign w:val="center"/>
          </w:tcPr>
          <w:p>
            <w:pPr>
              <w:autoSpaceDE w:val="0"/>
              <w:autoSpaceDN w:val="0"/>
              <w:adjustRightInd w:val="0"/>
              <w:jc w:val="center"/>
              <w:rPr>
                <w:color w:val="auto"/>
                <w:kern w:val="0"/>
                <w:szCs w:val="21"/>
                <w:highlight w:val="none"/>
              </w:rPr>
            </w:pPr>
            <w:r>
              <w:rPr>
                <w:rFonts w:hAnsi="宋体"/>
                <w:color w:val="auto"/>
                <w:kern w:val="0"/>
                <w:szCs w:val="21"/>
                <w:highlight w:val="none"/>
              </w:rPr>
              <w:t>提问与讨论，作业分析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522" w:type="dxa"/>
            <w:vMerge w:val="continue"/>
            <w:noWrap/>
            <w:vAlign w:val="center"/>
          </w:tcPr>
          <w:p>
            <w:pPr>
              <w:autoSpaceDE w:val="0"/>
              <w:autoSpaceDN w:val="0"/>
              <w:adjustRightInd w:val="0"/>
              <w:jc w:val="center"/>
              <w:rPr>
                <w:color w:val="auto"/>
                <w:kern w:val="0"/>
                <w:szCs w:val="21"/>
                <w:highlight w:val="none"/>
              </w:rPr>
            </w:pPr>
          </w:p>
        </w:tc>
        <w:tc>
          <w:tcPr>
            <w:tcW w:w="3569" w:type="dxa"/>
            <w:noWrap/>
            <w:vAlign w:val="center"/>
          </w:tcPr>
          <w:p>
            <w:pPr>
              <w:autoSpaceDE w:val="0"/>
              <w:autoSpaceDN w:val="0"/>
              <w:adjustRightInd w:val="0"/>
              <w:jc w:val="center"/>
              <w:rPr>
                <w:color w:val="auto"/>
                <w:kern w:val="0"/>
                <w:szCs w:val="21"/>
                <w:highlight w:val="none"/>
              </w:rPr>
            </w:pPr>
            <w:r>
              <w:rPr>
                <w:rFonts w:hAnsi="宋体"/>
                <w:color w:val="auto"/>
                <w:kern w:val="0"/>
                <w:szCs w:val="21"/>
                <w:highlight w:val="none"/>
              </w:rPr>
              <w:t>技能考核</w:t>
            </w:r>
          </w:p>
        </w:tc>
        <w:tc>
          <w:tcPr>
            <w:tcW w:w="952" w:type="dxa"/>
            <w:noWrap/>
            <w:vAlign w:val="center"/>
          </w:tcPr>
          <w:p>
            <w:pPr>
              <w:autoSpaceDE w:val="0"/>
              <w:autoSpaceDN w:val="0"/>
              <w:adjustRightInd w:val="0"/>
              <w:jc w:val="center"/>
              <w:rPr>
                <w:color w:val="auto"/>
                <w:kern w:val="0"/>
                <w:szCs w:val="21"/>
                <w:highlight w:val="none"/>
              </w:rPr>
            </w:pPr>
            <w:r>
              <w:rPr>
                <w:color w:val="auto"/>
                <w:kern w:val="0"/>
                <w:szCs w:val="21"/>
                <w:highlight w:val="none"/>
              </w:rPr>
              <w:t>20%</w:t>
            </w:r>
          </w:p>
        </w:tc>
        <w:tc>
          <w:tcPr>
            <w:tcW w:w="2337" w:type="dxa"/>
            <w:noWrap/>
            <w:vAlign w:val="center"/>
          </w:tcPr>
          <w:p>
            <w:pPr>
              <w:autoSpaceDE w:val="0"/>
              <w:autoSpaceDN w:val="0"/>
              <w:adjustRightInd w:val="0"/>
              <w:jc w:val="center"/>
              <w:rPr>
                <w:color w:val="auto"/>
                <w:kern w:val="0"/>
                <w:szCs w:val="21"/>
                <w:highlight w:val="none"/>
              </w:rPr>
            </w:pPr>
            <w:r>
              <w:rPr>
                <w:rFonts w:hAnsi="宋体"/>
                <w:color w:val="auto"/>
                <w:kern w:val="0"/>
                <w:szCs w:val="21"/>
                <w:highlight w:val="none"/>
              </w:rPr>
              <w:t>动手操作，作品质量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522" w:type="dxa"/>
            <w:vMerge w:val="continue"/>
            <w:noWrap/>
            <w:vAlign w:val="center"/>
          </w:tcPr>
          <w:p>
            <w:pPr>
              <w:autoSpaceDE w:val="0"/>
              <w:autoSpaceDN w:val="0"/>
              <w:adjustRightInd w:val="0"/>
              <w:jc w:val="center"/>
              <w:rPr>
                <w:color w:val="auto"/>
                <w:kern w:val="0"/>
                <w:szCs w:val="21"/>
                <w:highlight w:val="none"/>
              </w:rPr>
            </w:pPr>
          </w:p>
        </w:tc>
        <w:tc>
          <w:tcPr>
            <w:tcW w:w="3569" w:type="dxa"/>
            <w:noWrap/>
            <w:vAlign w:val="center"/>
          </w:tcPr>
          <w:p>
            <w:pPr>
              <w:autoSpaceDE w:val="0"/>
              <w:autoSpaceDN w:val="0"/>
              <w:adjustRightInd w:val="0"/>
              <w:jc w:val="center"/>
              <w:rPr>
                <w:color w:val="auto"/>
                <w:kern w:val="0"/>
                <w:szCs w:val="21"/>
                <w:highlight w:val="none"/>
              </w:rPr>
            </w:pPr>
            <w:r>
              <w:rPr>
                <w:rFonts w:hAnsi="宋体"/>
                <w:color w:val="auto"/>
                <w:kern w:val="0"/>
                <w:szCs w:val="21"/>
                <w:highlight w:val="none"/>
              </w:rPr>
              <w:t>态度考核</w:t>
            </w:r>
          </w:p>
        </w:tc>
        <w:tc>
          <w:tcPr>
            <w:tcW w:w="952" w:type="dxa"/>
            <w:noWrap/>
            <w:vAlign w:val="center"/>
          </w:tcPr>
          <w:p>
            <w:pPr>
              <w:autoSpaceDE w:val="0"/>
              <w:autoSpaceDN w:val="0"/>
              <w:adjustRightInd w:val="0"/>
              <w:jc w:val="center"/>
              <w:rPr>
                <w:color w:val="auto"/>
                <w:kern w:val="0"/>
                <w:szCs w:val="21"/>
                <w:highlight w:val="none"/>
              </w:rPr>
            </w:pPr>
            <w:r>
              <w:rPr>
                <w:color w:val="auto"/>
                <w:kern w:val="0"/>
                <w:szCs w:val="21"/>
                <w:highlight w:val="none"/>
              </w:rPr>
              <w:t>20%</w:t>
            </w:r>
          </w:p>
        </w:tc>
        <w:tc>
          <w:tcPr>
            <w:tcW w:w="2337" w:type="dxa"/>
            <w:noWrap/>
            <w:vAlign w:val="center"/>
          </w:tcPr>
          <w:p>
            <w:pPr>
              <w:autoSpaceDE w:val="0"/>
              <w:autoSpaceDN w:val="0"/>
              <w:adjustRightInd w:val="0"/>
              <w:jc w:val="center"/>
              <w:rPr>
                <w:color w:val="auto"/>
                <w:kern w:val="0"/>
                <w:szCs w:val="21"/>
                <w:highlight w:val="none"/>
              </w:rPr>
            </w:pPr>
            <w:r>
              <w:rPr>
                <w:rFonts w:hAnsi="宋体"/>
                <w:color w:val="auto"/>
                <w:kern w:val="0"/>
                <w:szCs w:val="21"/>
                <w:highlight w:val="none"/>
              </w:rPr>
              <w:t>出勤纪律，工作态度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522" w:type="dxa"/>
            <w:vMerge w:val="continue"/>
            <w:noWrap/>
            <w:vAlign w:val="center"/>
          </w:tcPr>
          <w:p>
            <w:pPr>
              <w:autoSpaceDE w:val="0"/>
              <w:autoSpaceDN w:val="0"/>
              <w:adjustRightInd w:val="0"/>
              <w:jc w:val="center"/>
              <w:rPr>
                <w:color w:val="auto"/>
                <w:kern w:val="0"/>
                <w:szCs w:val="21"/>
                <w:highlight w:val="none"/>
              </w:rPr>
            </w:pPr>
          </w:p>
        </w:tc>
        <w:tc>
          <w:tcPr>
            <w:tcW w:w="3569" w:type="dxa"/>
            <w:noWrap/>
            <w:vAlign w:val="center"/>
          </w:tcPr>
          <w:p>
            <w:pPr>
              <w:autoSpaceDE w:val="0"/>
              <w:autoSpaceDN w:val="0"/>
              <w:adjustRightInd w:val="0"/>
              <w:jc w:val="center"/>
              <w:rPr>
                <w:color w:val="auto"/>
                <w:kern w:val="0"/>
                <w:szCs w:val="21"/>
                <w:highlight w:val="none"/>
              </w:rPr>
            </w:pPr>
            <w:r>
              <w:rPr>
                <w:rFonts w:hAnsi="宋体"/>
                <w:color w:val="auto"/>
                <w:kern w:val="0"/>
                <w:szCs w:val="21"/>
                <w:highlight w:val="none"/>
              </w:rPr>
              <w:t>期末考试</w:t>
            </w:r>
          </w:p>
        </w:tc>
        <w:tc>
          <w:tcPr>
            <w:tcW w:w="952" w:type="dxa"/>
            <w:noWrap/>
            <w:vAlign w:val="center"/>
          </w:tcPr>
          <w:p>
            <w:pPr>
              <w:autoSpaceDE w:val="0"/>
              <w:autoSpaceDN w:val="0"/>
              <w:adjustRightInd w:val="0"/>
              <w:jc w:val="center"/>
              <w:rPr>
                <w:color w:val="auto"/>
                <w:kern w:val="0"/>
                <w:szCs w:val="21"/>
                <w:highlight w:val="none"/>
              </w:rPr>
            </w:pPr>
            <w:r>
              <w:rPr>
                <w:color w:val="auto"/>
                <w:kern w:val="0"/>
                <w:szCs w:val="21"/>
                <w:highlight w:val="none"/>
              </w:rPr>
              <w:t>20%</w:t>
            </w:r>
          </w:p>
        </w:tc>
        <w:tc>
          <w:tcPr>
            <w:tcW w:w="2337" w:type="dxa"/>
            <w:noWrap/>
            <w:vAlign w:val="center"/>
          </w:tcPr>
          <w:p>
            <w:pPr>
              <w:autoSpaceDE w:val="0"/>
              <w:autoSpaceDN w:val="0"/>
              <w:adjustRightInd w:val="0"/>
              <w:jc w:val="center"/>
              <w:rPr>
                <w:color w:val="auto"/>
                <w:kern w:val="0"/>
                <w:szCs w:val="21"/>
                <w:highlight w:val="none"/>
              </w:rPr>
            </w:pPr>
            <w:r>
              <w:rPr>
                <w:rFonts w:hAnsi="宋体"/>
                <w:color w:val="auto"/>
                <w:kern w:val="0"/>
                <w:szCs w:val="21"/>
                <w:highlight w:val="none"/>
              </w:rPr>
              <w:t>书面考试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522" w:type="dxa"/>
            <w:vMerge w:val="restart"/>
            <w:noWrap/>
            <w:vAlign w:val="center"/>
          </w:tcPr>
          <w:p>
            <w:pPr>
              <w:autoSpaceDE w:val="0"/>
              <w:autoSpaceDN w:val="0"/>
              <w:adjustRightInd w:val="0"/>
              <w:jc w:val="center"/>
              <w:rPr>
                <w:color w:val="auto"/>
                <w:kern w:val="0"/>
                <w:szCs w:val="21"/>
                <w:highlight w:val="none"/>
              </w:rPr>
            </w:pPr>
            <w:r>
              <w:rPr>
                <w:rFonts w:hAnsi="宋体"/>
                <w:color w:val="auto"/>
                <w:kern w:val="0"/>
                <w:szCs w:val="21"/>
                <w:highlight w:val="none"/>
              </w:rPr>
              <w:t>学生自评（</w:t>
            </w:r>
            <w:r>
              <w:rPr>
                <w:color w:val="auto"/>
                <w:kern w:val="0"/>
                <w:szCs w:val="21"/>
                <w:highlight w:val="none"/>
              </w:rPr>
              <w:t>10%</w:t>
            </w:r>
            <w:r>
              <w:rPr>
                <w:rFonts w:hAnsi="宋体"/>
                <w:color w:val="auto"/>
                <w:kern w:val="0"/>
                <w:szCs w:val="21"/>
                <w:highlight w:val="none"/>
              </w:rPr>
              <w:t>）</w:t>
            </w:r>
          </w:p>
        </w:tc>
        <w:tc>
          <w:tcPr>
            <w:tcW w:w="3569" w:type="dxa"/>
            <w:noWrap/>
            <w:vAlign w:val="center"/>
          </w:tcPr>
          <w:p>
            <w:pPr>
              <w:autoSpaceDE w:val="0"/>
              <w:autoSpaceDN w:val="0"/>
              <w:adjustRightInd w:val="0"/>
              <w:jc w:val="center"/>
              <w:rPr>
                <w:color w:val="auto"/>
                <w:kern w:val="0"/>
                <w:szCs w:val="21"/>
                <w:highlight w:val="none"/>
              </w:rPr>
            </w:pPr>
            <w:r>
              <w:rPr>
                <w:rFonts w:hAnsi="宋体"/>
                <w:color w:val="auto"/>
                <w:kern w:val="0"/>
                <w:szCs w:val="21"/>
                <w:highlight w:val="none"/>
              </w:rPr>
              <w:t>基本技能的获得</w:t>
            </w:r>
          </w:p>
        </w:tc>
        <w:tc>
          <w:tcPr>
            <w:tcW w:w="952" w:type="dxa"/>
            <w:noWrap/>
            <w:vAlign w:val="center"/>
          </w:tcPr>
          <w:p>
            <w:pPr>
              <w:autoSpaceDE w:val="0"/>
              <w:autoSpaceDN w:val="0"/>
              <w:adjustRightInd w:val="0"/>
              <w:jc w:val="center"/>
              <w:rPr>
                <w:color w:val="auto"/>
                <w:kern w:val="0"/>
                <w:szCs w:val="21"/>
                <w:highlight w:val="none"/>
              </w:rPr>
            </w:pPr>
            <w:r>
              <w:rPr>
                <w:color w:val="auto"/>
                <w:kern w:val="0"/>
                <w:szCs w:val="21"/>
                <w:highlight w:val="none"/>
              </w:rPr>
              <w:t>6%</w:t>
            </w:r>
          </w:p>
        </w:tc>
        <w:tc>
          <w:tcPr>
            <w:tcW w:w="2337" w:type="dxa"/>
            <w:vMerge w:val="restart"/>
            <w:noWrap/>
            <w:vAlign w:val="center"/>
          </w:tcPr>
          <w:p>
            <w:pPr>
              <w:autoSpaceDE w:val="0"/>
              <w:autoSpaceDN w:val="0"/>
              <w:adjustRightInd w:val="0"/>
              <w:jc w:val="center"/>
              <w:rPr>
                <w:color w:val="auto"/>
                <w:kern w:val="0"/>
                <w:szCs w:val="21"/>
                <w:highlight w:val="none"/>
              </w:rPr>
            </w:pPr>
            <w:r>
              <w:rPr>
                <w:rFonts w:hAnsi="宋体"/>
                <w:color w:val="auto"/>
                <w:kern w:val="0"/>
                <w:szCs w:val="21"/>
                <w:highlight w:val="none"/>
              </w:rPr>
              <w:t>问卷调查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522" w:type="dxa"/>
            <w:vMerge w:val="continue"/>
            <w:noWrap/>
            <w:vAlign w:val="center"/>
          </w:tcPr>
          <w:p>
            <w:pPr>
              <w:autoSpaceDE w:val="0"/>
              <w:autoSpaceDN w:val="0"/>
              <w:adjustRightInd w:val="0"/>
              <w:jc w:val="center"/>
              <w:rPr>
                <w:color w:val="auto"/>
                <w:kern w:val="0"/>
                <w:szCs w:val="21"/>
                <w:highlight w:val="none"/>
              </w:rPr>
            </w:pPr>
          </w:p>
        </w:tc>
        <w:tc>
          <w:tcPr>
            <w:tcW w:w="3569" w:type="dxa"/>
            <w:noWrap/>
            <w:vAlign w:val="center"/>
          </w:tcPr>
          <w:p>
            <w:pPr>
              <w:autoSpaceDE w:val="0"/>
              <w:autoSpaceDN w:val="0"/>
              <w:adjustRightInd w:val="0"/>
              <w:jc w:val="center"/>
              <w:rPr>
                <w:color w:val="auto"/>
                <w:kern w:val="0"/>
                <w:szCs w:val="21"/>
                <w:highlight w:val="none"/>
              </w:rPr>
            </w:pPr>
            <w:r>
              <w:rPr>
                <w:rFonts w:hAnsi="宋体"/>
                <w:color w:val="auto"/>
                <w:kern w:val="0"/>
                <w:szCs w:val="21"/>
                <w:highlight w:val="none"/>
              </w:rPr>
              <w:t>其它能力获得</w:t>
            </w:r>
          </w:p>
          <w:p>
            <w:pPr>
              <w:autoSpaceDE w:val="0"/>
              <w:autoSpaceDN w:val="0"/>
              <w:adjustRightInd w:val="0"/>
              <w:jc w:val="center"/>
              <w:rPr>
                <w:color w:val="auto"/>
                <w:kern w:val="0"/>
                <w:szCs w:val="21"/>
                <w:highlight w:val="none"/>
              </w:rPr>
            </w:pPr>
            <w:r>
              <w:rPr>
                <w:rFonts w:hAnsi="宋体"/>
                <w:color w:val="auto"/>
                <w:kern w:val="0"/>
                <w:szCs w:val="21"/>
                <w:highlight w:val="none"/>
              </w:rPr>
              <w:t>（创新能力、自主学习能力等）</w:t>
            </w:r>
          </w:p>
        </w:tc>
        <w:tc>
          <w:tcPr>
            <w:tcW w:w="952" w:type="dxa"/>
            <w:noWrap/>
            <w:vAlign w:val="center"/>
          </w:tcPr>
          <w:p>
            <w:pPr>
              <w:autoSpaceDE w:val="0"/>
              <w:autoSpaceDN w:val="0"/>
              <w:adjustRightInd w:val="0"/>
              <w:jc w:val="center"/>
              <w:rPr>
                <w:color w:val="auto"/>
                <w:kern w:val="0"/>
                <w:szCs w:val="21"/>
                <w:highlight w:val="none"/>
              </w:rPr>
            </w:pPr>
            <w:r>
              <w:rPr>
                <w:color w:val="auto"/>
                <w:kern w:val="0"/>
                <w:szCs w:val="21"/>
                <w:highlight w:val="none"/>
              </w:rPr>
              <w:t>4%</w:t>
            </w:r>
          </w:p>
        </w:tc>
        <w:tc>
          <w:tcPr>
            <w:tcW w:w="2337" w:type="dxa"/>
            <w:vMerge w:val="continue"/>
            <w:noWrap/>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522" w:type="dxa"/>
            <w:vMerge w:val="restart"/>
            <w:noWrap/>
            <w:vAlign w:val="center"/>
          </w:tcPr>
          <w:p>
            <w:pPr>
              <w:autoSpaceDE w:val="0"/>
              <w:autoSpaceDN w:val="0"/>
              <w:adjustRightInd w:val="0"/>
              <w:jc w:val="center"/>
              <w:rPr>
                <w:color w:val="auto"/>
                <w:kern w:val="0"/>
                <w:szCs w:val="21"/>
                <w:highlight w:val="none"/>
              </w:rPr>
            </w:pPr>
            <w:r>
              <w:rPr>
                <w:rFonts w:hAnsi="宋体"/>
                <w:color w:val="auto"/>
                <w:kern w:val="0"/>
                <w:szCs w:val="21"/>
                <w:highlight w:val="none"/>
              </w:rPr>
              <w:t>企业评价（</w:t>
            </w:r>
            <w:r>
              <w:rPr>
                <w:color w:val="auto"/>
                <w:kern w:val="0"/>
                <w:szCs w:val="21"/>
                <w:highlight w:val="none"/>
              </w:rPr>
              <w:t>20%</w:t>
            </w:r>
            <w:r>
              <w:rPr>
                <w:rFonts w:hAnsi="宋体"/>
                <w:color w:val="auto"/>
                <w:kern w:val="0"/>
                <w:szCs w:val="21"/>
                <w:highlight w:val="none"/>
              </w:rPr>
              <w:t>）</w:t>
            </w:r>
          </w:p>
        </w:tc>
        <w:tc>
          <w:tcPr>
            <w:tcW w:w="3569" w:type="dxa"/>
            <w:noWrap/>
            <w:vAlign w:val="center"/>
          </w:tcPr>
          <w:p>
            <w:pPr>
              <w:autoSpaceDE w:val="0"/>
              <w:autoSpaceDN w:val="0"/>
              <w:adjustRightInd w:val="0"/>
              <w:jc w:val="center"/>
              <w:rPr>
                <w:color w:val="auto"/>
                <w:kern w:val="0"/>
                <w:szCs w:val="21"/>
                <w:highlight w:val="none"/>
              </w:rPr>
            </w:pPr>
            <w:r>
              <w:rPr>
                <w:rFonts w:hAnsi="宋体"/>
                <w:color w:val="auto"/>
                <w:kern w:val="0"/>
                <w:szCs w:val="21"/>
                <w:highlight w:val="none"/>
              </w:rPr>
              <w:t>工作态度</w:t>
            </w:r>
          </w:p>
        </w:tc>
        <w:tc>
          <w:tcPr>
            <w:tcW w:w="952" w:type="dxa"/>
            <w:noWrap/>
            <w:vAlign w:val="center"/>
          </w:tcPr>
          <w:p>
            <w:pPr>
              <w:autoSpaceDE w:val="0"/>
              <w:autoSpaceDN w:val="0"/>
              <w:adjustRightInd w:val="0"/>
              <w:jc w:val="center"/>
              <w:rPr>
                <w:color w:val="auto"/>
                <w:kern w:val="0"/>
                <w:szCs w:val="21"/>
                <w:highlight w:val="none"/>
              </w:rPr>
            </w:pPr>
            <w:r>
              <w:rPr>
                <w:color w:val="auto"/>
                <w:kern w:val="0"/>
                <w:szCs w:val="21"/>
                <w:highlight w:val="none"/>
              </w:rPr>
              <w:t>8%</w:t>
            </w:r>
          </w:p>
        </w:tc>
        <w:tc>
          <w:tcPr>
            <w:tcW w:w="2337" w:type="dxa"/>
            <w:vMerge w:val="restart"/>
            <w:noWrap/>
            <w:vAlign w:val="center"/>
          </w:tcPr>
          <w:p>
            <w:pPr>
              <w:autoSpaceDE w:val="0"/>
              <w:autoSpaceDN w:val="0"/>
              <w:adjustRightInd w:val="0"/>
              <w:jc w:val="center"/>
              <w:rPr>
                <w:color w:val="auto"/>
                <w:kern w:val="0"/>
                <w:szCs w:val="21"/>
                <w:highlight w:val="none"/>
              </w:rPr>
            </w:pPr>
            <w:r>
              <w:rPr>
                <w:rFonts w:hAnsi="宋体"/>
                <w:color w:val="auto"/>
                <w:kern w:val="0"/>
                <w:szCs w:val="21"/>
                <w:highlight w:val="none"/>
              </w:rPr>
              <w:t>访问调查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522" w:type="dxa"/>
            <w:vMerge w:val="continue"/>
            <w:noWrap/>
            <w:vAlign w:val="center"/>
          </w:tcPr>
          <w:p>
            <w:pPr>
              <w:autoSpaceDE w:val="0"/>
              <w:autoSpaceDN w:val="0"/>
              <w:adjustRightInd w:val="0"/>
              <w:jc w:val="center"/>
              <w:rPr>
                <w:color w:val="auto"/>
                <w:kern w:val="0"/>
                <w:szCs w:val="21"/>
                <w:highlight w:val="none"/>
              </w:rPr>
            </w:pPr>
          </w:p>
        </w:tc>
        <w:tc>
          <w:tcPr>
            <w:tcW w:w="3569" w:type="dxa"/>
            <w:noWrap/>
            <w:vAlign w:val="center"/>
          </w:tcPr>
          <w:p>
            <w:pPr>
              <w:autoSpaceDE w:val="0"/>
              <w:autoSpaceDN w:val="0"/>
              <w:adjustRightInd w:val="0"/>
              <w:jc w:val="center"/>
              <w:rPr>
                <w:color w:val="auto"/>
                <w:kern w:val="0"/>
                <w:szCs w:val="21"/>
                <w:highlight w:val="none"/>
              </w:rPr>
            </w:pPr>
            <w:r>
              <w:rPr>
                <w:rFonts w:hAnsi="宋体"/>
                <w:color w:val="auto"/>
                <w:kern w:val="0"/>
                <w:szCs w:val="21"/>
                <w:highlight w:val="none"/>
              </w:rPr>
              <w:t>工作能力</w:t>
            </w:r>
          </w:p>
        </w:tc>
        <w:tc>
          <w:tcPr>
            <w:tcW w:w="952" w:type="dxa"/>
            <w:noWrap/>
            <w:vAlign w:val="center"/>
          </w:tcPr>
          <w:p>
            <w:pPr>
              <w:autoSpaceDE w:val="0"/>
              <w:autoSpaceDN w:val="0"/>
              <w:adjustRightInd w:val="0"/>
              <w:jc w:val="center"/>
              <w:rPr>
                <w:color w:val="auto"/>
                <w:kern w:val="0"/>
                <w:szCs w:val="21"/>
                <w:highlight w:val="none"/>
              </w:rPr>
            </w:pPr>
            <w:r>
              <w:rPr>
                <w:color w:val="auto"/>
                <w:kern w:val="0"/>
                <w:szCs w:val="21"/>
                <w:highlight w:val="none"/>
              </w:rPr>
              <w:t>8%</w:t>
            </w:r>
          </w:p>
        </w:tc>
        <w:tc>
          <w:tcPr>
            <w:tcW w:w="2337" w:type="dxa"/>
            <w:vMerge w:val="continue"/>
            <w:noWrap/>
            <w:vAlign w:val="center"/>
          </w:tcPr>
          <w:p>
            <w:pPr>
              <w:autoSpaceDE w:val="0"/>
              <w:autoSpaceDN w:val="0"/>
              <w:adjustRightInd w:val="0"/>
              <w:jc w:val="center"/>
              <w:rPr>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522" w:type="dxa"/>
            <w:vMerge w:val="continue"/>
            <w:noWrap/>
            <w:vAlign w:val="center"/>
          </w:tcPr>
          <w:p>
            <w:pPr>
              <w:autoSpaceDE w:val="0"/>
              <w:autoSpaceDN w:val="0"/>
              <w:adjustRightInd w:val="0"/>
              <w:jc w:val="center"/>
              <w:rPr>
                <w:color w:val="auto"/>
                <w:kern w:val="0"/>
                <w:szCs w:val="21"/>
                <w:highlight w:val="none"/>
              </w:rPr>
            </w:pPr>
          </w:p>
        </w:tc>
        <w:tc>
          <w:tcPr>
            <w:tcW w:w="3569" w:type="dxa"/>
            <w:noWrap/>
            <w:vAlign w:val="center"/>
          </w:tcPr>
          <w:p>
            <w:pPr>
              <w:autoSpaceDE w:val="0"/>
              <w:autoSpaceDN w:val="0"/>
              <w:adjustRightInd w:val="0"/>
              <w:jc w:val="center"/>
              <w:rPr>
                <w:color w:val="auto"/>
                <w:kern w:val="0"/>
                <w:szCs w:val="21"/>
                <w:highlight w:val="none"/>
              </w:rPr>
            </w:pPr>
            <w:r>
              <w:rPr>
                <w:rFonts w:hAnsi="宋体"/>
                <w:color w:val="auto"/>
                <w:kern w:val="0"/>
                <w:szCs w:val="21"/>
                <w:highlight w:val="none"/>
              </w:rPr>
              <w:t>团队意识</w:t>
            </w:r>
          </w:p>
        </w:tc>
        <w:tc>
          <w:tcPr>
            <w:tcW w:w="952" w:type="dxa"/>
            <w:noWrap/>
            <w:vAlign w:val="center"/>
          </w:tcPr>
          <w:p>
            <w:pPr>
              <w:autoSpaceDE w:val="0"/>
              <w:autoSpaceDN w:val="0"/>
              <w:adjustRightInd w:val="0"/>
              <w:jc w:val="center"/>
              <w:rPr>
                <w:color w:val="auto"/>
                <w:kern w:val="0"/>
                <w:szCs w:val="21"/>
                <w:highlight w:val="none"/>
              </w:rPr>
            </w:pPr>
            <w:r>
              <w:rPr>
                <w:color w:val="auto"/>
                <w:kern w:val="0"/>
                <w:szCs w:val="21"/>
                <w:highlight w:val="none"/>
              </w:rPr>
              <w:t>4%</w:t>
            </w:r>
          </w:p>
        </w:tc>
        <w:tc>
          <w:tcPr>
            <w:tcW w:w="2337" w:type="dxa"/>
            <w:vMerge w:val="continue"/>
            <w:noWrap/>
            <w:vAlign w:val="center"/>
          </w:tcPr>
          <w:p>
            <w:pPr>
              <w:autoSpaceDE w:val="0"/>
              <w:autoSpaceDN w:val="0"/>
              <w:adjustRightInd w:val="0"/>
              <w:jc w:val="center"/>
              <w:rPr>
                <w:color w:val="auto"/>
                <w:kern w:val="0"/>
                <w:szCs w:val="21"/>
                <w:highlight w:val="none"/>
              </w:rPr>
            </w:pPr>
          </w:p>
        </w:tc>
      </w:tr>
    </w:tbl>
    <w:p>
      <w:pPr>
        <w:spacing w:line="360" w:lineRule="auto"/>
        <w:ind w:firstLine="360" w:firstLineChars="150"/>
        <w:rPr>
          <w:rFonts w:ascii="宋体" w:hAnsi="宋体"/>
          <w:color w:val="auto"/>
          <w:sz w:val="24"/>
          <w:highlight w:val="none"/>
        </w:rPr>
      </w:pP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（七）教学建议</w:t>
      </w:r>
    </w:p>
    <w:p>
      <w:pPr>
        <w:spacing w:line="360" w:lineRule="auto"/>
        <w:rPr>
          <w:rFonts w:ascii="宋体" w:hAnsi="宋体"/>
          <w:color w:val="auto"/>
          <w:sz w:val="24"/>
          <w:highlight w:val="none"/>
        </w:rPr>
      </w:pPr>
      <w:r>
        <w:rPr>
          <w:rFonts w:hint="eastAsia" w:ascii="宋体" w:hAnsi="宋体"/>
          <w:color w:val="auto"/>
          <w:sz w:val="24"/>
          <w:highlight w:val="none"/>
        </w:rPr>
        <w:t xml:space="preserve">    重视基础知识，加强学生的动手能力，借助现代化的教学手段，激发学生的学习兴趣，重视在教学过程中，激发和训练学生的创新思维，尽量与社会、生产生活相联系，培养学生的综合能力。</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（八）选用教材标及推荐教材和参考用书（或课程网站）</w:t>
      </w:r>
    </w:p>
    <w:bookmarkEnd w:id="83"/>
    <w:p>
      <w:pPr>
        <w:autoSpaceDE w:val="0"/>
        <w:autoSpaceDN w:val="0"/>
        <w:adjustRightIn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1、推荐教材：</w:t>
      </w:r>
    </w:p>
    <w:p>
      <w:pPr>
        <w:autoSpaceDE w:val="0"/>
        <w:autoSpaceDN w:val="0"/>
        <w:adjustRightIn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（1）</w:t>
      </w:r>
      <w:r>
        <w:rPr>
          <w:color w:val="auto"/>
          <w:highlight w:val="none"/>
        </w:rPr>
        <w:fldChar w:fldCharType="begin"/>
      </w:r>
      <w:r>
        <w:rPr>
          <w:color w:val="auto"/>
          <w:highlight w:val="none"/>
        </w:rPr>
        <w:instrText xml:space="preserve"> HYPERLINK "http://search.bookuu.com/cd%5Bkeywords%5D_%25E5%2591%25A8%25E9%2595%25BF%25E4%25B8%25BD%2B%25E7%2594%25B0%25E6%25B5%25B7%25E7%258E%25B2.html" \t "_blank" \o "周长丽//田海玲" </w:instrText>
      </w:r>
      <w:r>
        <w:rPr>
          <w:color w:val="auto"/>
          <w:highlight w:val="none"/>
        </w:rPr>
        <w:fldChar w:fldCharType="separate"/>
      </w:r>
      <w:r>
        <w:rPr>
          <w:rFonts w:hint="eastAsia" w:ascii="宋体" w:hAnsi="宋体"/>
          <w:color w:val="auto"/>
          <w:kern w:val="0"/>
          <w:sz w:val="24"/>
          <w:highlight w:val="none"/>
        </w:rPr>
        <w:t>周长丽</w:t>
      </w:r>
      <w:r>
        <w:rPr>
          <w:rFonts w:hint="eastAsia" w:ascii="宋体" w:hAnsi="宋体"/>
          <w:color w:val="auto"/>
          <w:kern w:val="0"/>
          <w:sz w:val="24"/>
          <w:highlight w:val="none"/>
        </w:rPr>
        <w:fldChar w:fldCharType="end"/>
      </w:r>
      <w:r>
        <w:rPr>
          <w:rFonts w:hint="eastAsia" w:ascii="宋体" w:hAnsi="宋体"/>
          <w:color w:val="auto"/>
          <w:kern w:val="0"/>
          <w:sz w:val="24"/>
          <w:highlight w:val="none"/>
        </w:rPr>
        <w:t>. 化工单元操作. 化学工业出版社. 2010.</w:t>
      </w:r>
    </w:p>
    <w:p>
      <w:pPr>
        <w:autoSpaceDE w:val="0"/>
        <w:autoSpaceDN w:val="0"/>
        <w:adjustRightIn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（2）杨祖荣. 化工原理. 北京：高等教育出版社. 2008.</w:t>
      </w:r>
    </w:p>
    <w:p>
      <w:pPr>
        <w:autoSpaceDE w:val="0"/>
        <w:autoSpaceDN w:val="0"/>
        <w:adjustRightIn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2、参考教学资料</w:t>
      </w:r>
    </w:p>
    <w:p>
      <w:pPr>
        <w:autoSpaceDE w:val="0"/>
        <w:autoSpaceDN w:val="0"/>
        <w:adjustRightIn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（1）陆美娟．化工原理．北京：化学工业出版社. 2008．</w:t>
      </w:r>
    </w:p>
    <w:p>
      <w:pPr>
        <w:autoSpaceDE w:val="0"/>
        <w:autoSpaceDN w:val="0"/>
        <w:adjustRightIn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（2）李居参. 化工单元操作实用技术. 高等教育出版社. 2008.</w:t>
      </w:r>
    </w:p>
    <w:p>
      <w:pPr>
        <w:autoSpaceDE w:val="0"/>
        <w:autoSpaceDN w:val="0"/>
        <w:adjustRightIn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（3）刘爱民. 化工单元操作技术. 高等教育出版社. 2006。</w:t>
      </w:r>
    </w:p>
    <w:p>
      <w:pPr>
        <w:autoSpaceDE w:val="0"/>
        <w:autoSpaceDN w:val="0"/>
        <w:adjustRightIn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（4）陈敏垣．化工原理．北京：化学工业出版社. 2004.</w:t>
      </w:r>
    </w:p>
    <w:p>
      <w:pPr>
        <w:autoSpaceDE w:val="0"/>
        <w:autoSpaceDN w:val="0"/>
        <w:adjustRightIn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（5）贾绍义编. 化工原理课程设计. 天津大学出版社. 2002.</w:t>
      </w:r>
    </w:p>
    <w:p>
      <w:pPr>
        <w:autoSpaceDE w:val="0"/>
        <w:autoSpaceDN w:val="0"/>
        <w:adjustRightIn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（6）化学工程手册编委会编. 化学工程手册. 化学工业出版社. 1996.</w:t>
      </w:r>
    </w:p>
    <w:p>
      <w:pPr>
        <w:autoSpaceDE w:val="0"/>
        <w:autoSpaceDN w:val="0"/>
        <w:adjustRightIn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 xml:space="preserve">（7）国家精品课程资源网 </w:t>
      </w:r>
      <w:r>
        <w:rPr>
          <w:color w:val="auto"/>
          <w:highlight w:val="none"/>
        </w:rPr>
        <w:fldChar w:fldCharType="begin"/>
      </w:r>
      <w:r>
        <w:rPr>
          <w:color w:val="auto"/>
          <w:highlight w:val="none"/>
        </w:rPr>
        <w:instrText xml:space="preserve"> HYPERLINK "http://www.jingpinke.com/" </w:instrText>
      </w:r>
      <w:r>
        <w:rPr>
          <w:color w:val="auto"/>
          <w:highlight w:val="none"/>
        </w:rPr>
        <w:fldChar w:fldCharType="separate"/>
      </w:r>
      <w:r>
        <w:rPr>
          <w:rFonts w:hint="eastAsia" w:ascii="宋体" w:hAnsi="宋体"/>
          <w:color w:val="auto"/>
          <w:kern w:val="0"/>
          <w:sz w:val="24"/>
          <w:highlight w:val="none"/>
        </w:rPr>
        <w:t>http://www.jingpinke.com/</w:t>
      </w:r>
      <w:r>
        <w:rPr>
          <w:rFonts w:hint="eastAsia" w:ascii="宋体" w:hAnsi="宋体"/>
          <w:color w:val="auto"/>
          <w:kern w:val="0"/>
          <w:sz w:val="24"/>
          <w:highlight w:val="none"/>
        </w:rPr>
        <w:fldChar w:fldCharType="end"/>
      </w:r>
    </w:p>
    <w:p>
      <w:pPr>
        <w:pStyle w:val="3"/>
        <w:spacing w:before="0" w:after="0" w:line="360" w:lineRule="auto"/>
        <w:ind w:firstLine="320" w:firstLineChars="100"/>
        <w:rPr>
          <w:b w:val="0"/>
          <w:bCs/>
          <w:color w:val="auto"/>
          <w:highlight w:val="none"/>
        </w:rPr>
      </w:pPr>
      <w:bookmarkStart w:id="84" w:name="_Toc24354"/>
      <w:r>
        <w:rPr>
          <w:rFonts w:hint="eastAsia"/>
          <w:b w:val="0"/>
          <w:bCs/>
          <w:color w:val="auto"/>
          <w:highlight w:val="none"/>
        </w:rPr>
        <w:t>二、《无机化工生产技术》核心课程标准</w:t>
      </w:r>
      <w:bookmarkEnd w:id="80"/>
      <w:bookmarkEnd w:id="81"/>
      <w:bookmarkEnd w:id="82"/>
      <w:bookmarkEnd w:id="84"/>
    </w:p>
    <w:tbl>
      <w:tblPr>
        <w:tblStyle w:val="14"/>
        <w:tblW w:w="8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3794"/>
        <w:gridCol w:w="1100"/>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课程编码</w:t>
            </w:r>
          </w:p>
        </w:tc>
        <w:tc>
          <w:tcPr>
            <w:tcW w:w="3794" w:type="dxa"/>
            <w:noWrap/>
            <w:vAlign w:val="center"/>
          </w:tcPr>
          <w:p>
            <w:pPr>
              <w:spacing w:line="360" w:lineRule="auto"/>
              <w:jc w:val="center"/>
              <w:rPr>
                <w:color w:val="auto"/>
                <w:szCs w:val="21"/>
                <w:highlight w:val="none"/>
              </w:rPr>
            </w:pPr>
            <w:r>
              <w:rPr>
                <w:rFonts w:hint="eastAsia" w:ascii="宋体" w:hAnsi="宋体"/>
                <w:color w:val="auto"/>
                <w:szCs w:val="21"/>
                <w:highlight w:val="none"/>
              </w:rPr>
              <w:t>1003055</w:t>
            </w:r>
          </w:p>
        </w:tc>
        <w:tc>
          <w:tcPr>
            <w:tcW w:w="1100" w:type="dxa"/>
            <w:noWrap/>
            <w:vAlign w:val="center"/>
          </w:tcPr>
          <w:p>
            <w:pPr>
              <w:spacing w:line="360" w:lineRule="auto"/>
              <w:jc w:val="center"/>
              <w:rPr>
                <w:color w:val="auto"/>
                <w:szCs w:val="21"/>
                <w:highlight w:val="none"/>
              </w:rPr>
            </w:pPr>
            <w:r>
              <w:rPr>
                <w:rFonts w:hAnsi="宋体"/>
                <w:color w:val="auto"/>
                <w:szCs w:val="21"/>
                <w:highlight w:val="none"/>
              </w:rPr>
              <w:t>课程类别</w:t>
            </w:r>
          </w:p>
        </w:tc>
        <w:tc>
          <w:tcPr>
            <w:tcW w:w="1994" w:type="dxa"/>
            <w:noWrap/>
            <w:vAlign w:val="center"/>
          </w:tcPr>
          <w:p>
            <w:pPr>
              <w:spacing w:line="360" w:lineRule="auto"/>
              <w:jc w:val="center"/>
              <w:rPr>
                <w:color w:val="auto"/>
                <w:szCs w:val="21"/>
                <w:highlight w:val="none"/>
              </w:rPr>
            </w:pPr>
            <w:r>
              <w:rPr>
                <w:rFonts w:hAnsi="宋体"/>
                <w:color w:val="auto"/>
                <w:szCs w:val="21"/>
                <w:highlight w:val="none"/>
              </w:rPr>
              <w:t>专业学习领域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计划学时</w:t>
            </w:r>
          </w:p>
        </w:tc>
        <w:tc>
          <w:tcPr>
            <w:tcW w:w="3794" w:type="dxa"/>
            <w:noWrap/>
            <w:vAlign w:val="center"/>
          </w:tcPr>
          <w:p>
            <w:pPr>
              <w:spacing w:line="360" w:lineRule="auto"/>
              <w:jc w:val="center"/>
              <w:rPr>
                <w:color w:val="auto"/>
                <w:szCs w:val="21"/>
                <w:highlight w:val="none"/>
              </w:rPr>
            </w:pPr>
            <w:r>
              <w:rPr>
                <w:rFonts w:hint="eastAsia"/>
                <w:color w:val="auto"/>
                <w:szCs w:val="21"/>
                <w:highlight w:val="none"/>
              </w:rPr>
              <w:t>72</w:t>
            </w:r>
          </w:p>
        </w:tc>
        <w:tc>
          <w:tcPr>
            <w:tcW w:w="1100" w:type="dxa"/>
            <w:noWrap/>
            <w:vAlign w:val="center"/>
          </w:tcPr>
          <w:p>
            <w:pPr>
              <w:spacing w:line="360" w:lineRule="auto"/>
              <w:jc w:val="center"/>
              <w:rPr>
                <w:color w:val="auto"/>
                <w:szCs w:val="21"/>
                <w:highlight w:val="none"/>
              </w:rPr>
            </w:pPr>
            <w:r>
              <w:rPr>
                <w:rFonts w:hAnsi="宋体"/>
                <w:color w:val="auto"/>
                <w:szCs w:val="21"/>
                <w:highlight w:val="none"/>
              </w:rPr>
              <w:t>课程类型</w:t>
            </w:r>
          </w:p>
        </w:tc>
        <w:tc>
          <w:tcPr>
            <w:tcW w:w="1994" w:type="dxa"/>
            <w:noWrap/>
            <w:vAlign w:val="center"/>
          </w:tcPr>
          <w:p>
            <w:pPr>
              <w:spacing w:line="360" w:lineRule="auto"/>
              <w:jc w:val="center"/>
              <w:rPr>
                <w:color w:val="auto"/>
                <w:szCs w:val="21"/>
                <w:highlight w:val="none"/>
              </w:rPr>
            </w:pPr>
            <w:r>
              <w:rPr>
                <w:color w:val="auto"/>
                <w:szCs w:val="21"/>
                <w:highlight w:val="none"/>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适用专业</w:t>
            </w:r>
          </w:p>
        </w:tc>
        <w:tc>
          <w:tcPr>
            <w:tcW w:w="3794" w:type="dxa"/>
            <w:noWrap/>
            <w:vAlign w:val="center"/>
          </w:tcPr>
          <w:p>
            <w:pPr>
              <w:spacing w:line="360" w:lineRule="auto"/>
              <w:jc w:val="center"/>
              <w:rPr>
                <w:color w:val="auto"/>
                <w:szCs w:val="21"/>
                <w:highlight w:val="none"/>
              </w:rPr>
            </w:pPr>
            <w:r>
              <w:rPr>
                <w:rFonts w:hAnsi="宋体"/>
                <w:color w:val="auto"/>
                <w:szCs w:val="21"/>
                <w:highlight w:val="none"/>
              </w:rPr>
              <w:t>煤化工技术</w:t>
            </w:r>
          </w:p>
        </w:tc>
        <w:tc>
          <w:tcPr>
            <w:tcW w:w="1100" w:type="dxa"/>
            <w:noWrap/>
            <w:vAlign w:val="center"/>
          </w:tcPr>
          <w:p>
            <w:pPr>
              <w:spacing w:line="360" w:lineRule="auto"/>
              <w:jc w:val="center"/>
              <w:rPr>
                <w:color w:val="auto"/>
                <w:szCs w:val="21"/>
                <w:highlight w:val="none"/>
              </w:rPr>
            </w:pPr>
            <w:r>
              <w:rPr>
                <w:rFonts w:hAnsi="宋体"/>
                <w:color w:val="auto"/>
                <w:szCs w:val="21"/>
                <w:highlight w:val="none"/>
              </w:rPr>
              <w:t>课程性质</w:t>
            </w:r>
          </w:p>
        </w:tc>
        <w:tc>
          <w:tcPr>
            <w:tcW w:w="1994" w:type="dxa"/>
            <w:noWrap/>
            <w:vAlign w:val="center"/>
          </w:tcPr>
          <w:p>
            <w:pPr>
              <w:spacing w:line="360" w:lineRule="auto"/>
              <w:jc w:val="center"/>
              <w:rPr>
                <w:color w:val="auto"/>
                <w:szCs w:val="21"/>
                <w:highlight w:val="none"/>
              </w:rPr>
            </w:pPr>
            <w:r>
              <w:rPr>
                <w:rFonts w:hAnsi="宋体"/>
                <w:color w:val="auto"/>
                <w:szCs w:val="21"/>
                <w:highlight w:val="none"/>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开课学期</w:t>
            </w:r>
          </w:p>
        </w:tc>
        <w:tc>
          <w:tcPr>
            <w:tcW w:w="3794" w:type="dxa"/>
            <w:noWrap/>
            <w:vAlign w:val="center"/>
          </w:tcPr>
          <w:p>
            <w:pPr>
              <w:spacing w:line="360" w:lineRule="auto"/>
              <w:jc w:val="center"/>
              <w:rPr>
                <w:color w:val="auto"/>
                <w:szCs w:val="21"/>
                <w:highlight w:val="none"/>
              </w:rPr>
            </w:pPr>
            <w:r>
              <w:rPr>
                <w:rFonts w:hAnsi="宋体"/>
                <w:color w:val="auto"/>
                <w:szCs w:val="21"/>
                <w:highlight w:val="none"/>
              </w:rPr>
              <w:t>第</w:t>
            </w:r>
            <w:r>
              <w:rPr>
                <w:rFonts w:hint="eastAsia"/>
                <w:color w:val="auto"/>
                <w:szCs w:val="21"/>
                <w:highlight w:val="none"/>
              </w:rPr>
              <w:t>4</w:t>
            </w:r>
            <w:r>
              <w:rPr>
                <w:rFonts w:hAnsi="宋体"/>
                <w:color w:val="auto"/>
                <w:szCs w:val="21"/>
                <w:highlight w:val="none"/>
              </w:rPr>
              <w:t>学期</w:t>
            </w:r>
          </w:p>
        </w:tc>
        <w:tc>
          <w:tcPr>
            <w:tcW w:w="1100" w:type="dxa"/>
            <w:noWrap/>
            <w:vAlign w:val="center"/>
          </w:tcPr>
          <w:p>
            <w:pPr>
              <w:spacing w:line="360" w:lineRule="auto"/>
              <w:jc w:val="center"/>
              <w:rPr>
                <w:color w:val="auto"/>
                <w:szCs w:val="21"/>
                <w:highlight w:val="none"/>
              </w:rPr>
            </w:pPr>
            <w:r>
              <w:rPr>
                <w:rFonts w:hAnsi="宋体"/>
                <w:color w:val="auto"/>
                <w:szCs w:val="21"/>
                <w:highlight w:val="none"/>
              </w:rPr>
              <w:t>学分</w:t>
            </w:r>
          </w:p>
        </w:tc>
        <w:tc>
          <w:tcPr>
            <w:tcW w:w="1994" w:type="dxa"/>
            <w:noWrap/>
            <w:vAlign w:val="center"/>
          </w:tcPr>
          <w:p>
            <w:pPr>
              <w:spacing w:line="360" w:lineRule="auto"/>
              <w:jc w:val="center"/>
              <w:rPr>
                <w:color w:val="auto"/>
                <w:szCs w:val="21"/>
                <w:highlight w:val="none"/>
              </w:rPr>
            </w:pPr>
            <w:r>
              <w:rPr>
                <w:rFonts w:hint="eastAsia"/>
                <w:color w:val="auto"/>
                <w:szCs w:val="21"/>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先行课程</w:t>
            </w:r>
          </w:p>
        </w:tc>
        <w:tc>
          <w:tcPr>
            <w:tcW w:w="3794" w:type="dxa"/>
            <w:noWrap/>
            <w:vAlign w:val="center"/>
          </w:tcPr>
          <w:p>
            <w:pPr>
              <w:spacing w:line="360" w:lineRule="auto"/>
              <w:rPr>
                <w:color w:val="auto"/>
                <w:szCs w:val="21"/>
                <w:highlight w:val="none"/>
              </w:rPr>
            </w:pPr>
            <w:r>
              <w:rPr>
                <w:rFonts w:hint="eastAsia" w:hAnsi="宋体"/>
                <w:color w:val="auto"/>
                <w:szCs w:val="21"/>
                <w:highlight w:val="none"/>
              </w:rPr>
              <w:t>化工单元操作、</w:t>
            </w:r>
            <w:r>
              <w:rPr>
                <w:rFonts w:hint="eastAsia"/>
                <w:color w:val="auto"/>
                <w:szCs w:val="21"/>
                <w:highlight w:val="none"/>
              </w:rPr>
              <w:t>化工设备基础、</w:t>
            </w:r>
          </w:p>
        </w:tc>
        <w:tc>
          <w:tcPr>
            <w:tcW w:w="1100" w:type="dxa"/>
            <w:noWrap/>
            <w:vAlign w:val="center"/>
          </w:tcPr>
          <w:p>
            <w:pPr>
              <w:spacing w:line="360" w:lineRule="auto"/>
              <w:jc w:val="center"/>
              <w:rPr>
                <w:color w:val="auto"/>
                <w:szCs w:val="21"/>
                <w:highlight w:val="none"/>
              </w:rPr>
            </w:pPr>
            <w:r>
              <w:rPr>
                <w:rFonts w:hAnsi="宋体"/>
                <w:color w:val="auto"/>
                <w:szCs w:val="21"/>
                <w:highlight w:val="none"/>
              </w:rPr>
              <w:t>开课单位</w:t>
            </w:r>
          </w:p>
        </w:tc>
        <w:tc>
          <w:tcPr>
            <w:tcW w:w="1994" w:type="dxa"/>
            <w:noWrap/>
            <w:vAlign w:val="center"/>
          </w:tcPr>
          <w:p>
            <w:pPr>
              <w:spacing w:line="360" w:lineRule="auto"/>
              <w:jc w:val="center"/>
              <w:rPr>
                <w:color w:val="auto"/>
                <w:szCs w:val="21"/>
                <w:highlight w:val="none"/>
              </w:rPr>
            </w:pPr>
            <w:r>
              <w:rPr>
                <w:rFonts w:hint="eastAsia" w:hAnsi="宋体"/>
                <w:color w:val="auto"/>
                <w:szCs w:val="21"/>
                <w:highlight w:val="none"/>
              </w:rPr>
              <w:t>晋城职业技术学院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平行课程</w:t>
            </w:r>
          </w:p>
        </w:tc>
        <w:tc>
          <w:tcPr>
            <w:tcW w:w="3794" w:type="dxa"/>
            <w:noWrap/>
            <w:vAlign w:val="center"/>
          </w:tcPr>
          <w:p>
            <w:pPr>
              <w:widowControl/>
              <w:jc w:val="center"/>
              <w:rPr>
                <w:color w:val="auto"/>
                <w:szCs w:val="21"/>
                <w:highlight w:val="none"/>
              </w:rPr>
            </w:pPr>
            <w:r>
              <w:rPr>
                <w:rFonts w:hint="eastAsia"/>
                <w:color w:val="auto"/>
                <w:szCs w:val="21"/>
                <w:highlight w:val="none"/>
              </w:rPr>
              <w:t>煤气化工艺、现代煤化工技术</w:t>
            </w:r>
          </w:p>
        </w:tc>
        <w:tc>
          <w:tcPr>
            <w:tcW w:w="1100" w:type="dxa"/>
            <w:noWrap/>
            <w:vAlign w:val="center"/>
          </w:tcPr>
          <w:p>
            <w:pPr>
              <w:spacing w:line="360" w:lineRule="auto"/>
              <w:jc w:val="center"/>
              <w:rPr>
                <w:color w:val="auto"/>
                <w:szCs w:val="21"/>
                <w:highlight w:val="none"/>
              </w:rPr>
            </w:pPr>
            <w:r>
              <w:rPr>
                <w:rFonts w:hAnsi="宋体"/>
                <w:color w:val="auto"/>
                <w:szCs w:val="21"/>
                <w:highlight w:val="none"/>
              </w:rPr>
              <w:t>考核类型</w:t>
            </w:r>
          </w:p>
        </w:tc>
        <w:tc>
          <w:tcPr>
            <w:tcW w:w="1994" w:type="dxa"/>
            <w:noWrap/>
            <w:vAlign w:val="center"/>
          </w:tcPr>
          <w:p>
            <w:pPr>
              <w:spacing w:line="360" w:lineRule="auto"/>
              <w:jc w:val="center"/>
              <w:rPr>
                <w:color w:val="auto"/>
                <w:szCs w:val="21"/>
                <w:highlight w:val="none"/>
              </w:rPr>
            </w:pPr>
            <w:r>
              <w:rPr>
                <w:rFonts w:hAnsi="宋体"/>
                <w:color w:val="auto"/>
                <w:szCs w:val="21"/>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后继课程</w:t>
            </w:r>
          </w:p>
        </w:tc>
        <w:tc>
          <w:tcPr>
            <w:tcW w:w="6888" w:type="dxa"/>
            <w:gridSpan w:val="3"/>
            <w:noWrap/>
            <w:vAlign w:val="center"/>
          </w:tcPr>
          <w:p>
            <w:pPr>
              <w:spacing w:line="360" w:lineRule="auto"/>
              <w:jc w:val="center"/>
              <w:rPr>
                <w:color w:val="auto"/>
                <w:szCs w:val="21"/>
                <w:highlight w:val="none"/>
              </w:rPr>
            </w:pPr>
            <w:r>
              <w:rPr>
                <w:rFonts w:hint="eastAsia"/>
                <w:color w:val="auto"/>
                <w:szCs w:val="21"/>
                <w:highlight w:val="none"/>
              </w:rPr>
              <w:t>跟岗实习、顶岗实习</w:t>
            </w:r>
          </w:p>
        </w:tc>
      </w:tr>
    </w:tbl>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（一）课程性质与定位</w:t>
      </w:r>
    </w:p>
    <w:p>
      <w:pPr>
        <w:spacing w:line="360" w:lineRule="auto"/>
        <w:ind w:firstLine="480" w:firstLineChars="200"/>
        <w:rPr>
          <w:color w:val="auto"/>
          <w:sz w:val="24"/>
          <w:highlight w:val="none"/>
        </w:rPr>
      </w:pPr>
      <w:r>
        <w:rPr>
          <w:rFonts w:hint="eastAsia" w:hAnsi="黑体" w:eastAsia="黑体"/>
          <w:bCs/>
          <w:color w:val="auto"/>
          <w:sz w:val="24"/>
          <w:highlight w:val="none"/>
        </w:rPr>
        <w:t>《</w:t>
      </w:r>
      <w:r>
        <w:rPr>
          <w:rFonts w:hint="eastAsia"/>
          <w:color w:val="auto"/>
          <w:sz w:val="24"/>
          <w:highlight w:val="none"/>
        </w:rPr>
        <w:t>无机化工生产技术</w:t>
      </w:r>
      <w:r>
        <w:rPr>
          <w:rFonts w:hint="eastAsia" w:hAnsi="黑体"/>
          <w:bCs/>
          <w:color w:val="auto"/>
          <w:sz w:val="24"/>
          <w:highlight w:val="none"/>
        </w:rPr>
        <w:t>》</w:t>
      </w:r>
      <w:r>
        <w:rPr>
          <w:rFonts w:hint="eastAsia" w:hAnsi="宋体"/>
          <w:color w:val="auto"/>
          <w:sz w:val="24"/>
          <w:highlight w:val="none"/>
        </w:rPr>
        <w:t>课程是高职高专化工类专业的核心课程之一。</w:t>
      </w:r>
      <w:r>
        <w:rPr>
          <w:rFonts w:hint="eastAsia"/>
          <w:color w:val="auto"/>
          <w:sz w:val="24"/>
          <w:highlight w:val="none"/>
        </w:rPr>
        <w:t xml:space="preserve">课程目的与任务是使学生在基础理论学习之后，建立实际工程概念，熟悉无机化工过程的原料来源及产品流向，熟悉无机化工工艺中常用的技术手段。 </w:t>
      </w:r>
    </w:p>
    <w:p>
      <w:pPr>
        <w:spacing w:line="360" w:lineRule="auto"/>
        <w:ind w:firstLine="600" w:firstLineChars="250"/>
        <w:rPr>
          <w:rFonts w:ascii="宋体" w:hAnsi="宋体"/>
          <w:bCs/>
          <w:color w:val="auto"/>
          <w:sz w:val="24"/>
          <w:highlight w:val="none"/>
        </w:rPr>
      </w:pPr>
      <w:r>
        <w:rPr>
          <w:rFonts w:hint="eastAsia"/>
          <w:color w:val="auto"/>
          <w:sz w:val="24"/>
          <w:highlight w:val="none"/>
        </w:rPr>
        <w:t>课程从化工生产工艺角度出发，运用化工过程的基本原理，阐明基本无机化工工艺的基本概念和基本理论，介绍典型基本无机化工工艺的生产方法与工艺原理、典型流程与关键设备、工艺条件与节能降耗分</w:t>
      </w:r>
      <w:r>
        <w:rPr>
          <w:rFonts w:hint="eastAsia" w:ascii="宋体" w:hAnsi="宋体"/>
          <w:color w:val="auto"/>
          <w:sz w:val="24"/>
          <w:highlight w:val="none"/>
        </w:rPr>
        <w:t>析。同时优选有选择性介绍有关无机化工生产的新工艺、新技术、新设备、</w:t>
      </w:r>
      <w:r>
        <w:rPr>
          <w:rFonts w:hint="eastAsia" w:ascii="宋体" w:hAnsi="宋体"/>
          <w:bCs/>
          <w:color w:val="auto"/>
          <w:sz w:val="24"/>
          <w:highlight w:val="none"/>
        </w:rPr>
        <w:t>发展动态能量回收</w:t>
      </w:r>
      <w:r>
        <w:rPr>
          <w:rFonts w:hint="eastAsia" w:ascii="宋体" w:hAnsi="宋体"/>
          <w:color w:val="auto"/>
          <w:sz w:val="24"/>
          <w:highlight w:val="none"/>
        </w:rPr>
        <w:t>、三废处理等问题。</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（二）课程设计理念</w:t>
      </w:r>
    </w:p>
    <w:p>
      <w:pPr>
        <w:pStyle w:val="25"/>
        <w:spacing w:line="360" w:lineRule="auto"/>
        <w:ind w:firstLine="0" w:firstLineChars="0"/>
        <w:rPr>
          <w:color w:val="auto"/>
          <w:sz w:val="24"/>
          <w:szCs w:val="24"/>
          <w:highlight w:val="none"/>
        </w:rPr>
      </w:pPr>
      <w:r>
        <w:rPr>
          <w:rFonts w:hint="eastAsia"/>
          <w:color w:val="auto"/>
          <w:sz w:val="24"/>
          <w:szCs w:val="24"/>
          <w:highlight w:val="none"/>
        </w:rPr>
        <w:t xml:space="preserve">    针对本课程实践性、实用性强的特点，我们以煤化工技术专业的发展为依托，以企业需求为前提，以学生职业技能培养和职业素养成为主线，主动适应行业发展的需要，努力探索职业教育与终身学习对接；教学过程与生产过程对接；专业课程内容与职业标准对接；学历证书与职业资格证书对接；专业与产业、企业、岗位对接等五个对接。</w:t>
      </w:r>
    </w:p>
    <w:p>
      <w:pPr>
        <w:spacing w:line="360" w:lineRule="auto"/>
        <w:ind w:firstLine="480" w:firstLineChars="200"/>
        <w:rPr>
          <w:rFonts w:ascii="宋体" w:hAnsi="宋体"/>
          <w:bCs/>
          <w:color w:val="auto"/>
          <w:sz w:val="24"/>
          <w:highlight w:val="none"/>
        </w:rPr>
      </w:pPr>
      <w:r>
        <w:rPr>
          <w:rFonts w:hint="eastAsia"/>
          <w:color w:val="auto"/>
          <w:sz w:val="24"/>
          <w:highlight w:val="none"/>
        </w:rPr>
        <w:t>在教学内容的选取上以培养技能型专业人才为出发，以满足岗位职业技能需求为目标，以真实的工作任务或产品为载体设计教学过程。本课程主要采用项目化教学法，参照国家相应的职业资格标准，通过岗位调研，与企业共同确定岗位，按岗位能力确定岗位人才培养规格，确定人才培养目标。按职业岗位工作过程的完整性配置课程、构建课程体系。按典型工作任务需求选择课程内容，课程内容反映职业标准。</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（三）课程目标</w:t>
      </w:r>
    </w:p>
    <w:p>
      <w:pPr>
        <w:spacing w:line="360" w:lineRule="auto"/>
        <w:ind w:firstLine="480" w:firstLineChars="200"/>
        <w:rPr>
          <w:rFonts w:ascii="宋体" w:hAnsi="宋体"/>
          <w:bCs/>
          <w:color w:val="auto"/>
          <w:sz w:val="24"/>
          <w:highlight w:val="none"/>
        </w:rPr>
      </w:pPr>
      <w:r>
        <w:rPr>
          <w:rFonts w:hint="eastAsia" w:ascii="宋体" w:hAnsi="宋体"/>
          <w:bCs/>
          <w:color w:val="auto"/>
          <w:sz w:val="24"/>
          <w:highlight w:val="none"/>
        </w:rPr>
        <w:t>本课程的目标是：使学生具备高素质的煤化工技术专门人才所必需的无机化工生产技术基础知识、基本原理及生产技术。能够进行正常岗位操作、开停车操作等生产操作。通过课程学习，培养学生的专业能力、方法能力和社会能力。</w:t>
      </w:r>
    </w:p>
    <w:p>
      <w:pPr>
        <w:spacing w:line="360" w:lineRule="auto"/>
        <w:ind w:firstLine="480" w:firstLineChars="200"/>
        <w:rPr>
          <w:rFonts w:ascii="宋体" w:hAnsi="宋体"/>
          <w:bCs/>
          <w:color w:val="auto"/>
          <w:sz w:val="24"/>
          <w:highlight w:val="none"/>
        </w:rPr>
      </w:pPr>
      <w:r>
        <w:rPr>
          <w:rFonts w:hint="eastAsia" w:ascii="宋体" w:hAnsi="宋体"/>
          <w:bCs/>
          <w:color w:val="auto"/>
          <w:sz w:val="24"/>
          <w:highlight w:val="none"/>
        </w:rPr>
        <w:t>1</w:t>
      </w:r>
      <w:r>
        <w:rPr>
          <w:rFonts w:hint="eastAsia" w:ascii="宋体" w:hAnsi="宋体"/>
          <w:bCs/>
          <w:color w:val="auto"/>
          <w:sz w:val="24"/>
          <w:highlight w:val="none"/>
          <w:lang w:eastAsia="zh-CN"/>
        </w:rPr>
        <w:t>.</w:t>
      </w:r>
      <w:r>
        <w:rPr>
          <w:rFonts w:hint="eastAsia" w:ascii="宋体" w:hAnsi="宋体"/>
          <w:bCs/>
          <w:color w:val="auto"/>
          <w:sz w:val="24"/>
          <w:highlight w:val="none"/>
        </w:rPr>
        <w:t>专业知识目标</w:t>
      </w:r>
    </w:p>
    <w:tbl>
      <w:tblPr>
        <w:tblStyle w:val="14"/>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noWrap/>
          </w:tcPr>
          <w:p>
            <w:pPr>
              <w:spacing w:line="360" w:lineRule="auto"/>
              <w:rPr>
                <w:bCs/>
                <w:color w:val="auto"/>
                <w:szCs w:val="21"/>
                <w:highlight w:val="none"/>
              </w:rPr>
            </w:pPr>
            <w:r>
              <w:rPr>
                <w:rFonts w:hAnsi="宋体"/>
                <w:bCs/>
                <w:color w:val="auto"/>
                <w:szCs w:val="21"/>
                <w:highlight w:val="none"/>
              </w:rPr>
              <w:t>（</w:t>
            </w:r>
            <w:r>
              <w:rPr>
                <w:bCs/>
                <w:color w:val="auto"/>
                <w:szCs w:val="21"/>
                <w:highlight w:val="none"/>
              </w:rPr>
              <w:t>1</w:t>
            </w:r>
            <w:r>
              <w:rPr>
                <w:rFonts w:hAnsi="宋体"/>
                <w:bCs/>
                <w:color w:val="auto"/>
                <w:szCs w:val="21"/>
                <w:highlight w:val="none"/>
              </w:rPr>
              <w:t>）了解无机化工在化工行业中的重要地位和发展趋势；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noWrap/>
          </w:tcPr>
          <w:p>
            <w:pPr>
              <w:spacing w:line="360" w:lineRule="auto"/>
              <w:rPr>
                <w:bCs/>
                <w:color w:val="auto"/>
                <w:szCs w:val="21"/>
                <w:highlight w:val="none"/>
              </w:rPr>
            </w:pPr>
            <w:r>
              <w:rPr>
                <w:rFonts w:hAnsi="宋体"/>
                <w:bCs/>
                <w:color w:val="auto"/>
                <w:szCs w:val="21"/>
                <w:highlight w:val="none"/>
              </w:rPr>
              <w:t>（</w:t>
            </w:r>
            <w:r>
              <w:rPr>
                <w:bCs/>
                <w:color w:val="auto"/>
                <w:szCs w:val="21"/>
                <w:highlight w:val="none"/>
              </w:rPr>
              <w:t>2</w:t>
            </w:r>
            <w:r>
              <w:rPr>
                <w:rFonts w:hAnsi="宋体"/>
                <w:bCs/>
                <w:color w:val="auto"/>
                <w:szCs w:val="21"/>
                <w:highlight w:val="none"/>
              </w:rPr>
              <w:t>）掌握典型无机产品原料的多样性及生产路线选择原则；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noWrap/>
          </w:tcPr>
          <w:p>
            <w:pPr>
              <w:spacing w:line="360" w:lineRule="auto"/>
              <w:rPr>
                <w:bCs/>
                <w:color w:val="auto"/>
                <w:szCs w:val="21"/>
                <w:highlight w:val="none"/>
              </w:rPr>
            </w:pPr>
            <w:r>
              <w:rPr>
                <w:rFonts w:hAnsi="宋体"/>
                <w:bCs/>
                <w:color w:val="auto"/>
                <w:szCs w:val="21"/>
                <w:highlight w:val="none"/>
              </w:rPr>
              <w:t>（</w:t>
            </w:r>
            <w:r>
              <w:rPr>
                <w:bCs/>
                <w:color w:val="auto"/>
                <w:szCs w:val="21"/>
                <w:highlight w:val="none"/>
              </w:rPr>
              <w:t>3</w:t>
            </w:r>
            <w:r>
              <w:rPr>
                <w:rFonts w:hAnsi="宋体"/>
                <w:bCs/>
                <w:color w:val="auto"/>
                <w:szCs w:val="21"/>
                <w:highlight w:val="none"/>
              </w:rPr>
              <w:t>）掌握主要反应器的基本结构及其操作控制要点；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noWrap/>
          </w:tcPr>
          <w:p>
            <w:pPr>
              <w:spacing w:line="360" w:lineRule="auto"/>
              <w:rPr>
                <w:bCs/>
                <w:color w:val="auto"/>
                <w:szCs w:val="21"/>
                <w:highlight w:val="none"/>
              </w:rPr>
            </w:pPr>
            <w:r>
              <w:rPr>
                <w:rFonts w:hAnsi="宋体"/>
                <w:bCs/>
                <w:color w:val="auto"/>
                <w:szCs w:val="21"/>
                <w:highlight w:val="none"/>
              </w:rPr>
              <w:t>（</w:t>
            </w:r>
            <w:r>
              <w:rPr>
                <w:bCs/>
                <w:color w:val="auto"/>
                <w:szCs w:val="21"/>
                <w:highlight w:val="none"/>
              </w:rPr>
              <w:t>4</w:t>
            </w:r>
            <w:r>
              <w:rPr>
                <w:rFonts w:hAnsi="宋体"/>
                <w:bCs/>
                <w:color w:val="auto"/>
                <w:szCs w:val="21"/>
                <w:highlight w:val="none"/>
              </w:rPr>
              <w:t>）掌握典型无机化学产品生产条件的选择；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noWrap/>
          </w:tcPr>
          <w:p>
            <w:pPr>
              <w:spacing w:line="360" w:lineRule="auto"/>
              <w:rPr>
                <w:bCs/>
                <w:color w:val="auto"/>
                <w:szCs w:val="21"/>
                <w:highlight w:val="none"/>
              </w:rPr>
            </w:pPr>
            <w:r>
              <w:rPr>
                <w:rFonts w:hAnsi="宋体"/>
                <w:bCs/>
                <w:color w:val="auto"/>
                <w:szCs w:val="21"/>
                <w:highlight w:val="none"/>
              </w:rPr>
              <w:t>（</w:t>
            </w:r>
            <w:r>
              <w:rPr>
                <w:bCs/>
                <w:color w:val="auto"/>
                <w:szCs w:val="21"/>
                <w:highlight w:val="none"/>
              </w:rPr>
              <w:t>5</w:t>
            </w:r>
            <w:r>
              <w:rPr>
                <w:rFonts w:hAnsi="宋体"/>
                <w:bCs/>
                <w:color w:val="auto"/>
                <w:szCs w:val="21"/>
                <w:highlight w:val="none"/>
              </w:rPr>
              <w:t>）掌握典型无机化学产品生产工艺流程的组织；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noWrap/>
          </w:tcPr>
          <w:p>
            <w:pPr>
              <w:spacing w:line="360" w:lineRule="auto"/>
              <w:rPr>
                <w:bCs/>
                <w:color w:val="auto"/>
                <w:szCs w:val="21"/>
                <w:highlight w:val="none"/>
              </w:rPr>
            </w:pPr>
            <w:r>
              <w:rPr>
                <w:rFonts w:hAnsi="宋体"/>
                <w:bCs/>
                <w:color w:val="auto"/>
                <w:szCs w:val="21"/>
                <w:highlight w:val="none"/>
              </w:rPr>
              <w:t>（</w:t>
            </w:r>
            <w:r>
              <w:rPr>
                <w:bCs/>
                <w:color w:val="auto"/>
                <w:szCs w:val="21"/>
                <w:highlight w:val="none"/>
              </w:rPr>
              <w:t>6</w:t>
            </w:r>
            <w:r>
              <w:rPr>
                <w:rFonts w:hAnsi="宋体"/>
                <w:bCs/>
                <w:color w:val="auto"/>
                <w:szCs w:val="21"/>
                <w:highlight w:val="none"/>
              </w:rPr>
              <w:t>）大型化学产品生产过程主要异常现象及故障排除；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noWrap/>
          </w:tcPr>
          <w:p>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bCs/>
                <w:color w:val="auto"/>
                <w:szCs w:val="21"/>
                <w:highlight w:val="none"/>
              </w:rPr>
            </w:pPr>
            <w:r>
              <w:rPr>
                <w:rFonts w:hAnsi="宋体"/>
                <w:bCs/>
                <w:color w:val="auto"/>
                <w:szCs w:val="21"/>
                <w:highlight w:val="none"/>
              </w:rPr>
              <w:t>（</w:t>
            </w:r>
            <w:r>
              <w:rPr>
                <w:bCs/>
                <w:color w:val="auto"/>
                <w:szCs w:val="21"/>
                <w:highlight w:val="none"/>
              </w:rPr>
              <w:t>7</w:t>
            </w:r>
            <w:r>
              <w:rPr>
                <w:rFonts w:hAnsi="宋体"/>
                <w:bCs/>
                <w:color w:val="auto"/>
                <w:szCs w:val="21"/>
                <w:highlight w:val="none"/>
              </w:rPr>
              <w:t>）具有较强的安全意识与环保意识；</w:t>
            </w:r>
          </w:p>
        </w:tc>
      </w:tr>
    </w:tbl>
    <w:p>
      <w:pPr>
        <w:spacing w:line="360" w:lineRule="auto"/>
        <w:ind w:firstLine="480" w:firstLineChars="200"/>
        <w:rPr>
          <w:bCs/>
          <w:color w:val="auto"/>
          <w:sz w:val="24"/>
          <w:highlight w:val="none"/>
        </w:rPr>
      </w:pPr>
      <w:r>
        <w:rPr>
          <w:bCs/>
          <w:color w:val="auto"/>
          <w:sz w:val="24"/>
          <w:highlight w:val="none"/>
        </w:rPr>
        <w:t>2</w:t>
      </w:r>
      <w:r>
        <w:rPr>
          <w:rFonts w:hint="eastAsia" w:hAnsi="宋体"/>
          <w:bCs/>
          <w:color w:val="auto"/>
          <w:sz w:val="24"/>
          <w:highlight w:val="none"/>
          <w:lang w:eastAsia="zh-CN"/>
        </w:rPr>
        <w:t>.</w:t>
      </w:r>
      <w:r>
        <w:rPr>
          <w:rFonts w:hAnsi="宋体"/>
          <w:bCs/>
          <w:color w:val="auto"/>
          <w:sz w:val="24"/>
          <w:highlight w:val="none"/>
        </w:rPr>
        <w:t>方法能力目标</w:t>
      </w:r>
    </w:p>
    <w:tbl>
      <w:tblPr>
        <w:tblStyle w:val="14"/>
        <w:tblW w:w="8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1" w:type="dxa"/>
            <w:noWrap/>
          </w:tcPr>
          <w:p>
            <w:pPr>
              <w:spacing w:line="360" w:lineRule="auto"/>
              <w:rPr>
                <w:bCs/>
                <w:color w:val="auto"/>
                <w:szCs w:val="21"/>
                <w:highlight w:val="none"/>
              </w:rPr>
            </w:pPr>
            <w:r>
              <w:rPr>
                <w:rFonts w:hAnsi="宋体"/>
                <w:bCs/>
                <w:color w:val="auto"/>
                <w:szCs w:val="21"/>
                <w:highlight w:val="none"/>
              </w:rPr>
              <w:t>（</w:t>
            </w:r>
            <w:r>
              <w:rPr>
                <w:bCs/>
                <w:color w:val="auto"/>
                <w:szCs w:val="21"/>
                <w:highlight w:val="none"/>
              </w:rPr>
              <w:t>1</w:t>
            </w:r>
            <w:r>
              <w:rPr>
                <w:rFonts w:hAnsi="宋体"/>
                <w:bCs/>
                <w:color w:val="auto"/>
                <w:szCs w:val="21"/>
                <w:highlight w:val="none"/>
              </w:rPr>
              <w:t>）具有较强的自我学习和自我提高能力；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1" w:type="dxa"/>
            <w:noWrap/>
          </w:tcPr>
          <w:p>
            <w:pPr>
              <w:spacing w:line="360" w:lineRule="auto"/>
              <w:rPr>
                <w:bCs/>
                <w:color w:val="auto"/>
                <w:szCs w:val="21"/>
                <w:highlight w:val="none"/>
              </w:rPr>
            </w:pPr>
            <w:r>
              <w:rPr>
                <w:rFonts w:hAnsi="宋体"/>
                <w:bCs/>
                <w:color w:val="auto"/>
                <w:szCs w:val="21"/>
                <w:highlight w:val="none"/>
              </w:rPr>
              <w:t>（</w:t>
            </w:r>
            <w:r>
              <w:rPr>
                <w:bCs/>
                <w:color w:val="auto"/>
                <w:szCs w:val="21"/>
                <w:highlight w:val="none"/>
              </w:rPr>
              <w:t>2</w:t>
            </w:r>
            <w:r>
              <w:rPr>
                <w:rFonts w:hAnsi="宋体"/>
                <w:bCs/>
                <w:color w:val="auto"/>
                <w:szCs w:val="21"/>
                <w:highlight w:val="none"/>
              </w:rPr>
              <w:t>）具有较强的发现问题、分析问题和解决问题的能力；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1" w:type="dxa"/>
            <w:noWrap/>
          </w:tcPr>
          <w:p>
            <w:pPr>
              <w:spacing w:line="360" w:lineRule="auto"/>
              <w:rPr>
                <w:bCs/>
                <w:color w:val="auto"/>
                <w:szCs w:val="21"/>
                <w:highlight w:val="none"/>
              </w:rPr>
            </w:pPr>
            <w:r>
              <w:rPr>
                <w:rFonts w:hAnsi="宋体"/>
                <w:bCs/>
                <w:color w:val="auto"/>
                <w:szCs w:val="21"/>
                <w:highlight w:val="none"/>
              </w:rPr>
              <w:t>（</w:t>
            </w:r>
            <w:r>
              <w:rPr>
                <w:bCs/>
                <w:color w:val="auto"/>
                <w:szCs w:val="21"/>
                <w:highlight w:val="none"/>
              </w:rPr>
              <w:t>3</w:t>
            </w:r>
            <w:r>
              <w:rPr>
                <w:rFonts w:hAnsi="宋体"/>
                <w:bCs/>
                <w:color w:val="auto"/>
                <w:szCs w:val="21"/>
                <w:highlight w:val="none"/>
              </w:rPr>
              <w:t>）具有较强的发散性思维能力和创新意识。</w:t>
            </w:r>
          </w:p>
        </w:tc>
      </w:tr>
    </w:tbl>
    <w:p>
      <w:pPr>
        <w:rPr>
          <w:vanish/>
          <w:color w:val="auto"/>
          <w:highlight w:val="none"/>
        </w:rPr>
      </w:pPr>
    </w:p>
    <w:tbl>
      <w:tblPr>
        <w:tblStyle w:val="14"/>
        <w:tblpPr w:leftFromText="180" w:rightFromText="180" w:vertAnchor="text" w:horzAnchor="page" w:tblpX="1900" w:tblpY="570"/>
        <w:tblOverlap w:val="never"/>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noWrap/>
          </w:tcPr>
          <w:p>
            <w:pPr>
              <w:spacing w:line="360" w:lineRule="auto"/>
              <w:rPr>
                <w:bCs/>
                <w:color w:val="auto"/>
                <w:szCs w:val="21"/>
                <w:highlight w:val="none"/>
              </w:rPr>
            </w:pPr>
            <w:r>
              <w:rPr>
                <w:rFonts w:hAnsi="宋体"/>
                <w:bCs/>
                <w:color w:val="auto"/>
                <w:szCs w:val="21"/>
                <w:highlight w:val="none"/>
              </w:rPr>
              <w:t>（</w:t>
            </w:r>
            <w:r>
              <w:rPr>
                <w:bCs/>
                <w:color w:val="auto"/>
                <w:szCs w:val="21"/>
                <w:highlight w:val="none"/>
              </w:rPr>
              <w:t>1</w:t>
            </w:r>
            <w:r>
              <w:rPr>
                <w:rFonts w:hAnsi="宋体"/>
                <w:bCs/>
                <w:color w:val="auto"/>
                <w:szCs w:val="21"/>
                <w:highlight w:val="none"/>
              </w:rPr>
              <w:t>）具有与人合作能力和团队精神；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noWrap/>
          </w:tcPr>
          <w:p>
            <w:pPr>
              <w:spacing w:line="360" w:lineRule="auto"/>
              <w:rPr>
                <w:bCs/>
                <w:color w:val="auto"/>
                <w:szCs w:val="21"/>
                <w:highlight w:val="none"/>
              </w:rPr>
            </w:pPr>
            <w:r>
              <w:rPr>
                <w:rFonts w:hAnsi="宋体"/>
                <w:bCs/>
                <w:color w:val="auto"/>
                <w:szCs w:val="21"/>
                <w:highlight w:val="none"/>
              </w:rPr>
              <w:t>（</w:t>
            </w:r>
            <w:r>
              <w:rPr>
                <w:bCs/>
                <w:color w:val="auto"/>
                <w:szCs w:val="21"/>
                <w:highlight w:val="none"/>
              </w:rPr>
              <w:t>2</w:t>
            </w:r>
            <w:r>
              <w:rPr>
                <w:rFonts w:hAnsi="宋体"/>
                <w:bCs/>
                <w:color w:val="auto"/>
                <w:szCs w:val="21"/>
                <w:highlight w:val="none"/>
              </w:rPr>
              <w:t>）具有社会交往能力；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noWrap/>
          </w:tcPr>
          <w:p>
            <w:pPr>
              <w:spacing w:line="360" w:lineRule="auto"/>
              <w:rPr>
                <w:bCs/>
                <w:color w:val="auto"/>
                <w:szCs w:val="21"/>
                <w:highlight w:val="none"/>
              </w:rPr>
            </w:pPr>
            <w:r>
              <w:rPr>
                <w:rFonts w:hAnsi="宋体"/>
                <w:bCs/>
                <w:color w:val="auto"/>
                <w:szCs w:val="21"/>
                <w:highlight w:val="none"/>
              </w:rPr>
              <w:t>（</w:t>
            </w:r>
            <w:r>
              <w:rPr>
                <w:bCs/>
                <w:color w:val="auto"/>
                <w:szCs w:val="21"/>
                <w:highlight w:val="none"/>
              </w:rPr>
              <w:t>3</w:t>
            </w:r>
            <w:r>
              <w:rPr>
                <w:rFonts w:hAnsi="宋体"/>
                <w:bCs/>
                <w:color w:val="auto"/>
                <w:szCs w:val="21"/>
                <w:highlight w:val="none"/>
              </w:rPr>
              <w:t>）具有较强的口头和文字表达能力。</w:t>
            </w:r>
          </w:p>
        </w:tc>
      </w:tr>
    </w:tbl>
    <w:p>
      <w:pPr>
        <w:spacing w:line="360" w:lineRule="auto"/>
        <w:ind w:firstLine="480" w:firstLineChars="200"/>
        <w:rPr>
          <w:bCs/>
          <w:color w:val="auto"/>
          <w:sz w:val="24"/>
          <w:highlight w:val="none"/>
        </w:rPr>
      </w:pPr>
      <w:r>
        <w:rPr>
          <w:bCs/>
          <w:color w:val="auto"/>
          <w:sz w:val="24"/>
          <w:highlight w:val="none"/>
        </w:rPr>
        <w:t>3</w:t>
      </w:r>
      <w:r>
        <w:rPr>
          <w:rFonts w:hint="eastAsia" w:hAnsi="宋体"/>
          <w:bCs/>
          <w:color w:val="auto"/>
          <w:sz w:val="24"/>
          <w:highlight w:val="none"/>
          <w:lang w:eastAsia="zh-CN"/>
        </w:rPr>
        <w:t>.</w:t>
      </w:r>
      <w:r>
        <w:rPr>
          <w:rFonts w:hAnsi="宋体"/>
          <w:bCs/>
          <w:color w:val="auto"/>
          <w:sz w:val="24"/>
          <w:highlight w:val="none"/>
        </w:rPr>
        <w:t>社会能力目标</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（四）课程教学内容及学时分配</w:t>
      </w:r>
    </w:p>
    <w:p>
      <w:pPr>
        <w:pStyle w:val="25"/>
        <w:spacing w:line="360" w:lineRule="auto"/>
        <w:ind w:firstLine="480"/>
        <w:rPr>
          <w:color w:val="auto"/>
          <w:sz w:val="24"/>
          <w:szCs w:val="24"/>
          <w:highlight w:val="none"/>
        </w:rPr>
      </w:pPr>
      <w:r>
        <w:rPr>
          <w:rFonts w:hint="eastAsia"/>
          <w:color w:val="auto"/>
          <w:sz w:val="24"/>
          <w:szCs w:val="24"/>
          <w:highlight w:val="none"/>
        </w:rPr>
        <w:t>1</w:t>
      </w:r>
      <w:r>
        <w:rPr>
          <w:rFonts w:hint="eastAsia"/>
          <w:color w:val="auto"/>
          <w:sz w:val="24"/>
          <w:szCs w:val="24"/>
          <w:highlight w:val="none"/>
          <w:lang w:eastAsia="zh-CN"/>
        </w:rPr>
        <w:t>.</w:t>
      </w:r>
      <w:r>
        <w:rPr>
          <w:rFonts w:hint="eastAsia"/>
          <w:color w:val="auto"/>
          <w:sz w:val="24"/>
          <w:szCs w:val="24"/>
          <w:highlight w:val="none"/>
        </w:rPr>
        <w:t>教学内容选取的依据</w:t>
      </w:r>
    </w:p>
    <w:p>
      <w:pPr>
        <w:pStyle w:val="25"/>
        <w:spacing w:line="360" w:lineRule="auto"/>
        <w:ind w:firstLine="480"/>
        <w:rPr>
          <w:color w:val="auto"/>
          <w:sz w:val="24"/>
          <w:szCs w:val="24"/>
          <w:highlight w:val="none"/>
        </w:rPr>
      </w:pPr>
      <w:r>
        <w:rPr>
          <w:color w:val="auto"/>
          <w:sz w:val="24"/>
          <w:szCs w:val="24"/>
          <w:highlight w:val="none"/>
        </w:rPr>
        <w:t>通过企业调研和专家座谈会开发的课程内容分散于各个职业岗位工作中，呈交叉无序状态，给教学带来诸多不便，所以在实施教学之前需进行整合序化。课程内容的整合与序化也是通过校企合作完成的。整合序化以岗位任务分析为依据，以</w:t>
      </w:r>
      <w:r>
        <w:rPr>
          <w:rFonts w:hint="eastAsia"/>
          <w:color w:val="auto"/>
          <w:sz w:val="24"/>
          <w:szCs w:val="24"/>
          <w:highlight w:val="none"/>
        </w:rPr>
        <w:t>无机化工生产技术与操作的相关</w:t>
      </w:r>
      <w:r>
        <w:rPr>
          <w:color w:val="auto"/>
          <w:sz w:val="24"/>
          <w:szCs w:val="24"/>
          <w:highlight w:val="none"/>
        </w:rPr>
        <w:t>岗位工作过程为主线，遵循学生职业成长规律，把技能训练和知识的掌握贯穿于以工作任务为载体的项目教学中，课程教学尽可能与职业资格取证培训相融合，更加注重学生工作过程知识的获取和岗位能力的培养。</w:t>
      </w:r>
      <w:r>
        <w:rPr>
          <w:color w:val="auto"/>
          <w:sz w:val="24"/>
          <w:szCs w:val="24"/>
          <w:highlight w:val="none"/>
        </w:rPr>
        <w:br w:type="textWrapping"/>
      </w:r>
      <w:r>
        <w:rPr>
          <w:rFonts w:hint="eastAsia"/>
          <w:color w:val="auto"/>
          <w:sz w:val="24"/>
          <w:szCs w:val="24"/>
          <w:highlight w:val="none"/>
        </w:rPr>
        <w:t xml:space="preserve">   2</w:t>
      </w:r>
      <w:r>
        <w:rPr>
          <w:rFonts w:hint="eastAsia"/>
          <w:color w:val="auto"/>
          <w:sz w:val="24"/>
          <w:szCs w:val="24"/>
          <w:highlight w:val="none"/>
          <w:lang w:val="en-US" w:eastAsia="zh-CN"/>
        </w:rPr>
        <w:t>.</w:t>
      </w:r>
      <w:r>
        <w:rPr>
          <w:color w:val="auto"/>
          <w:sz w:val="24"/>
          <w:szCs w:val="24"/>
          <w:highlight w:val="none"/>
        </w:rPr>
        <w:t>教学内容的组织</w:t>
      </w:r>
      <w:r>
        <w:rPr>
          <w:color w:val="auto"/>
          <w:sz w:val="24"/>
          <w:szCs w:val="24"/>
          <w:highlight w:val="none"/>
        </w:rPr>
        <w:br w:type="textWrapping"/>
      </w:r>
      <w:r>
        <w:rPr>
          <w:color w:val="auto"/>
          <w:sz w:val="24"/>
          <w:szCs w:val="24"/>
          <w:highlight w:val="none"/>
        </w:rPr>
        <w:t>经过</w:t>
      </w:r>
      <w:r>
        <w:rPr>
          <w:rFonts w:hint="eastAsia"/>
          <w:color w:val="auto"/>
          <w:sz w:val="24"/>
          <w:szCs w:val="24"/>
          <w:highlight w:val="none"/>
        </w:rPr>
        <w:t>选择、</w:t>
      </w:r>
      <w:r>
        <w:rPr>
          <w:color w:val="auto"/>
          <w:sz w:val="24"/>
          <w:szCs w:val="24"/>
          <w:highlight w:val="none"/>
        </w:rPr>
        <w:t>整合</w:t>
      </w:r>
      <w:r>
        <w:rPr>
          <w:rFonts w:hint="eastAsia"/>
          <w:color w:val="auto"/>
          <w:sz w:val="24"/>
          <w:szCs w:val="24"/>
          <w:highlight w:val="none"/>
        </w:rPr>
        <w:t>、</w:t>
      </w:r>
      <w:r>
        <w:rPr>
          <w:color w:val="auto"/>
          <w:sz w:val="24"/>
          <w:szCs w:val="24"/>
          <w:highlight w:val="none"/>
        </w:rPr>
        <w:t>序化后的教学内容，根据每种单元操作过程所遵循的规律划分为三个模块，</w:t>
      </w:r>
      <w:r>
        <w:rPr>
          <w:rFonts w:hint="eastAsia"/>
          <w:color w:val="auto"/>
          <w:sz w:val="24"/>
          <w:szCs w:val="24"/>
          <w:highlight w:val="none"/>
        </w:rPr>
        <w:t>重点讲解合成氨模块和化学肥料生产模块，</w:t>
      </w:r>
      <w:r>
        <w:rPr>
          <w:color w:val="auto"/>
          <w:sz w:val="24"/>
          <w:szCs w:val="24"/>
          <w:highlight w:val="none"/>
        </w:rPr>
        <w:t>每个模块又由以任务为载体的</w:t>
      </w:r>
      <w:r>
        <w:rPr>
          <w:rFonts w:hint="eastAsia"/>
          <w:color w:val="auto"/>
          <w:sz w:val="24"/>
          <w:szCs w:val="24"/>
          <w:highlight w:val="none"/>
        </w:rPr>
        <w:t>分</w:t>
      </w:r>
      <w:r>
        <w:rPr>
          <w:color w:val="auto"/>
          <w:sz w:val="24"/>
          <w:szCs w:val="24"/>
          <w:highlight w:val="none"/>
        </w:rPr>
        <w:t>项目构成。</w:t>
      </w:r>
    </w:p>
    <w:p>
      <w:pPr>
        <w:pStyle w:val="25"/>
        <w:spacing w:line="360" w:lineRule="auto"/>
        <w:ind w:firstLine="0" w:firstLineChars="0"/>
        <w:jc w:val="center"/>
        <w:rPr>
          <w:color w:val="auto"/>
          <w:sz w:val="24"/>
          <w:szCs w:val="24"/>
          <w:highlight w:val="none"/>
        </w:rPr>
      </w:pPr>
      <w:r>
        <w:rPr>
          <w:rFonts w:hint="eastAsia" w:ascii="宋体" w:hAnsi="宋体" w:cs="宋体"/>
          <w:color w:val="auto"/>
          <w:kern w:val="0"/>
          <w:sz w:val="24"/>
          <w:highlight w:val="none"/>
        </w:rPr>
        <w:t>表4.</w:t>
      </w:r>
      <w:r>
        <w:rPr>
          <w:rFonts w:ascii="宋体" w:hAnsi="宋体" w:cs="宋体"/>
          <w:color w:val="auto"/>
          <w:kern w:val="0"/>
          <w:sz w:val="24"/>
          <w:highlight w:val="none"/>
        </w:rPr>
        <w:t>3</w:t>
      </w:r>
      <w:r>
        <w:rPr>
          <w:rFonts w:hint="eastAsia" w:ascii="宋体" w:hAnsi="宋体" w:cs="宋体"/>
          <w:color w:val="auto"/>
          <w:kern w:val="0"/>
          <w:sz w:val="24"/>
          <w:highlight w:val="none"/>
        </w:rPr>
        <w:t>《无机化工生产技术》课程教学内容及学时安排</w:t>
      </w:r>
    </w:p>
    <w:tbl>
      <w:tblPr>
        <w:tblStyle w:val="14"/>
        <w:tblW w:w="8522"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188"/>
        <w:gridCol w:w="2520"/>
        <w:gridCol w:w="3960"/>
        <w:gridCol w:w="854"/>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188" w:type="dxa"/>
            <w:tcBorders>
              <w:top w:val="single" w:color="auto" w:sz="12" w:space="0"/>
              <w:bottom w:val="single" w:color="auto" w:sz="2" w:space="0"/>
            </w:tcBorders>
            <w:noWrap/>
            <w:vAlign w:val="center"/>
          </w:tcPr>
          <w:p>
            <w:pPr>
              <w:spacing w:line="360" w:lineRule="auto"/>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项目任务</w:t>
            </w:r>
          </w:p>
        </w:tc>
        <w:tc>
          <w:tcPr>
            <w:tcW w:w="2520" w:type="dxa"/>
            <w:tcBorders>
              <w:top w:val="single" w:color="auto" w:sz="12" w:space="0"/>
              <w:bottom w:val="single" w:color="auto" w:sz="2" w:space="0"/>
            </w:tcBorders>
            <w:noWrap/>
            <w:vAlign w:val="center"/>
          </w:tcPr>
          <w:p>
            <w:pPr>
              <w:spacing w:line="360" w:lineRule="auto"/>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学习情境描述及目标</w:t>
            </w:r>
          </w:p>
        </w:tc>
        <w:tc>
          <w:tcPr>
            <w:tcW w:w="3960" w:type="dxa"/>
            <w:tcBorders>
              <w:top w:val="single" w:color="auto" w:sz="12" w:space="0"/>
              <w:bottom w:val="single" w:color="auto" w:sz="2" w:space="0"/>
            </w:tcBorders>
            <w:noWrap/>
            <w:vAlign w:val="center"/>
          </w:tcPr>
          <w:p>
            <w:pPr>
              <w:spacing w:line="360" w:lineRule="auto"/>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学习内容</w:t>
            </w:r>
          </w:p>
        </w:tc>
        <w:tc>
          <w:tcPr>
            <w:tcW w:w="854" w:type="dxa"/>
            <w:tcBorders>
              <w:top w:val="single" w:color="auto" w:sz="12" w:space="0"/>
              <w:bottom w:val="single" w:color="auto" w:sz="2" w:space="0"/>
            </w:tcBorders>
            <w:noWrap/>
            <w:vAlign w:val="center"/>
          </w:tcPr>
          <w:p>
            <w:pPr>
              <w:spacing w:line="360" w:lineRule="auto"/>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课时</w:t>
            </w:r>
          </w:p>
          <w:p>
            <w:pPr>
              <w:spacing w:line="360" w:lineRule="auto"/>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分配</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78" w:hRule="atLeast"/>
        </w:trPr>
        <w:tc>
          <w:tcPr>
            <w:tcW w:w="1188" w:type="dxa"/>
            <w:vMerge w:val="restart"/>
            <w:noWrap/>
            <w:vAlign w:val="center"/>
          </w:tcPr>
          <w:p>
            <w:pPr>
              <w:spacing w:line="360" w:lineRule="auto"/>
              <w:jc w:val="center"/>
              <w:rPr>
                <w:rFonts w:hAnsi="宋体"/>
                <w:color w:val="auto"/>
                <w:szCs w:val="21"/>
                <w:highlight w:val="none"/>
              </w:rPr>
            </w:pPr>
            <w:r>
              <w:rPr>
                <w:rFonts w:hint="eastAsia" w:hAnsi="宋体"/>
                <w:color w:val="auto"/>
                <w:szCs w:val="21"/>
                <w:highlight w:val="none"/>
              </w:rPr>
              <w:t>一</w:t>
            </w:r>
          </w:p>
          <w:p>
            <w:pPr>
              <w:spacing w:line="360" w:lineRule="auto"/>
              <w:jc w:val="center"/>
              <w:rPr>
                <w:rFonts w:hAnsi="宋体"/>
                <w:color w:val="auto"/>
                <w:szCs w:val="21"/>
                <w:highlight w:val="none"/>
              </w:rPr>
            </w:pPr>
            <w:r>
              <w:rPr>
                <w:rFonts w:hAnsi="宋体"/>
                <w:color w:val="auto"/>
                <w:szCs w:val="21"/>
                <w:highlight w:val="none"/>
              </w:rPr>
              <w:t>合</w:t>
            </w:r>
          </w:p>
          <w:p>
            <w:pPr>
              <w:spacing w:line="360" w:lineRule="auto"/>
              <w:jc w:val="center"/>
              <w:rPr>
                <w:color w:val="auto"/>
                <w:szCs w:val="21"/>
                <w:highlight w:val="none"/>
              </w:rPr>
            </w:pPr>
            <w:r>
              <w:rPr>
                <w:rFonts w:hAnsi="宋体"/>
                <w:color w:val="auto"/>
                <w:szCs w:val="21"/>
                <w:highlight w:val="none"/>
              </w:rPr>
              <w:t>成</w:t>
            </w:r>
          </w:p>
          <w:p>
            <w:pPr>
              <w:spacing w:line="360" w:lineRule="auto"/>
              <w:jc w:val="center"/>
              <w:rPr>
                <w:rFonts w:hAnsi="宋体"/>
                <w:color w:val="auto"/>
                <w:szCs w:val="21"/>
                <w:highlight w:val="none"/>
              </w:rPr>
            </w:pPr>
            <w:r>
              <w:rPr>
                <w:rFonts w:hAnsi="宋体"/>
                <w:color w:val="auto"/>
                <w:szCs w:val="21"/>
                <w:highlight w:val="none"/>
              </w:rPr>
              <w:t>氨</w:t>
            </w:r>
          </w:p>
          <w:p>
            <w:pPr>
              <w:spacing w:line="360" w:lineRule="auto"/>
              <w:jc w:val="center"/>
              <w:rPr>
                <w:rFonts w:hAnsi="宋体"/>
                <w:color w:val="auto"/>
                <w:szCs w:val="21"/>
                <w:highlight w:val="none"/>
              </w:rPr>
            </w:pPr>
            <w:r>
              <w:rPr>
                <w:rFonts w:hAnsi="宋体"/>
                <w:color w:val="auto"/>
                <w:szCs w:val="21"/>
                <w:highlight w:val="none"/>
              </w:rPr>
              <w:t>生</w:t>
            </w:r>
          </w:p>
          <w:p>
            <w:pPr>
              <w:spacing w:line="360" w:lineRule="auto"/>
              <w:jc w:val="center"/>
              <w:rPr>
                <w:color w:val="auto"/>
                <w:szCs w:val="21"/>
                <w:highlight w:val="none"/>
              </w:rPr>
            </w:pPr>
            <w:r>
              <w:rPr>
                <w:rFonts w:hAnsi="宋体"/>
                <w:color w:val="auto"/>
                <w:szCs w:val="21"/>
                <w:highlight w:val="none"/>
              </w:rPr>
              <w:t>产</w:t>
            </w:r>
          </w:p>
        </w:tc>
        <w:tc>
          <w:tcPr>
            <w:tcW w:w="2520" w:type="dxa"/>
            <w:vMerge w:val="restart"/>
            <w:noWrap/>
            <w:vAlign w:val="center"/>
          </w:tcPr>
          <w:p>
            <w:pPr>
              <w:spacing w:line="240" w:lineRule="auto"/>
              <w:jc w:val="left"/>
              <w:rPr>
                <w:color w:val="auto"/>
                <w:szCs w:val="21"/>
                <w:highlight w:val="none"/>
              </w:rPr>
            </w:pPr>
            <w:r>
              <w:rPr>
                <w:color w:val="auto"/>
                <w:szCs w:val="21"/>
                <w:highlight w:val="none"/>
              </w:rPr>
              <w:t>1</w:t>
            </w:r>
            <w:r>
              <w:rPr>
                <w:rFonts w:hint="eastAsia" w:hAnsi="宋体"/>
                <w:color w:val="auto"/>
                <w:szCs w:val="21"/>
                <w:highlight w:val="none"/>
                <w:lang w:eastAsia="zh-CN"/>
              </w:rPr>
              <w:t>.</w:t>
            </w:r>
            <w:r>
              <w:rPr>
                <w:rFonts w:hAnsi="宋体"/>
                <w:color w:val="auto"/>
                <w:szCs w:val="21"/>
                <w:highlight w:val="none"/>
              </w:rPr>
              <w:t>合成氨原料气的生产</w:t>
            </w:r>
          </w:p>
        </w:tc>
        <w:tc>
          <w:tcPr>
            <w:tcW w:w="3960" w:type="dxa"/>
            <w:tcBorders>
              <w:bottom w:val="single" w:color="auto" w:sz="4" w:space="0"/>
            </w:tcBorders>
            <w:noWrap/>
            <w:vAlign w:val="center"/>
          </w:tcPr>
          <w:p>
            <w:pPr>
              <w:adjustRightInd w:val="0"/>
              <w:snapToGrid w:val="0"/>
              <w:spacing w:line="240" w:lineRule="auto"/>
              <w:rPr>
                <w:color w:val="auto"/>
                <w:szCs w:val="21"/>
                <w:highlight w:val="none"/>
              </w:rPr>
            </w:pPr>
            <w:r>
              <w:rPr>
                <w:color w:val="auto"/>
                <w:szCs w:val="21"/>
                <w:highlight w:val="none"/>
              </w:rPr>
              <w:t>1</w:t>
            </w:r>
            <w:r>
              <w:rPr>
                <w:rFonts w:hint="eastAsia" w:hAnsi="宋体"/>
                <w:color w:val="auto"/>
                <w:szCs w:val="21"/>
                <w:highlight w:val="none"/>
                <w:lang w:eastAsia="zh-CN"/>
              </w:rPr>
              <w:t>.</w:t>
            </w:r>
            <w:r>
              <w:rPr>
                <w:rFonts w:hAnsi="宋体"/>
                <w:color w:val="auto"/>
                <w:szCs w:val="21"/>
                <w:highlight w:val="none"/>
              </w:rPr>
              <w:t>间歇法制备半水煤气</w:t>
            </w:r>
          </w:p>
        </w:tc>
        <w:tc>
          <w:tcPr>
            <w:tcW w:w="854" w:type="dxa"/>
            <w:vMerge w:val="restart"/>
            <w:noWrap/>
            <w:vAlign w:val="center"/>
          </w:tcPr>
          <w:p>
            <w:pPr>
              <w:spacing w:line="360" w:lineRule="auto"/>
              <w:jc w:val="center"/>
              <w:rPr>
                <w:color w:val="auto"/>
                <w:szCs w:val="21"/>
                <w:highlight w:val="none"/>
              </w:rPr>
            </w:pPr>
            <w:r>
              <w:rPr>
                <w:color w:val="auto"/>
                <w:szCs w:val="21"/>
                <w:highlight w:val="none"/>
              </w:rPr>
              <w:t>32</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15" w:hRule="atLeast"/>
        </w:trPr>
        <w:tc>
          <w:tcPr>
            <w:tcW w:w="1188" w:type="dxa"/>
            <w:vMerge w:val="continue"/>
            <w:noWrap/>
            <w:vAlign w:val="center"/>
          </w:tcPr>
          <w:p>
            <w:pPr>
              <w:spacing w:line="360" w:lineRule="auto"/>
              <w:jc w:val="center"/>
              <w:rPr>
                <w:color w:val="auto"/>
                <w:szCs w:val="21"/>
                <w:highlight w:val="none"/>
              </w:rPr>
            </w:pPr>
          </w:p>
        </w:tc>
        <w:tc>
          <w:tcPr>
            <w:tcW w:w="2520" w:type="dxa"/>
            <w:vMerge w:val="continue"/>
            <w:noWrap/>
            <w:vAlign w:val="center"/>
          </w:tcPr>
          <w:p>
            <w:pPr>
              <w:spacing w:line="240" w:lineRule="auto"/>
              <w:jc w:val="left"/>
              <w:rPr>
                <w:color w:val="auto"/>
                <w:szCs w:val="21"/>
                <w:highlight w:val="none"/>
              </w:rPr>
            </w:pPr>
          </w:p>
        </w:tc>
        <w:tc>
          <w:tcPr>
            <w:tcW w:w="3960" w:type="dxa"/>
            <w:tcBorders>
              <w:top w:val="single" w:color="auto" w:sz="4" w:space="0"/>
            </w:tcBorders>
            <w:noWrap/>
            <w:vAlign w:val="center"/>
          </w:tcPr>
          <w:p>
            <w:pPr>
              <w:adjustRightInd w:val="0"/>
              <w:snapToGrid w:val="0"/>
              <w:spacing w:line="240" w:lineRule="auto"/>
              <w:jc w:val="left"/>
              <w:rPr>
                <w:color w:val="auto"/>
                <w:szCs w:val="21"/>
                <w:highlight w:val="none"/>
              </w:rPr>
            </w:pPr>
            <w:r>
              <w:rPr>
                <w:color w:val="auto"/>
                <w:szCs w:val="21"/>
                <w:highlight w:val="none"/>
              </w:rPr>
              <w:t>2</w:t>
            </w:r>
            <w:r>
              <w:rPr>
                <w:rFonts w:hint="eastAsia" w:hAnsi="宋体"/>
                <w:color w:val="auto"/>
                <w:szCs w:val="21"/>
                <w:highlight w:val="none"/>
                <w:lang w:eastAsia="zh-CN"/>
              </w:rPr>
              <w:t>.</w:t>
            </w:r>
            <w:r>
              <w:rPr>
                <w:rFonts w:hAnsi="宋体"/>
                <w:color w:val="auto"/>
                <w:szCs w:val="21"/>
                <w:highlight w:val="none"/>
              </w:rPr>
              <w:t>富氧（纯氧）</w:t>
            </w:r>
            <w:r>
              <w:rPr>
                <w:color w:val="auto"/>
                <w:szCs w:val="21"/>
                <w:highlight w:val="none"/>
              </w:rPr>
              <w:t>-</w:t>
            </w:r>
            <w:r>
              <w:rPr>
                <w:rFonts w:hAnsi="宋体"/>
                <w:color w:val="auto"/>
                <w:szCs w:val="21"/>
                <w:highlight w:val="none"/>
              </w:rPr>
              <w:t>蒸汽连续制半水煤气</w:t>
            </w:r>
          </w:p>
        </w:tc>
        <w:tc>
          <w:tcPr>
            <w:tcW w:w="854" w:type="dxa"/>
            <w:vMerge w:val="continue"/>
            <w:noWrap/>
            <w:vAlign w:val="center"/>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8" w:hRule="atLeast"/>
        </w:trPr>
        <w:tc>
          <w:tcPr>
            <w:tcW w:w="1188" w:type="dxa"/>
            <w:vMerge w:val="continue"/>
            <w:noWrap/>
            <w:vAlign w:val="center"/>
          </w:tcPr>
          <w:p>
            <w:pPr>
              <w:spacing w:line="360" w:lineRule="auto"/>
              <w:jc w:val="center"/>
              <w:rPr>
                <w:color w:val="auto"/>
                <w:szCs w:val="21"/>
                <w:highlight w:val="none"/>
              </w:rPr>
            </w:pPr>
          </w:p>
        </w:tc>
        <w:tc>
          <w:tcPr>
            <w:tcW w:w="2520" w:type="dxa"/>
            <w:vMerge w:val="restart"/>
            <w:noWrap/>
            <w:vAlign w:val="center"/>
          </w:tcPr>
          <w:p>
            <w:pPr>
              <w:spacing w:line="240" w:lineRule="auto"/>
              <w:jc w:val="left"/>
              <w:rPr>
                <w:color w:val="auto"/>
                <w:szCs w:val="21"/>
                <w:highlight w:val="none"/>
              </w:rPr>
            </w:pPr>
            <w:r>
              <w:rPr>
                <w:color w:val="auto"/>
                <w:szCs w:val="21"/>
                <w:highlight w:val="none"/>
              </w:rPr>
              <w:t>2</w:t>
            </w:r>
            <w:r>
              <w:rPr>
                <w:rFonts w:hint="eastAsia" w:hAnsi="宋体"/>
                <w:color w:val="auto"/>
                <w:szCs w:val="21"/>
                <w:highlight w:val="none"/>
                <w:lang w:eastAsia="zh-CN"/>
              </w:rPr>
              <w:t>.</w:t>
            </w:r>
            <w:r>
              <w:rPr>
                <w:rFonts w:hAnsi="宋体"/>
                <w:color w:val="auto"/>
                <w:szCs w:val="21"/>
                <w:highlight w:val="none"/>
              </w:rPr>
              <w:t>合成氨原料气的脱硫和脱氯</w:t>
            </w:r>
          </w:p>
        </w:tc>
        <w:tc>
          <w:tcPr>
            <w:tcW w:w="3960" w:type="dxa"/>
            <w:tcBorders>
              <w:bottom w:val="single" w:color="auto" w:sz="4" w:space="0"/>
            </w:tcBorders>
            <w:noWrap/>
            <w:vAlign w:val="center"/>
          </w:tcPr>
          <w:p>
            <w:pPr>
              <w:spacing w:line="240" w:lineRule="auto"/>
              <w:jc w:val="left"/>
              <w:rPr>
                <w:color w:val="auto"/>
                <w:szCs w:val="21"/>
                <w:highlight w:val="none"/>
              </w:rPr>
            </w:pPr>
            <w:r>
              <w:rPr>
                <w:color w:val="auto"/>
                <w:szCs w:val="21"/>
                <w:highlight w:val="none"/>
              </w:rPr>
              <w:t>1</w:t>
            </w:r>
            <w:r>
              <w:rPr>
                <w:rFonts w:hint="eastAsia" w:hAnsi="宋体"/>
                <w:color w:val="auto"/>
                <w:szCs w:val="21"/>
                <w:highlight w:val="none"/>
                <w:lang w:eastAsia="zh-CN"/>
              </w:rPr>
              <w:t>.</w:t>
            </w:r>
            <w:r>
              <w:rPr>
                <w:rFonts w:hAnsi="宋体"/>
                <w:color w:val="auto"/>
                <w:szCs w:val="21"/>
                <w:highlight w:val="none"/>
              </w:rPr>
              <w:t>湿法脱硫技术</w:t>
            </w:r>
          </w:p>
        </w:tc>
        <w:tc>
          <w:tcPr>
            <w:tcW w:w="854" w:type="dxa"/>
            <w:vMerge w:val="continue"/>
            <w:noWrap/>
            <w:vAlign w:val="center"/>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24" w:hRule="atLeast"/>
        </w:trPr>
        <w:tc>
          <w:tcPr>
            <w:tcW w:w="1188" w:type="dxa"/>
            <w:vMerge w:val="continue"/>
            <w:noWrap/>
            <w:vAlign w:val="center"/>
          </w:tcPr>
          <w:p>
            <w:pPr>
              <w:spacing w:line="360" w:lineRule="auto"/>
              <w:jc w:val="center"/>
              <w:rPr>
                <w:color w:val="auto"/>
                <w:szCs w:val="21"/>
                <w:highlight w:val="none"/>
              </w:rPr>
            </w:pPr>
          </w:p>
        </w:tc>
        <w:tc>
          <w:tcPr>
            <w:tcW w:w="2520" w:type="dxa"/>
            <w:vMerge w:val="continue"/>
            <w:noWrap/>
            <w:vAlign w:val="center"/>
          </w:tcPr>
          <w:p>
            <w:pPr>
              <w:spacing w:line="240" w:lineRule="auto"/>
              <w:jc w:val="left"/>
              <w:rPr>
                <w:color w:val="auto"/>
                <w:szCs w:val="21"/>
                <w:highlight w:val="none"/>
              </w:rPr>
            </w:pPr>
          </w:p>
        </w:tc>
        <w:tc>
          <w:tcPr>
            <w:tcW w:w="3960" w:type="dxa"/>
            <w:tcBorders>
              <w:top w:val="single" w:color="auto" w:sz="4" w:space="0"/>
              <w:bottom w:val="single" w:color="auto" w:sz="4" w:space="0"/>
            </w:tcBorders>
            <w:noWrap/>
            <w:vAlign w:val="center"/>
          </w:tcPr>
          <w:p>
            <w:pPr>
              <w:spacing w:line="240" w:lineRule="auto"/>
              <w:jc w:val="left"/>
              <w:rPr>
                <w:color w:val="auto"/>
                <w:szCs w:val="21"/>
                <w:highlight w:val="none"/>
              </w:rPr>
            </w:pPr>
            <w:r>
              <w:rPr>
                <w:color w:val="auto"/>
                <w:szCs w:val="21"/>
                <w:highlight w:val="none"/>
              </w:rPr>
              <w:t>2</w:t>
            </w:r>
            <w:r>
              <w:rPr>
                <w:rFonts w:hint="eastAsia" w:hAnsi="宋体"/>
                <w:color w:val="auto"/>
                <w:szCs w:val="21"/>
                <w:highlight w:val="none"/>
                <w:lang w:eastAsia="zh-CN"/>
              </w:rPr>
              <w:t>.</w:t>
            </w:r>
            <w:r>
              <w:rPr>
                <w:rFonts w:hAnsi="宋体"/>
                <w:color w:val="auto"/>
                <w:szCs w:val="21"/>
                <w:highlight w:val="none"/>
              </w:rPr>
              <w:t>干法脱硫技术</w:t>
            </w:r>
          </w:p>
        </w:tc>
        <w:tc>
          <w:tcPr>
            <w:tcW w:w="854" w:type="dxa"/>
            <w:vMerge w:val="continue"/>
            <w:noWrap/>
            <w:vAlign w:val="center"/>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30" w:hRule="atLeast"/>
        </w:trPr>
        <w:tc>
          <w:tcPr>
            <w:tcW w:w="1188" w:type="dxa"/>
            <w:vMerge w:val="continue"/>
            <w:noWrap/>
            <w:vAlign w:val="center"/>
          </w:tcPr>
          <w:p>
            <w:pPr>
              <w:spacing w:line="360" w:lineRule="auto"/>
              <w:jc w:val="center"/>
              <w:rPr>
                <w:color w:val="auto"/>
                <w:szCs w:val="21"/>
                <w:highlight w:val="none"/>
              </w:rPr>
            </w:pPr>
          </w:p>
        </w:tc>
        <w:tc>
          <w:tcPr>
            <w:tcW w:w="2520" w:type="dxa"/>
            <w:vMerge w:val="continue"/>
            <w:noWrap/>
            <w:vAlign w:val="center"/>
          </w:tcPr>
          <w:p>
            <w:pPr>
              <w:spacing w:line="240" w:lineRule="auto"/>
              <w:jc w:val="left"/>
              <w:rPr>
                <w:color w:val="auto"/>
                <w:szCs w:val="21"/>
                <w:highlight w:val="none"/>
              </w:rPr>
            </w:pPr>
          </w:p>
        </w:tc>
        <w:tc>
          <w:tcPr>
            <w:tcW w:w="3960" w:type="dxa"/>
            <w:tcBorders>
              <w:top w:val="single" w:color="auto" w:sz="4" w:space="0"/>
            </w:tcBorders>
            <w:noWrap/>
            <w:vAlign w:val="center"/>
          </w:tcPr>
          <w:p>
            <w:pPr>
              <w:spacing w:line="240" w:lineRule="auto"/>
              <w:jc w:val="left"/>
              <w:rPr>
                <w:color w:val="auto"/>
                <w:szCs w:val="21"/>
                <w:highlight w:val="none"/>
              </w:rPr>
            </w:pPr>
            <w:r>
              <w:rPr>
                <w:color w:val="auto"/>
                <w:szCs w:val="21"/>
                <w:highlight w:val="none"/>
              </w:rPr>
              <w:t>3</w:t>
            </w:r>
            <w:r>
              <w:rPr>
                <w:rFonts w:hint="eastAsia" w:hAnsi="宋体"/>
                <w:color w:val="auto"/>
                <w:szCs w:val="21"/>
                <w:highlight w:val="none"/>
                <w:lang w:eastAsia="zh-CN"/>
              </w:rPr>
              <w:t>.</w:t>
            </w:r>
            <w:r>
              <w:rPr>
                <w:rFonts w:hAnsi="宋体"/>
                <w:color w:val="auto"/>
                <w:szCs w:val="21"/>
                <w:highlight w:val="none"/>
              </w:rPr>
              <w:t>有机硫水解新工艺与精脱氯技术</w:t>
            </w:r>
          </w:p>
        </w:tc>
        <w:tc>
          <w:tcPr>
            <w:tcW w:w="854" w:type="dxa"/>
            <w:vMerge w:val="continue"/>
            <w:noWrap/>
            <w:vAlign w:val="center"/>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3" w:hRule="atLeast"/>
        </w:trPr>
        <w:tc>
          <w:tcPr>
            <w:tcW w:w="1188" w:type="dxa"/>
            <w:vMerge w:val="continue"/>
            <w:noWrap/>
            <w:vAlign w:val="center"/>
          </w:tcPr>
          <w:p>
            <w:pPr>
              <w:spacing w:line="360" w:lineRule="auto"/>
              <w:jc w:val="center"/>
              <w:rPr>
                <w:color w:val="auto"/>
                <w:szCs w:val="21"/>
                <w:highlight w:val="none"/>
              </w:rPr>
            </w:pPr>
          </w:p>
        </w:tc>
        <w:tc>
          <w:tcPr>
            <w:tcW w:w="2520" w:type="dxa"/>
            <w:vMerge w:val="restart"/>
            <w:noWrap/>
            <w:vAlign w:val="center"/>
          </w:tcPr>
          <w:p>
            <w:pPr>
              <w:spacing w:line="240" w:lineRule="auto"/>
              <w:jc w:val="left"/>
              <w:rPr>
                <w:color w:val="auto"/>
                <w:szCs w:val="21"/>
                <w:highlight w:val="none"/>
              </w:rPr>
            </w:pPr>
            <w:r>
              <w:rPr>
                <w:color w:val="auto"/>
                <w:szCs w:val="21"/>
                <w:highlight w:val="none"/>
              </w:rPr>
              <w:t>3</w:t>
            </w:r>
            <w:r>
              <w:rPr>
                <w:rFonts w:hint="eastAsia" w:hAnsi="宋体"/>
                <w:color w:val="auto"/>
                <w:szCs w:val="21"/>
                <w:highlight w:val="none"/>
                <w:lang w:eastAsia="zh-CN"/>
              </w:rPr>
              <w:t>.</w:t>
            </w:r>
            <w:r>
              <w:rPr>
                <w:rFonts w:hAnsi="宋体"/>
                <w:color w:val="auto"/>
                <w:szCs w:val="21"/>
                <w:highlight w:val="none"/>
              </w:rPr>
              <w:t>原料气的变换</w:t>
            </w:r>
          </w:p>
        </w:tc>
        <w:tc>
          <w:tcPr>
            <w:tcW w:w="3960" w:type="dxa"/>
            <w:tcBorders>
              <w:bottom w:val="single" w:color="auto" w:sz="4" w:space="0"/>
            </w:tcBorders>
            <w:noWrap/>
            <w:vAlign w:val="center"/>
          </w:tcPr>
          <w:p>
            <w:pPr>
              <w:spacing w:line="240" w:lineRule="auto"/>
              <w:jc w:val="left"/>
              <w:rPr>
                <w:color w:val="auto"/>
                <w:szCs w:val="21"/>
                <w:highlight w:val="none"/>
              </w:rPr>
            </w:pPr>
            <w:r>
              <w:rPr>
                <w:color w:val="auto"/>
                <w:szCs w:val="21"/>
                <w:highlight w:val="none"/>
              </w:rPr>
              <w:t>1</w:t>
            </w:r>
            <w:r>
              <w:rPr>
                <w:rFonts w:hint="eastAsia" w:hAnsi="宋体"/>
                <w:color w:val="auto"/>
                <w:szCs w:val="21"/>
                <w:highlight w:val="none"/>
                <w:lang w:eastAsia="zh-CN"/>
              </w:rPr>
              <w:t>.</w:t>
            </w:r>
            <w:r>
              <w:rPr>
                <w:rFonts w:hAnsi="宋体"/>
                <w:color w:val="auto"/>
                <w:szCs w:val="21"/>
                <w:highlight w:val="none"/>
              </w:rPr>
              <w:t>变换反应与变换催化剂的选择</w:t>
            </w:r>
          </w:p>
        </w:tc>
        <w:tc>
          <w:tcPr>
            <w:tcW w:w="854" w:type="dxa"/>
            <w:vMerge w:val="continue"/>
            <w:noWrap/>
            <w:vAlign w:val="center"/>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5" w:hRule="atLeast"/>
        </w:trPr>
        <w:tc>
          <w:tcPr>
            <w:tcW w:w="1188" w:type="dxa"/>
            <w:vMerge w:val="continue"/>
            <w:noWrap/>
            <w:vAlign w:val="center"/>
          </w:tcPr>
          <w:p>
            <w:pPr>
              <w:spacing w:line="360" w:lineRule="auto"/>
              <w:jc w:val="center"/>
              <w:rPr>
                <w:color w:val="auto"/>
                <w:szCs w:val="21"/>
                <w:highlight w:val="none"/>
              </w:rPr>
            </w:pPr>
          </w:p>
        </w:tc>
        <w:tc>
          <w:tcPr>
            <w:tcW w:w="2520" w:type="dxa"/>
            <w:vMerge w:val="continue"/>
            <w:noWrap/>
            <w:vAlign w:val="center"/>
          </w:tcPr>
          <w:p>
            <w:pPr>
              <w:spacing w:line="240" w:lineRule="auto"/>
              <w:jc w:val="left"/>
              <w:rPr>
                <w:color w:val="auto"/>
                <w:szCs w:val="21"/>
                <w:highlight w:val="none"/>
              </w:rPr>
            </w:pPr>
          </w:p>
        </w:tc>
        <w:tc>
          <w:tcPr>
            <w:tcW w:w="3960" w:type="dxa"/>
            <w:tcBorders>
              <w:top w:val="single" w:color="auto" w:sz="4" w:space="0"/>
            </w:tcBorders>
            <w:noWrap/>
            <w:vAlign w:val="center"/>
          </w:tcPr>
          <w:p>
            <w:pPr>
              <w:spacing w:line="240" w:lineRule="auto"/>
              <w:jc w:val="left"/>
              <w:rPr>
                <w:color w:val="auto"/>
                <w:szCs w:val="21"/>
                <w:highlight w:val="none"/>
              </w:rPr>
            </w:pPr>
            <w:r>
              <w:rPr>
                <w:color w:val="auto"/>
                <w:szCs w:val="21"/>
                <w:highlight w:val="none"/>
              </w:rPr>
              <w:t>2</w:t>
            </w:r>
            <w:r>
              <w:rPr>
                <w:rFonts w:hint="eastAsia" w:hAnsi="宋体"/>
                <w:color w:val="auto"/>
                <w:szCs w:val="21"/>
                <w:highlight w:val="none"/>
                <w:lang w:eastAsia="zh-CN"/>
              </w:rPr>
              <w:t>.</w:t>
            </w:r>
            <w:r>
              <w:rPr>
                <w:rFonts w:hAnsi="宋体"/>
                <w:color w:val="auto"/>
                <w:szCs w:val="21"/>
                <w:highlight w:val="none"/>
              </w:rPr>
              <w:t>变换工艺条件的优化和工艺流程组织</w:t>
            </w:r>
          </w:p>
        </w:tc>
        <w:tc>
          <w:tcPr>
            <w:tcW w:w="854" w:type="dxa"/>
            <w:vMerge w:val="continue"/>
            <w:noWrap/>
            <w:vAlign w:val="center"/>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0" w:hRule="atLeast"/>
        </w:trPr>
        <w:tc>
          <w:tcPr>
            <w:tcW w:w="1188" w:type="dxa"/>
            <w:vMerge w:val="continue"/>
            <w:noWrap/>
            <w:vAlign w:val="center"/>
          </w:tcPr>
          <w:p>
            <w:pPr>
              <w:spacing w:line="360" w:lineRule="auto"/>
              <w:jc w:val="center"/>
              <w:rPr>
                <w:color w:val="auto"/>
                <w:szCs w:val="21"/>
                <w:highlight w:val="none"/>
              </w:rPr>
            </w:pPr>
          </w:p>
        </w:tc>
        <w:tc>
          <w:tcPr>
            <w:tcW w:w="2520" w:type="dxa"/>
            <w:vMerge w:val="restart"/>
            <w:noWrap/>
            <w:vAlign w:val="center"/>
          </w:tcPr>
          <w:p>
            <w:pPr>
              <w:spacing w:line="240" w:lineRule="auto"/>
              <w:jc w:val="left"/>
              <w:rPr>
                <w:color w:val="auto"/>
                <w:szCs w:val="21"/>
                <w:highlight w:val="none"/>
              </w:rPr>
            </w:pPr>
            <w:r>
              <w:rPr>
                <w:color w:val="auto"/>
                <w:szCs w:val="21"/>
                <w:highlight w:val="none"/>
              </w:rPr>
              <w:t>4</w:t>
            </w:r>
            <w:r>
              <w:rPr>
                <w:rFonts w:hint="eastAsia" w:hAnsi="宋体"/>
                <w:color w:val="auto"/>
                <w:szCs w:val="21"/>
                <w:highlight w:val="none"/>
                <w:lang w:eastAsia="zh-CN"/>
              </w:rPr>
              <w:t>.</w:t>
            </w:r>
            <w:r>
              <w:rPr>
                <w:rFonts w:hAnsi="宋体"/>
                <w:color w:val="auto"/>
                <w:szCs w:val="21"/>
                <w:highlight w:val="none"/>
              </w:rPr>
              <w:t>原料气的脱碳</w:t>
            </w:r>
          </w:p>
        </w:tc>
        <w:tc>
          <w:tcPr>
            <w:tcW w:w="3960" w:type="dxa"/>
            <w:tcBorders>
              <w:top w:val="single" w:color="auto" w:sz="4" w:space="0"/>
            </w:tcBorders>
            <w:noWrap/>
            <w:vAlign w:val="center"/>
          </w:tcPr>
          <w:p>
            <w:pPr>
              <w:adjustRightInd w:val="0"/>
              <w:snapToGrid w:val="0"/>
              <w:spacing w:line="240" w:lineRule="auto"/>
              <w:jc w:val="left"/>
              <w:rPr>
                <w:color w:val="auto"/>
                <w:szCs w:val="21"/>
                <w:highlight w:val="none"/>
              </w:rPr>
            </w:pPr>
            <w:r>
              <w:rPr>
                <w:color w:val="auto"/>
                <w:szCs w:val="21"/>
                <w:highlight w:val="none"/>
              </w:rPr>
              <w:t>1</w:t>
            </w:r>
            <w:r>
              <w:rPr>
                <w:rFonts w:hint="eastAsia" w:hAnsi="宋体"/>
                <w:color w:val="auto"/>
                <w:szCs w:val="21"/>
                <w:highlight w:val="none"/>
                <w:lang w:eastAsia="zh-CN"/>
              </w:rPr>
              <w:t>.</w:t>
            </w:r>
            <w:r>
              <w:rPr>
                <w:rFonts w:hAnsi="宋体"/>
                <w:color w:val="auto"/>
                <w:szCs w:val="21"/>
                <w:highlight w:val="none"/>
              </w:rPr>
              <w:t>湿法脱碳技术</w:t>
            </w:r>
          </w:p>
        </w:tc>
        <w:tc>
          <w:tcPr>
            <w:tcW w:w="854" w:type="dxa"/>
            <w:vMerge w:val="continue"/>
            <w:noWrap/>
            <w:vAlign w:val="center"/>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0" w:hRule="atLeast"/>
        </w:trPr>
        <w:tc>
          <w:tcPr>
            <w:tcW w:w="1188" w:type="dxa"/>
            <w:vMerge w:val="continue"/>
            <w:noWrap/>
          </w:tcPr>
          <w:p>
            <w:pPr>
              <w:spacing w:line="360" w:lineRule="auto"/>
              <w:jc w:val="center"/>
              <w:rPr>
                <w:color w:val="auto"/>
                <w:szCs w:val="21"/>
                <w:highlight w:val="none"/>
              </w:rPr>
            </w:pPr>
          </w:p>
        </w:tc>
        <w:tc>
          <w:tcPr>
            <w:tcW w:w="2520" w:type="dxa"/>
            <w:vMerge w:val="continue"/>
            <w:noWrap/>
            <w:vAlign w:val="center"/>
          </w:tcPr>
          <w:p>
            <w:pPr>
              <w:spacing w:line="240" w:lineRule="auto"/>
              <w:jc w:val="left"/>
              <w:rPr>
                <w:color w:val="auto"/>
                <w:szCs w:val="21"/>
                <w:highlight w:val="none"/>
              </w:rPr>
            </w:pPr>
          </w:p>
        </w:tc>
        <w:tc>
          <w:tcPr>
            <w:tcW w:w="3960" w:type="dxa"/>
            <w:noWrap/>
            <w:vAlign w:val="center"/>
          </w:tcPr>
          <w:p>
            <w:pPr>
              <w:adjustRightInd w:val="0"/>
              <w:snapToGrid w:val="0"/>
              <w:spacing w:line="240" w:lineRule="auto"/>
              <w:jc w:val="left"/>
              <w:rPr>
                <w:color w:val="auto"/>
                <w:szCs w:val="21"/>
                <w:highlight w:val="none"/>
              </w:rPr>
            </w:pPr>
            <w:r>
              <w:rPr>
                <w:color w:val="auto"/>
                <w:szCs w:val="21"/>
                <w:highlight w:val="none"/>
              </w:rPr>
              <w:t>2</w:t>
            </w:r>
            <w:r>
              <w:rPr>
                <w:rFonts w:hint="eastAsia" w:hAnsi="宋体"/>
                <w:color w:val="auto"/>
                <w:szCs w:val="21"/>
                <w:highlight w:val="none"/>
                <w:lang w:eastAsia="zh-CN"/>
              </w:rPr>
              <w:t>.</w:t>
            </w:r>
            <w:r>
              <w:rPr>
                <w:rFonts w:hAnsi="宋体"/>
                <w:color w:val="auto"/>
                <w:szCs w:val="21"/>
                <w:highlight w:val="none"/>
              </w:rPr>
              <w:t>干法脱碳技术</w:t>
            </w:r>
          </w:p>
        </w:tc>
        <w:tc>
          <w:tcPr>
            <w:tcW w:w="854" w:type="dxa"/>
            <w:vMerge w:val="continue"/>
            <w:noWrap/>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0" w:hRule="atLeast"/>
        </w:trPr>
        <w:tc>
          <w:tcPr>
            <w:tcW w:w="1188" w:type="dxa"/>
            <w:vMerge w:val="continue"/>
            <w:noWrap/>
          </w:tcPr>
          <w:p>
            <w:pPr>
              <w:spacing w:line="360" w:lineRule="auto"/>
              <w:jc w:val="center"/>
              <w:rPr>
                <w:color w:val="auto"/>
                <w:szCs w:val="21"/>
                <w:highlight w:val="none"/>
              </w:rPr>
            </w:pPr>
          </w:p>
        </w:tc>
        <w:tc>
          <w:tcPr>
            <w:tcW w:w="2520" w:type="dxa"/>
            <w:vMerge w:val="restart"/>
            <w:noWrap/>
            <w:vAlign w:val="center"/>
          </w:tcPr>
          <w:p>
            <w:pPr>
              <w:spacing w:line="240" w:lineRule="auto"/>
              <w:jc w:val="left"/>
              <w:rPr>
                <w:color w:val="auto"/>
                <w:szCs w:val="21"/>
                <w:highlight w:val="none"/>
              </w:rPr>
            </w:pPr>
            <w:r>
              <w:rPr>
                <w:color w:val="auto"/>
                <w:szCs w:val="21"/>
                <w:highlight w:val="none"/>
              </w:rPr>
              <w:t>5</w:t>
            </w:r>
            <w:r>
              <w:rPr>
                <w:rFonts w:hint="eastAsia" w:hAnsi="宋体"/>
                <w:color w:val="auto"/>
                <w:szCs w:val="21"/>
                <w:highlight w:val="none"/>
                <w:lang w:eastAsia="zh-CN"/>
              </w:rPr>
              <w:t>.</w:t>
            </w:r>
            <w:r>
              <w:rPr>
                <w:rFonts w:hAnsi="宋体"/>
                <w:color w:val="auto"/>
                <w:szCs w:val="21"/>
                <w:highlight w:val="none"/>
              </w:rPr>
              <w:t>原料气的精致</w:t>
            </w:r>
          </w:p>
        </w:tc>
        <w:tc>
          <w:tcPr>
            <w:tcW w:w="3960" w:type="dxa"/>
            <w:noWrap/>
            <w:vAlign w:val="center"/>
          </w:tcPr>
          <w:p>
            <w:pPr>
              <w:spacing w:line="240" w:lineRule="auto"/>
              <w:jc w:val="left"/>
              <w:rPr>
                <w:color w:val="auto"/>
                <w:szCs w:val="21"/>
                <w:highlight w:val="none"/>
              </w:rPr>
            </w:pPr>
            <w:r>
              <w:rPr>
                <w:color w:val="auto"/>
                <w:szCs w:val="21"/>
                <w:highlight w:val="none"/>
              </w:rPr>
              <w:t>1</w:t>
            </w:r>
            <w:r>
              <w:rPr>
                <w:rFonts w:hint="eastAsia" w:hAnsi="宋体"/>
                <w:color w:val="auto"/>
                <w:szCs w:val="21"/>
                <w:highlight w:val="none"/>
                <w:lang w:eastAsia="zh-CN"/>
              </w:rPr>
              <w:t>.</w:t>
            </w:r>
            <w:r>
              <w:rPr>
                <w:rFonts w:hAnsi="宋体"/>
                <w:color w:val="auto"/>
                <w:szCs w:val="21"/>
                <w:highlight w:val="none"/>
              </w:rPr>
              <w:t>醋酸铜氨溶液洗涤法</w:t>
            </w:r>
          </w:p>
        </w:tc>
        <w:tc>
          <w:tcPr>
            <w:tcW w:w="854" w:type="dxa"/>
            <w:vMerge w:val="continue"/>
            <w:noWrap/>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0" w:hRule="atLeast"/>
        </w:trPr>
        <w:tc>
          <w:tcPr>
            <w:tcW w:w="1188" w:type="dxa"/>
            <w:vMerge w:val="continue"/>
            <w:noWrap/>
          </w:tcPr>
          <w:p>
            <w:pPr>
              <w:spacing w:line="360" w:lineRule="auto"/>
              <w:jc w:val="center"/>
              <w:rPr>
                <w:color w:val="auto"/>
                <w:szCs w:val="21"/>
                <w:highlight w:val="none"/>
              </w:rPr>
            </w:pPr>
          </w:p>
        </w:tc>
        <w:tc>
          <w:tcPr>
            <w:tcW w:w="2520" w:type="dxa"/>
            <w:vMerge w:val="continue"/>
            <w:noWrap/>
            <w:vAlign w:val="center"/>
          </w:tcPr>
          <w:p>
            <w:pPr>
              <w:spacing w:line="240" w:lineRule="auto"/>
              <w:jc w:val="left"/>
              <w:rPr>
                <w:color w:val="auto"/>
                <w:szCs w:val="21"/>
                <w:highlight w:val="none"/>
              </w:rPr>
            </w:pPr>
          </w:p>
        </w:tc>
        <w:tc>
          <w:tcPr>
            <w:tcW w:w="3960" w:type="dxa"/>
            <w:noWrap/>
            <w:vAlign w:val="center"/>
          </w:tcPr>
          <w:p>
            <w:pPr>
              <w:spacing w:line="240" w:lineRule="auto"/>
              <w:jc w:val="left"/>
              <w:rPr>
                <w:color w:val="auto"/>
                <w:szCs w:val="21"/>
                <w:highlight w:val="none"/>
              </w:rPr>
            </w:pPr>
            <w:r>
              <w:rPr>
                <w:color w:val="auto"/>
                <w:szCs w:val="21"/>
                <w:highlight w:val="none"/>
              </w:rPr>
              <w:t>2</w:t>
            </w:r>
            <w:r>
              <w:rPr>
                <w:rFonts w:hint="eastAsia" w:hAnsi="宋体"/>
                <w:color w:val="auto"/>
                <w:szCs w:val="21"/>
                <w:highlight w:val="none"/>
                <w:lang w:eastAsia="zh-CN"/>
              </w:rPr>
              <w:t>.</w:t>
            </w:r>
            <w:r>
              <w:rPr>
                <w:rFonts w:hAnsi="宋体"/>
                <w:color w:val="auto"/>
                <w:szCs w:val="21"/>
                <w:highlight w:val="none"/>
              </w:rPr>
              <w:t>低变甲烷化工艺</w:t>
            </w:r>
          </w:p>
        </w:tc>
        <w:tc>
          <w:tcPr>
            <w:tcW w:w="854" w:type="dxa"/>
            <w:vMerge w:val="continue"/>
            <w:noWrap/>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0" w:hRule="atLeast"/>
        </w:trPr>
        <w:tc>
          <w:tcPr>
            <w:tcW w:w="1188" w:type="dxa"/>
            <w:vMerge w:val="continue"/>
            <w:noWrap/>
          </w:tcPr>
          <w:p>
            <w:pPr>
              <w:spacing w:line="360" w:lineRule="auto"/>
              <w:jc w:val="center"/>
              <w:rPr>
                <w:color w:val="auto"/>
                <w:szCs w:val="21"/>
                <w:highlight w:val="none"/>
              </w:rPr>
            </w:pPr>
          </w:p>
        </w:tc>
        <w:tc>
          <w:tcPr>
            <w:tcW w:w="2520" w:type="dxa"/>
            <w:vMerge w:val="continue"/>
            <w:noWrap/>
            <w:vAlign w:val="center"/>
          </w:tcPr>
          <w:p>
            <w:pPr>
              <w:spacing w:line="240" w:lineRule="auto"/>
              <w:jc w:val="left"/>
              <w:rPr>
                <w:color w:val="auto"/>
                <w:szCs w:val="21"/>
                <w:highlight w:val="none"/>
              </w:rPr>
            </w:pPr>
          </w:p>
        </w:tc>
        <w:tc>
          <w:tcPr>
            <w:tcW w:w="3960" w:type="dxa"/>
            <w:noWrap/>
            <w:vAlign w:val="center"/>
          </w:tcPr>
          <w:p>
            <w:pPr>
              <w:spacing w:line="240" w:lineRule="auto"/>
              <w:jc w:val="left"/>
              <w:rPr>
                <w:color w:val="auto"/>
                <w:szCs w:val="21"/>
                <w:highlight w:val="none"/>
              </w:rPr>
            </w:pPr>
            <w:r>
              <w:rPr>
                <w:color w:val="auto"/>
                <w:szCs w:val="21"/>
                <w:highlight w:val="none"/>
              </w:rPr>
              <w:t>3</w:t>
            </w:r>
            <w:r>
              <w:rPr>
                <w:rFonts w:hint="eastAsia" w:hAnsi="宋体"/>
                <w:color w:val="auto"/>
                <w:szCs w:val="21"/>
                <w:highlight w:val="none"/>
                <w:lang w:eastAsia="zh-CN"/>
              </w:rPr>
              <w:t>.</w:t>
            </w:r>
            <w:r>
              <w:rPr>
                <w:rFonts w:hAnsi="宋体"/>
                <w:color w:val="auto"/>
                <w:szCs w:val="21"/>
                <w:highlight w:val="none"/>
              </w:rPr>
              <w:t>双甲工艺</w:t>
            </w:r>
          </w:p>
        </w:tc>
        <w:tc>
          <w:tcPr>
            <w:tcW w:w="854" w:type="dxa"/>
            <w:vMerge w:val="continue"/>
            <w:noWrap/>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0" w:hRule="atLeast"/>
        </w:trPr>
        <w:tc>
          <w:tcPr>
            <w:tcW w:w="1188" w:type="dxa"/>
            <w:vMerge w:val="continue"/>
            <w:noWrap/>
          </w:tcPr>
          <w:p>
            <w:pPr>
              <w:spacing w:line="360" w:lineRule="auto"/>
              <w:jc w:val="center"/>
              <w:rPr>
                <w:color w:val="auto"/>
                <w:szCs w:val="21"/>
                <w:highlight w:val="none"/>
              </w:rPr>
            </w:pPr>
          </w:p>
        </w:tc>
        <w:tc>
          <w:tcPr>
            <w:tcW w:w="2520" w:type="dxa"/>
            <w:vMerge w:val="continue"/>
            <w:noWrap/>
            <w:vAlign w:val="center"/>
          </w:tcPr>
          <w:p>
            <w:pPr>
              <w:spacing w:line="240" w:lineRule="auto"/>
              <w:jc w:val="left"/>
              <w:rPr>
                <w:color w:val="auto"/>
                <w:szCs w:val="21"/>
                <w:highlight w:val="none"/>
              </w:rPr>
            </w:pPr>
          </w:p>
        </w:tc>
        <w:tc>
          <w:tcPr>
            <w:tcW w:w="3960" w:type="dxa"/>
            <w:noWrap/>
            <w:vAlign w:val="center"/>
          </w:tcPr>
          <w:p>
            <w:pPr>
              <w:spacing w:line="240" w:lineRule="auto"/>
              <w:jc w:val="left"/>
              <w:rPr>
                <w:color w:val="auto"/>
                <w:szCs w:val="21"/>
                <w:highlight w:val="none"/>
              </w:rPr>
            </w:pPr>
            <w:r>
              <w:rPr>
                <w:color w:val="auto"/>
                <w:szCs w:val="21"/>
                <w:highlight w:val="none"/>
              </w:rPr>
              <w:t>4</w:t>
            </w:r>
            <w:r>
              <w:rPr>
                <w:rFonts w:hint="eastAsia" w:hAnsi="宋体"/>
                <w:color w:val="auto"/>
                <w:szCs w:val="21"/>
                <w:highlight w:val="none"/>
                <w:lang w:eastAsia="zh-CN"/>
              </w:rPr>
              <w:t>.</w:t>
            </w:r>
            <w:r>
              <w:rPr>
                <w:rFonts w:hAnsi="宋体"/>
                <w:color w:val="auto"/>
                <w:szCs w:val="21"/>
                <w:highlight w:val="none"/>
              </w:rPr>
              <w:t>醇烃化与醇醚化工艺</w:t>
            </w:r>
          </w:p>
        </w:tc>
        <w:tc>
          <w:tcPr>
            <w:tcW w:w="854" w:type="dxa"/>
            <w:vMerge w:val="continue"/>
            <w:noWrap/>
          </w:tcPr>
          <w:p>
            <w:pPr>
              <w:spacing w:line="360" w:lineRule="auto"/>
              <w:jc w:val="center"/>
              <w:rPr>
                <w:color w:val="auto"/>
                <w:szCs w:val="21"/>
                <w:highlight w:val="none"/>
              </w:rPr>
            </w:pPr>
          </w:p>
        </w:tc>
      </w:tr>
    </w:tbl>
    <w:p>
      <w:pPr>
        <w:spacing w:line="360" w:lineRule="auto"/>
        <w:jc w:val="center"/>
        <w:rPr>
          <w:color w:val="auto"/>
          <w:szCs w:val="21"/>
          <w:highlight w:val="none"/>
        </w:rPr>
        <w:sectPr>
          <w:footerReference r:id="rId12" w:type="default"/>
          <w:pgSz w:w="11906" w:h="16838"/>
          <w:pgMar w:top="1440" w:right="1797" w:bottom="1440" w:left="1797" w:header="851" w:footer="992" w:gutter="0"/>
          <w:cols w:space="720" w:num="1"/>
          <w:docGrid w:type="lines" w:linePitch="312" w:charSpace="0"/>
        </w:sectPr>
      </w:pPr>
    </w:p>
    <w:tbl>
      <w:tblPr>
        <w:tblStyle w:val="14"/>
        <w:tblW w:w="8522"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188"/>
        <w:gridCol w:w="2520"/>
        <w:gridCol w:w="3960"/>
        <w:gridCol w:w="854"/>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77" w:hRule="atLeast"/>
        </w:trPr>
        <w:tc>
          <w:tcPr>
            <w:tcW w:w="1188" w:type="dxa"/>
            <w:vMerge w:val="restart"/>
            <w:tcBorders>
              <w:right w:val="single" w:color="auto" w:sz="4" w:space="0"/>
            </w:tcBorders>
            <w:noWrap/>
            <w:vAlign w:val="center"/>
          </w:tcPr>
          <w:p>
            <w:pPr>
              <w:spacing w:line="360" w:lineRule="auto"/>
              <w:jc w:val="center"/>
              <w:rPr>
                <w:color w:val="auto"/>
                <w:szCs w:val="21"/>
                <w:highlight w:val="none"/>
              </w:rPr>
            </w:pPr>
          </w:p>
        </w:tc>
        <w:tc>
          <w:tcPr>
            <w:tcW w:w="2520" w:type="dxa"/>
            <w:vMerge w:val="restart"/>
            <w:tcBorders>
              <w:top w:val="single" w:color="auto" w:sz="4" w:space="0"/>
              <w:left w:val="single" w:color="auto" w:sz="4" w:space="0"/>
              <w:bottom w:val="single" w:color="auto" w:sz="4" w:space="0"/>
              <w:right w:val="single" w:color="auto" w:sz="4" w:space="0"/>
            </w:tcBorders>
            <w:noWrap/>
            <w:vAlign w:val="center"/>
          </w:tcPr>
          <w:p>
            <w:pPr>
              <w:spacing w:line="240" w:lineRule="auto"/>
              <w:jc w:val="left"/>
              <w:rPr>
                <w:color w:val="auto"/>
                <w:szCs w:val="21"/>
                <w:highlight w:val="none"/>
              </w:rPr>
            </w:pPr>
            <w:r>
              <w:rPr>
                <w:color w:val="auto"/>
                <w:szCs w:val="21"/>
                <w:highlight w:val="none"/>
              </w:rPr>
              <w:t>6</w:t>
            </w:r>
            <w:r>
              <w:rPr>
                <w:rFonts w:hint="eastAsia" w:hAnsi="宋体"/>
                <w:color w:val="auto"/>
                <w:szCs w:val="21"/>
                <w:highlight w:val="none"/>
                <w:lang w:eastAsia="zh-CN"/>
              </w:rPr>
              <w:t>.</w:t>
            </w:r>
            <w:r>
              <w:rPr>
                <w:rFonts w:hAnsi="宋体"/>
                <w:color w:val="auto"/>
                <w:szCs w:val="21"/>
                <w:highlight w:val="none"/>
              </w:rPr>
              <w:t>氨的合成</w:t>
            </w:r>
          </w:p>
        </w:tc>
        <w:tc>
          <w:tcPr>
            <w:tcW w:w="3960" w:type="dxa"/>
            <w:tcBorders>
              <w:top w:val="single" w:color="auto" w:sz="4" w:space="0"/>
              <w:left w:val="single" w:color="auto" w:sz="4" w:space="0"/>
              <w:bottom w:val="single" w:color="auto" w:sz="4" w:space="0"/>
              <w:right w:val="single" w:color="auto" w:sz="4" w:space="0"/>
            </w:tcBorders>
            <w:noWrap/>
            <w:vAlign w:val="center"/>
          </w:tcPr>
          <w:p>
            <w:pPr>
              <w:spacing w:line="240" w:lineRule="auto"/>
              <w:jc w:val="left"/>
              <w:rPr>
                <w:color w:val="auto"/>
                <w:szCs w:val="21"/>
                <w:highlight w:val="none"/>
              </w:rPr>
            </w:pPr>
            <w:r>
              <w:rPr>
                <w:color w:val="auto"/>
                <w:szCs w:val="21"/>
                <w:highlight w:val="none"/>
              </w:rPr>
              <w:t>1</w:t>
            </w:r>
            <w:r>
              <w:rPr>
                <w:rFonts w:hint="eastAsia" w:hAnsi="宋体"/>
                <w:color w:val="auto"/>
                <w:szCs w:val="21"/>
                <w:highlight w:val="none"/>
                <w:lang w:eastAsia="zh-CN"/>
              </w:rPr>
              <w:t>.</w:t>
            </w:r>
            <w:r>
              <w:rPr>
                <w:rFonts w:hAnsi="宋体"/>
                <w:color w:val="auto"/>
                <w:szCs w:val="21"/>
                <w:highlight w:val="none"/>
              </w:rPr>
              <w:t>氨合成工艺的基本原理</w:t>
            </w:r>
          </w:p>
        </w:tc>
        <w:tc>
          <w:tcPr>
            <w:tcW w:w="854" w:type="dxa"/>
            <w:vMerge w:val="restart"/>
            <w:tcBorders>
              <w:top w:val="single" w:color="auto" w:sz="4" w:space="0"/>
              <w:left w:val="single" w:color="auto" w:sz="4" w:space="0"/>
              <w:bottom w:val="single" w:color="auto" w:sz="4" w:space="0"/>
              <w:right w:val="single" w:color="auto" w:sz="4" w:space="0"/>
            </w:tcBorders>
            <w:noWrap/>
            <w:vAlign w:val="center"/>
          </w:tcPr>
          <w:p>
            <w:pPr>
              <w:spacing w:line="360" w:lineRule="auto"/>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36" w:hRule="atLeast"/>
        </w:trPr>
        <w:tc>
          <w:tcPr>
            <w:tcW w:w="1188" w:type="dxa"/>
            <w:vMerge w:val="continue"/>
            <w:tcBorders>
              <w:right w:val="single" w:color="auto" w:sz="4" w:space="0"/>
            </w:tcBorders>
            <w:noWrap/>
            <w:vAlign w:val="center"/>
          </w:tcPr>
          <w:p>
            <w:pPr>
              <w:spacing w:line="360" w:lineRule="auto"/>
              <w:jc w:val="center"/>
              <w:rPr>
                <w:color w:val="auto"/>
                <w:szCs w:val="21"/>
                <w:highlight w:val="none"/>
              </w:rPr>
            </w:pPr>
          </w:p>
        </w:tc>
        <w:tc>
          <w:tcPr>
            <w:tcW w:w="2520" w:type="dxa"/>
            <w:vMerge w:val="continue"/>
            <w:tcBorders>
              <w:top w:val="single" w:color="auto" w:sz="4" w:space="0"/>
              <w:left w:val="single" w:color="auto" w:sz="4" w:space="0"/>
            </w:tcBorders>
            <w:noWrap/>
            <w:vAlign w:val="center"/>
          </w:tcPr>
          <w:p>
            <w:pPr>
              <w:spacing w:line="240" w:lineRule="auto"/>
              <w:jc w:val="left"/>
              <w:rPr>
                <w:color w:val="auto"/>
                <w:szCs w:val="21"/>
                <w:highlight w:val="none"/>
              </w:rPr>
            </w:pPr>
          </w:p>
        </w:tc>
        <w:tc>
          <w:tcPr>
            <w:tcW w:w="3960" w:type="dxa"/>
            <w:tcBorders>
              <w:top w:val="single" w:color="auto" w:sz="4" w:space="0"/>
              <w:bottom w:val="single" w:color="auto" w:sz="4" w:space="0"/>
            </w:tcBorders>
            <w:noWrap/>
            <w:vAlign w:val="center"/>
          </w:tcPr>
          <w:p>
            <w:pPr>
              <w:spacing w:line="240" w:lineRule="auto"/>
              <w:jc w:val="left"/>
              <w:rPr>
                <w:color w:val="auto"/>
                <w:szCs w:val="21"/>
                <w:highlight w:val="none"/>
              </w:rPr>
            </w:pPr>
            <w:r>
              <w:rPr>
                <w:color w:val="auto"/>
                <w:szCs w:val="21"/>
                <w:highlight w:val="none"/>
              </w:rPr>
              <w:t>2</w:t>
            </w:r>
            <w:r>
              <w:rPr>
                <w:rFonts w:hint="eastAsia" w:hAnsi="宋体"/>
                <w:color w:val="auto"/>
                <w:szCs w:val="21"/>
                <w:highlight w:val="none"/>
                <w:lang w:eastAsia="zh-CN"/>
              </w:rPr>
              <w:t>.</w:t>
            </w:r>
            <w:r>
              <w:rPr>
                <w:rFonts w:hAnsi="宋体"/>
                <w:color w:val="auto"/>
                <w:szCs w:val="21"/>
                <w:highlight w:val="none"/>
              </w:rPr>
              <w:t>氨合成催化剂</w:t>
            </w:r>
          </w:p>
        </w:tc>
        <w:tc>
          <w:tcPr>
            <w:tcW w:w="854" w:type="dxa"/>
            <w:vMerge w:val="continue"/>
            <w:tcBorders>
              <w:top w:val="single" w:color="auto" w:sz="4" w:space="0"/>
              <w:right w:val="single" w:color="auto" w:sz="4" w:space="0"/>
            </w:tcBorders>
            <w:noWrap/>
            <w:vAlign w:val="center"/>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16" w:hRule="atLeast"/>
        </w:trPr>
        <w:tc>
          <w:tcPr>
            <w:tcW w:w="1188" w:type="dxa"/>
            <w:vMerge w:val="continue"/>
            <w:tcBorders>
              <w:right w:val="single" w:color="auto" w:sz="4" w:space="0"/>
            </w:tcBorders>
            <w:noWrap/>
            <w:vAlign w:val="center"/>
          </w:tcPr>
          <w:p>
            <w:pPr>
              <w:spacing w:line="360" w:lineRule="auto"/>
              <w:jc w:val="center"/>
              <w:rPr>
                <w:color w:val="auto"/>
                <w:szCs w:val="21"/>
                <w:highlight w:val="none"/>
              </w:rPr>
            </w:pPr>
          </w:p>
        </w:tc>
        <w:tc>
          <w:tcPr>
            <w:tcW w:w="2520" w:type="dxa"/>
            <w:vMerge w:val="continue"/>
            <w:tcBorders>
              <w:left w:val="single" w:color="auto" w:sz="4" w:space="0"/>
            </w:tcBorders>
            <w:noWrap/>
            <w:vAlign w:val="center"/>
          </w:tcPr>
          <w:p>
            <w:pPr>
              <w:spacing w:line="240" w:lineRule="auto"/>
              <w:jc w:val="left"/>
              <w:rPr>
                <w:color w:val="auto"/>
                <w:szCs w:val="21"/>
                <w:highlight w:val="none"/>
              </w:rPr>
            </w:pPr>
          </w:p>
        </w:tc>
        <w:tc>
          <w:tcPr>
            <w:tcW w:w="3960" w:type="dxa"/>
            <w:tcBorders>
              <w:top w:val="single" w:color="auto" w:sz="4" w:space="0"/>
              <w:bottom w:val="single" w:color="auto" w:sz="4" w:space="0"/>
            </w:tcBorders>
            <w:noWrap/>
            <w:vAlign w:val="center"/>
          </w:tcPr>
          <w:p>
            <w:pPr>
              <w:spacing w:line="240" w:lineRule="auto"/>
              <w:jc w:val="left"/>
              <w:rPr>
                <w:color w:val="auto"/>
                <w:szCs w:val="21"/>
                <w:highlight w:val="none"/>
              </w:rPr>
            </w:pPr>
            <w:r>
              <w:rPr>
                <w:color w:val="auto"/>
                <w:szCs w:val="21"/>
                <w:highlight w:val="none"/>
              </w:rPr>
              <w:t>3</w:t>
            </w:r>
            <w:r>
              <w:rPr>
                <w:rFonts w:hint="eastAsia" w:hAnsi="宋体"/>
                <w:color w:val="auto"/>
                <w:szCs w:val="21"/>
                <w:highlight w:val="none"/>
                <w:lang w:eastAsia="zh-CN"/>
              </w:rPr>
              <w:t>.</w:t>
            </w:r>
            <w:r>
              <w:rPr>
                <w:rFonts w:hAnsi="宋体"/>
                <w:color w:val="auto"/>
                <w:szCs w:val="21"/>
                <w:highlight w:val="none"/>
              </w:rPr>
              <w:t>氨合成工艺条件的优化</w:t>
            </w:r>
          </w:p>
        </w:tc>
        <w:tc>
          <w:tcPr>
            <w:tcW w:w="854" w:type="dxa"/>
            <w:vMerge w:val="continue"/>
            <w:tcBorders>
              <w:top w:val="nil"/>
              <w:right w:val="single" w:color="auto" w:sz="4" w:space="0"/>
            </w:tcBorders>
            <w:noWrap/>
            <w:vAlign w:val="center"/>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6" w:hRule="atLeast"/>
        </w:trPr>
        <w:tc>
          <w:tcPr>
            <w:tcW w:w="1188" w:type="dxa"/>
            <w:vMerge w:val="continue"/>
            <w:tcBorders>
              <w:right w:val="single" w:color="auto" w:sz="4" w:space="0"/>
            </w:tcBorders>
            <w:noWrap/>
            <w:vAlign w:val="center"/>
          </w:tcPr>
          <w:p>
            <w:pPr>
              <w:spacing w:line="360" w:lineRule="auto"/>
              <w:jc w:val="center"/>
              <w:rPr>
                <w:color w:val="auto"/>
                <w:szCs w:val="21"/>
                <w:highlight w:val="none"/>
              </w:rPr>
            </w:pPr>
          </w:p>
        </w:tc>
        <w:tc>
          <w:tcPr>
            <w:tcW w:w="2520" w:type="dxa"/>
            <w:vMerge w:val="continue"/>
            <w:tcBorders>
              <w:left w:val="single" w:color="auto" w:sz="4" w:space="0"/>
            </w:tcBorders>
            <w:noWrap/>
            <w:vAlign w:val="center"/>
          </w:tcPr>
          <w:p>
            <w:pPr>
              <w:spacing w:line="240" w:lineRule="auto"/>
              <w:jc w:val="left"/>
              <w:rPr>
                <w:color w:val="auto"/>
                <w:szCs w:val="21"/>
                <w:highlight w:val="none"/>
              </w:rPr>
            </w:pPr>
          </w:p>
        </w:tc>
        <w:tc>
          <w:tcPr>
            <w:tcW w:w="3960" w:type="dxa"/>
            <w:tcBorders>
              <w:top w:val="single" w:color="auto" w:sz="4" w:space="0"/>
              <w:bottom w:val="single" w:color="auto" w:sz="4" w:space="0"/>
            </w:tcBorders>
            <w:noWrap/>
            <w:vAlign w:val="center"/>
          </w:tcPr>
          <w:p>
            <w:pPr>
              <w:spacing w:line="240" w:lineRule="auto"/>
              <w:jc w:val="left"/>
              <w:rPr>
                <w:color w:val="auto"/>
                <w:szCs w:val="21"/>
                <w:highlight w:val="none"/>
              </w:rPr>
            </w:pPr>
            <w:r>
              <w:rPr>
                <w:color w:val="auto"/>
                <w:szCs w:val="21"/>
                <w:highlight w:val="none"/>
              </w:rPr>
              <w:t>4</w:t>
            </w:r>
            <w:r>
              <w:rPr>
                <w:rFonts w:hint="eastAsia" w:hAnsi="宋体"/>
                <w:color w:val="auto"/>
                <w:szCs w:val="21"/>
                <w:highlight w:val="none"/>
                <w:lang w:eastAsia="zh-CN"/>
              </w:rPr>
              <w:t>.</w:t>
            </w:r>
            <w:r>
              <w:rPr>
                <w:rFonts w:hAnsi="宋体"/>
                <w:color w:val="auto"/>
                <w:szCs w:val="21"/>
                <w:highlight w:val="none"/>
              </w:rPr>
              <w:t>氨的合成与分离工艺流程的组织</w:t>
            </w:r>
          </w:p>
        </w:tc>
        <w:tc>
          <w:tcPr>
            <w:tcW w:w="854" w:type="dxa"/>
            <w:vMerge w:val="continue"/>
            <w:tcBorders>
              <w:top w:val="nil"/>
              <w:right w:val="single" w:color="auto" w:sz="4" w:space="0"/>
            </w:tcBorders>
            <w:noWrap/>
            <w:vAlign w:val="center"/>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4" w:hRule="atLeast"/>
        </w:trPr>
        <w:tc>
          <w:tcPr>
            <w:tcW w:w="1188" w:type="dxa"/>
            <w:vMerge w:val="continue"/>
            <w:tcBorders>
              <w:right w:val="single" w:color="auto" w:sz="4" w:space="0"/>
            </w:tcBorders>
            <w:noWrap/>
            <w:vAlign w:val="center"/>
          </w:tcPr>
          <w:p>
            <w:pPr>
              <w:spacing w:line="360" w:lineRule="auto"/>
              <w:jc w:val="center"/>
              <w:rPr>
                <w:color w:val="auto"/>
                <w:szCs w:val="21"/>
                <w:highlight w:val="none"/>
              </w:rPr>
            </w:pPr>
          </w:p>
        </w:tc>
        <w:tc>
          <w:tcPr>
            <w:tcW w:w="2520" w:type="dxa"/>
            <w:vMerge w:val="continue"/>
            <w:tcBorders>
              <w:left w:val="single" w:color="auto" w:sz="4" w:space="0"/>
            </w:tcBorders>
            <w:noWrap/>
            <w:vAlign w:val="center"/>
          </w:tcPr>
          <w:p>
            <w:pPr>
              <w:spacing w:line="240" w:lineRule="auto"/>
              <w:jc w:val="left"/>
              <w:rPr>
                <w:color w:val="auto"/>
                <w:szCs w:val="21"/>
                <w:highlight w:val="none"/>
              </w:rPr>
            </w:pPr>
          </w:p>
        </w:tc>
        <w:tc>
          <w:tcPr>
            <w:tcW w:w="3960" w:type="dxa"/>
            <w:tcBorders>
              <w:top w:val="single" w:color="auto" w:sz="4" w:space="0"/>
            </w:tcBorders>
            <w:noWrap/>
            <w:vAlign w:val="center"/>
          </w:tcPr>
          <w:p>
            <w:pPr>
              <w:spacing w:line="240" w:lineRule="auto"/>
              <w:jc w:val="left"/>
              <w:rPr>
                <w:color w:val="auto"/>
                <w:szCs w:val="21"/>
                <w:highlight w:val="none"/>
              </w:rPr>
            </w:pPr>
            <w:r>
              <w:rPr>
                <w:color w:val="auto"/>
                <w:szCs w:val="21"/>
                <w:highlight w:val="none"/>
              </w:rPr>
              <w:t>5</w:t>
            </w:r>
            <w:r>
              <w:rPr>
                <w:rFonts w:hint="eastAsia" w:hAnsi="宋体"/>
                <w:color w:val="auto"/>
                <w:szCs w:val="21"/>
                <w:highlight w:val="none"/>
                <w:lang w:eastAsia="zh-CN"/>
              </w:rPr>
              <w:t>.</w:t>
            </w:r>
            <w:r>
              <w:rPr>
                <w:rFonts w:hAnsi="宋体"/>
                <w:color w:val="auto"/>
                <w:szCs w:val="21"/>
                <w:highlight w:val="none"/>
              </w:rPr>
              <w:t>氨合成塔机器操作控制</w:t>
            </w:r>
          </w:p>
        </w:tc>
        <w:tc>
          <w:tcPr>
            <w:tcW w:w="854" w:type="dxa"/>
            <w:vMerge w:val="continue"/>
            <w:tcBorders>
              <w:top w:val="nil"/>
              <w:right w:val="single" w:color="auto" w:sz="4" w:space="0"/>
            </w:tcBorders>
            <w:noWrap/>
            <w:vAlign w:val="center"/>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32" w:hRule="atLeast"/>
        </w:trPr>
        <w:tc>
          <w:tcPr>
            <w:tcW w:w="1188" w:type="dxa"/>
            <w:vMerge w:val="restart"/>
            <w:noWrap/>
            <w:vAlign w:val="center"/>
          </w:tcPr>
          <w:p>
            <w:pPr>
              <w:spacing w:line="360" w:lineRule="auto"/>
              <w:jc w:val="center"/>
              <w:rPr>
                <w:rFonts w:hAnsi="宋体"/>
                <w:color w:val="auto"/>
                <w:szCs w:val="21"/>
                <w:highlight w:val="none"/>
              </w:rPr>
            </w:pPr>
            <w:r>
              <w:rPr>
                <w:rFonts w:hAnsi="宋体"/>
                <w:color w:val="auto"/>
                <w:szCs w:val="21"/>
                <w:highlight w:val="none"/>
              </w:rPr>
              <w:t>二</w:t>
            </w:r>
          </w:p>
          <w:p>
            <w:pPr>
              <w:spacing w:line="360" w:lineRule="auto"/>
              <w:jc w:val="center"/>
              <w:rPr>
                <w:rFonts w:hAnsi="宋体"/>
                <w:color w:val="auto"/>
                <w:szCs w:val="21"/>
                <w:highlight w:val="none"/>
              </w:rPr>
            </w:pPr>
            <w:r>
              <w:rPr>
                <w:rFonts w:hAnsi="宋体"/>
                <w:color w:val="auto"/>
                <w:szCs w:val="21"/>
                <w:highlight w:val="none"/>
              </w:rPr>
              <w:t>化</w:t>
            </w:r>
          </w:p>
          <w:p>
            <w:pPr>
              <w:spacing w:line="360" w:lineRule="auto"/>
              <w:jc w:val="center"/>
              <w:rPr>
                <w:rFonts w:hAnsi="宋体"/>
                <w:color w:val="auto"/>
                <w:szCs w:val="21"/>
                <w:highlight w:val="none"/>
              </w:rPr>
            </w:pPr>
            <w:r>
              <w:rPr>
                <w:rFonts w:hAnsi="宋体"/>
                <w:color w:val="auto"/>
                <w:szCs w:val="21"/>
                <w:highlight w:val="none"/>
              </w:rPr>
              <w:t>学</w:t>
            </w:r>
          </w:p>
          <w:p>
            <w:pPr>
              <w:spacing w:line="360" w:lineRule="auto"/>
              <w:jc w:val="center"/>
              <w:rPr>
                <w:rFonts w:hAnsi="宋体"/>
                <w:color w:val="auto"/>
                <w:szCs w:val="21"/>
                <w:highlight w:val="none"/>
              </w:rPr>
            </w:pPr>
            <w:r>
              <w:rPr>
                <w:rFonts w:hAnsi="宋体"/>
                <w:color w:val="auto"/>
                <w:szCs w:val="21"/>
                <w:highlight w:val="none"/>
              </w:rPr>
              <w:t>肥料</w:t>
            </w:r>
          </w:p>
          <w:p>
            <w:pPr>
              <w:spacing w:line="360" w:lineRule="auto"/>
              <w:jc w:val="center"/>
              <w:rPr>
                <w:rFonts w:hAnsi="宋体"/>
                <w:color w:val="auto"/>
                <w:szCs w:val="21"/>
                <w:highlight w:val="none"/>
              </w:rPr>
            </w:pPr>
            <w:r>
              <w:rPr>
                <w:rFonts w:hAnsi="宋体"/>
                <w:color w:val="auto"/>
                <w:szCs w:val="21"/>
                <w:highlight w:val="none"/>
              </w:rPr>
              <w:t>生</w:t>
            </w:r>
          </w:p>
          <w:p>
            <w:pPr>
              <w:spacing w:line="360" w:lineRule="auto"/>
              <w:jc w:val="center"/>
              <w:rPr>
                <w:color w:val="auto"/>
                <w:szCs w:val="21"/>
                <w:highlight w:val="none"/>
              </w:rPr>
            </w:pPr>
            <w:r>
              <w:rPr>
                <w:rFonts w:hAnsi="宋体"/>
                <w:color w:val="auto"/>
                <w:szCs w:val="21"/>
                <w:highlight w:val="none"/>
              </w:rPr>
              <w:t>产</w:t>
            </w:r>
          </w:p>
        </w:tc>
        <w:tc>
          <w:tcPr>
            <w:tcW w:w="2520" w:type="dxa"/>
            <w:vMerge w:val="restart"/>
            <w:noWrap/>
            <w:vAlign w:val="center"/>
          </w:tcPr>
          <w:p>
            <w:pPr>
              <w:spacing w:line="240" w:lineRule="auto"/>
              <w:jc w:val="left"/>
              <w:rPr>
                <w:color w:val="auto"/>
                <w:szCs w:val="21"/>
                <w:highlight w:val="none"/>
              </w:rPr>
            </w:pPr>
            <w:r>
              <w:rPr>
                <w:color w:val="auto"/>
                <w:szCs w:val="21"/>
                <w:highlight w:val="none"/>
              </w:rPr>
              <w:t>1</w:t>
            </w:r>
            <w:r>
              <w:rPr>
                <w:rFonts w:hint="eastAsia" w:hAnsi="宋体"/>
                <w:color w:val="auto"/>
                <w:szCs w:val="21"/>
                <w:highlight w:val="none"/>
                <w:lang w:eastAsia="zh-CN"/>
              </w:rPr>
              <w:t>.</w:t>
            </w:r>
            <w:r>
              <w:rPr>
                <w:rFonts w:hAnsi="宋体"/>
                <w:color w:val="auto"/>
                <w:szCs w:val="21"/>
                <w:highlight w:val="none"/>
              </w:rPr>
              <w:t>尿素生产</w:t>
            </w:r>
          </w:p>
        </w:tc>
        <w:tc>
          <w:tcPr>
            <w:tcW w:w="3960" w:type="dxa"/>
            <w:tcBorders>
              <w:bottom w:val="single" w:color="auto" w:sz="4" w:space="0"/>
            </w:tcBorders>
            <w:noWrap/>
            <w:vAlign w:val="center"/>
          </w:tcPr>
          <w:p>
            <w:pPr>
              <w:spacing w:line="240" w:lineRule="auto"/>
              <w:jc w:val="left"/>
              <w:rPr>
                <w:color w:val="auto"/>
                <w:szCs w:val="21"/>
                <w:highlight w:val="none"/>
              </w:rPr>
            </w:pPr>
            <w:r>
              <w:rPr>
                <w:color w:val="auto"/>
                <w:szCs w:val="21"/>
                <w:highlight w:val="none"/>
              </w:rPr>
              <w:t>1</w:t>
            </w:r>
            <w:r>
              <w:rPr>
                <w:rFonts w:hint="eastAsia" w:hAnsi="宋体"/>
                <w:color w:val="auto"/>
                <w:szCs w:val="21"/>
                <w:highlight w:val="none"/>
                <w:lang w:eastAsia="zh-CN"/>
              </w:rPr>
              <w:t>.</w:t>
            </w:r>
            <w:r>
              <w:rPr>
                <w:rFonts w:hAnsi="宋体"/>
                <w:color w:val="auto"/>
                <w:szCs w:val="21"/>
                <w:highlight w:val="none"/>
              </w:rPr>
              <w:t>尿素合成；</w:t>
            </w:r>
          </w:p>
        </w:tc>
        <w:tc>
          <w:tcPr>
            <w:tcW w:w="854" w:type="dxa"/>
            <w:vMerge w:val="restart"/>
            <w:noWrap/>
            <w:vAlign w:val="center"/>
          </w:tcPr>
          <w:p>
            <w:pPr>
              <w:spacing w:line="360" w:lineRule="auto"/>
              <w:jc w:val="center"/>
              <w:rPr>
                <w:color w:val="auto"/>
                <w:szCs w:val="21"/>
                <w:highlight w:val="none"/>
              </w:rPr>
            </w:pPr>
            <w:r>
              <w:rPr>
                <w:color w:val="auto"/>
                <w:szCs w:val="21"/>
                <w:highlight w:val="none"/>
              </w:rPr>
              <w:t>24</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80" w:hRule="atLeast"/>
        </w:trPr>
        <w:tc>
          <w:tcPr>
            <w:tcW w:w="1188" w:type="dxa"/>
            <w:vMerge w:val="continue"/>
            <w:noWrap/>
            <w:vAlign w:val="center"/>
          </w:tcPr>
          <w:p>
            <w:pPr>
              <w:spacing w:line="360" w:lineRule="auto"/>
              <w:jc w:val="center"/>
              <w:rPr>
                <w:color w:val="auto"/>
                <w:szCs w:val="21"/>
                <w:highlight w:val="none"/>
              </w:rPr>
            </w:pPr>
          </w:p>
        </w:tc>
        <w:tc>
          <w:tcPr>
            <w:tcW w:w="2520" w:type="dxa"/>
            <w:vMerge w:val="continue"/>
            <w:noWrap/>
            <w:vAlign w:val="center"/>
          </w:tcPr>
          <w:p>
            <w:pPr>
              <w:spacing w:line="240" w:lineRule="auto"/>
              <w:jc w:val="left"/>
              <w:rPr>
                <w:color w:val="auto"/>
                <w:szCs w:val="21"/>
                <w:highlight w:val="none"/>
              </w:rPr>
            </w:pPr>
          </w:p>
        </w:tc>
        <w:tc>
          <w:tcPr>
            <w:tcW w:w="3960" w:type="dxa"/>
            <w:tcBorders>
              <w:top w:val="single" w:color="auto" w:sz="4" w:space="0"/>
              <w:bottom w:val="single" w:color="auto" w:sz="4" w:space="0"/>
            </w:tcBorders>
            <w:noWrap/>
            <w:vAlign w:val="center"/>
          </w:tcPr>
          <w:p>
            <w:pPr>
              <w:spacing w:line="240" w:lineRule="auto"/>
              <w:jc w:val="left"/>
              <w:rPr>
                <w:color w:val="auto"/>
                <w:szCs w:val="21"/>
                <w:highlight w:val="none"/>
              </w:rPr>
            </w:pPr>
            <w:r>
              <w:rPr>
                <w:color w:val="auto"/>
                <w:szCs w:val="21"/>
                <w:highlight w:val="none"/>
              </w:rPr>
              <w:t>2</w:t>
            </w:r>
            <w:r>
              <w:rPr>
                <w:rFonts w:hint="eastAsia" w:hAnsi="宋体"/>
                <w:color w:val="auto"/>
                <w:szCs w:val="21"/>
                <w:highlight w:val="none"/>
                <w:lang w:eastAsia="zh-CN"/>
              </w:rPr>
              <w:t>.</w:t>
            </w:r>
            <w:r>
              <w:rPr>
                <w:rFonts w:hAnsi="宋体"/>
                <w:color w:val="auto"/>
                <w:szCs w:val="21"/>
                <w:highlight w:val="none"/>
              </w:rPr>
              <w:t>未反应物的分离与回收</w:t>
            </w:r>
          </w:p>
        </w:tc>
        <w:tc>
          <w:tcPr>
            <w:tcW w:w="854" w:type="dxa"/>
            <w:vMerge w:val="continue"/>
            <w:noWrap/>
            <w:vAlign w:val="center"/>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5" w:hRule="atLeast"/>
        </w:trPr>
        <w:tc>
          <w:tcPr>
            <w:tcW w:w="1188" w:type="dxa"/>
            <w:vMerge w:val="continue"/>
            <w:noWrap/>
            <w:vAlign w:val="center"/>
          </w:tcPr>
          <w:p>
            <w:pPr>
              <w:spacing w:line="360" w:lineRule="auto"/>
              <w:jc w:val="center"/>
              <w:rPr>
                <w:color w:val="auto"/>
                <w:szCs w:val="21"/>
                <w:highlight w:val="none"/>
              </w:rPr>
            </w:pPr>
          </w:p>
        </w:tc>
        <w:tc>
          <w:tcPr>
            <w:tcW w:w="2520" w:type="dxa"/>
            <w:vMerge w:val="continue"/>
            <w:tcBorders>
              <w:bottom w:val="single" w:color="auto" w:sz="4" w:space="0"/>
            </w:tcBorders>
            <w:noWrap/>
            <w:vAlign w:val="center"/>
          </w:tcPr>
          <w:p>
            <w:pPr>
              <w:spacing w:line="240" w:lineRule="auto"/>
              <w:jc w:val="left"/>
              <w:rPr>
                <w:color w:val="auto"/>
                <w:szCs w:val="21"/>
                <w:highlight w:val="none"/>
              </w:rPr>
            </w:pPr>
          </w:p>
        </w:tc>
        <w:tc>
          <w:tcPr>
            <w:tcW w:w="3960" w:type="dxa"/>
            <w:tcBorders>
              <w:top w:val="single" w:color="auto" w:sz="4" w:space="0"/>
              <w:bottom w:val="single" w:color="auto" w:sz="4" w:space="0"/>
            </w:tcBorders>
            <w:noWrap/>
            <w:vAlign w:val="center"/>
          </w:tcPr>
          <w:p>
            <w:pPr>
              <w:spacing w:line="240" w:lineRule="auto"/>
              <w:jc w:val="left"/>
              <w:rPr>
                <w:color w:val="auto"/>
                <w:szCs w:val="21"/>
                <w:highlight w:val="none"/>
              </w:rPr>
            </w:pPr>
            <w:r>
              <w:rPr>
                <w:color w:val="auto"/>
                <w:szCs w:val="21"/>
                <w:highlight w:val="none"/>
              </w:rPr>
              <w:t>3</w:t>
            </w:r>
            <w:r>
              <w:rPr>
                <w:rFonts w:hint="eastAsia" w:hAnsi="宋体"/>
                <w:color w:val="auto"/>
                <w:szCs w:val="21"/>
                <w:highlight w:val="none"/>
                <w:lang w:eastAsia="zh-CN"/>
              </w:rPr>
              <w:t>.</w:t>
            </w:r>
            <w:r>
              <w:rPr>
                <w:rFonts w:hAnsi="宋体"/>
                <w:color w:val="auto"/>
                <w:szCs w:val="21"/>
                <w:highlight w:val="none"/>
              </w:rPr>
              <w:t>尿素溶液的加工</w:t>
            </w:r>
          </w:p>
        </w:tc>
        <w:tc>
          <w:tcPr>
            <w:tcW w:w="854" w:type="dxa"/>
            <w:vMerge w:val="continue"/>
            <w:noWrap/>
            <w:vAlign w:val="center"/>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49" w:hRule="atLeast"/>
        </w:trPr>
        <w:tc>
          <w:tcPr>
            <w:tcW w:w="1188" w:type="dxa"/>
            <w:vMerge w:val="continue"/>
            <w:noWrap/>
            <w:vAlign w:val="center"/>
          </w:tcPr>
          <w:p>
            <w:pPr>
              <w:spacing w:line="360" w:lineRule="auto"/>
              <w:jc w:val="center"/>
              <w:rPr>
                <w:color w:val="auto"/>
                <w:szCs w:val="21"/>
                <w:highlight w:val="none"/>
              </w:rPr>
            </w:pPr>
          </w:p>
        </w:tc>
        <w:tc>
          <w:tcPr>
            <w:tcW w:w="2520" w:type="dxa"/>
            <w:vMerge w:val="restart"/>
            <w:noWrap/>
            <w:vAlign w:val="center"/>
          </w:tcPr>
          <w:p>
            <w:pPr>
              <w:spacing w:line="240" w:lineRule="auto"/>
              <w:jc w:val="left"/>
              <w:rPr>
                <w:color w:val="auto"/>
                <w:szCs w:val="21"/>
                <w:highlight w:val="none"/>
              </w:rPr>
            </w:pPr>
            <w:r>
              <w:rPr>
                <w:color w:val="auto"/>
                <w:szCs w:val="21"/>
                <w:highlight w:val="none"/>
              </w:rPr>
              <w:t>2</w:t>
            </w:r>
            <w:r>
              <w:rPr>
                <w:rFonts w:hint="eastAsia" w:hAnsi="宋体"/>
                <w:color w:val="auto"/>
                <w:szCs w:val="21"/>
                <w:highlight w:val="none"/>
                <w:lang w:eastAsia="zh-CN"/>
              </w:rPr>
              <w:t>.</w:t>
            </w:r>
            <w:r>
              <w:rPr>
                <w:rFonts w:hAnsi="宋体"/>
                <w:color w:val="auto"/>
                <w:szCs w:val="21"/>
                <w:highlight w:val="none"/>
              </w:rPr>
              <w:t>钾肥生产</w:t>
            </w:r>
          </w:p>
        </w:tc>
        <w:tc>
          <w:tcPr>
            <w:tcW w:w="3960" w:type="dxa"/>
            <w:tcBorders>
              <w:bottom w:val="single" w:color="auto" w:sz="4" w:space="0"/>
            </w:tcBorders>
            <w:noWrap/>
            <w:vAlign w:val="center"/>
          </w:tcPr>
          <w:p>
            <w:pPr>
              <w:spacing w:line="240" w:lineRule="auto"/>
              <w:jc w:val="left"/>
              <w:rPr>
                <w:color w:val="auto"/>
                <w:szCs w:val="21"/>
                <w:highlight w:val="none"/>
              </w:rPr>
            </w:pPr>
            <w:r>
              <w:rPr>
                <w:color w:val="auto"/>
                <w:szCs w:val="21"/>
                <w:highlight w:val="none"/>
              </w:rPr>
              <w:t>1</w:t>
            </w:r>
            <w:r>
              <w:rPr>
                <w:rFonts w:hint="eastAsia" w:hAnsi="宋体"/>
                <w:color w:val="auto"/>
                <w:szCs w:val="21"/>
                <w:highlight w:val="none"/>
                <w:lang w:eastAsia="zh-CN"/>
              </w:rPr>
              <w:t>.</w:t>
            </w:r>
            <w:r>
              <w:rPr>
                <w:rFonts w:hAnsi="宋体"/>
                <w:color w:val="auto"/>
                <w:szCs w:val="21"/>
                <w:highlight w:val="none"/>
              </w:rPr>
              <w:t>氯化钾生产</w:t>
            </w:r>
          </w:p>
        </w:tc>
        <w:tc>
          <w:tcPr>
            <w:tcW w:w="854" w:type="dxa"/>
            <w:vMerge w:val="continue"/>
            <w:noWrap/>
            <w:vAlign w:val="center"/>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32" w:hRule="atLeast"/>
        </w:trPr>
        <w:tc>
          <w:tcPr>
            <w:tcW w:w="1188" w:type="dxa"/>
            <w:vMerge w:val="continue"/>
            <w:noWrap/>
            <w:vAlign w:val="center"/>
          </w:tcPr>
          <w:p>
            <w:pPr>
              <w:spacing w:line="360" w:lineRule="auto"/>
              <w:jc w:val="center"/>
              <w:rPr>
                <w:color w:val="auto"/>
                <w:szCs w:val="21"/>
                <w:highlight w:val="none"/>
              </w:rPr>
            </w:pPr>
          </w:p>
        </w:tc>
        <w:tc>
          <w:tcPr>
            <w:tcW w:w="2520" w:type="dxa"/>
            <w:vMerge w:val="continue"/>
            <w:noWrap/>
            <w:vAlign w:val="center"/>
          </w:tcPr>
          <w:p>
            <w:pPr>
              <w:spacing w:line="240" w:lineRule="auto"/>
              <w:jc w:val="left"/>
              <w:rPr>
                <w:color w:val="auto"/>
                <w:szCs w:val="21"/>
                <w:highlight w:val="none"/>
              </w:rPr>
            </w:pPr>
          </w:p>
        </w:tc>
        <w:tc>
          <w:tcPr>
            <w:tcW w:w="3960" w:type="dxa"/>
            <w:tcBorders>
              <w:top w:val="single" w:color="auto" w:sz="4" w:space="0"/>
            </w:tcBorders>
            <w:noWrap/>
            <w:vAlign w:val="center"/>
          </w:tcPr>
          <w:p>
            <w:pPr>
              <w:spacing w:line="240" w:lineRule="auto"/>
              <w:jc w:val="left"/>
              <w:rPr>
                <w:color w:val="auto"/>
                <w:szCs w:val="21"/>
                <w:highlight w:val="none"/>
              </w:rPr>
            </w:pPr>
            <w:r>
              <w:rPr>
                <w:color w:val="auto"/>
                <w:szCs w:val="21"/>
                <w:highlight w:val="none"/>
              </w:rPr>
              <w:t>2</w:t>
            </w:r>
            <w:r>
              <w:rPr>
                <w:rFonts w:hint="eastAsia" w:hAnsi="宋体"/>
                <w:color w:val="auto"/>
                <w:szCs w:val="21"/>
                <w:highlight w:val="none"/>
                <w:lang w:eastAsia="zh-CN"/>
              </w:rPr>
              <w:t>.</w:t>
            </w:r>
            <w:r>
              <w:rPr>
                <w:rFonts w:hAnsi="宋体"/>
                <w:color w:val="auto"/>
                <w:szCs w:val="21"/>
                <w:highlight w:val="none"/>
              </w:rPr>
              <w:t>硫酸钾生产</w:t>
            </w:r>
          </w:p>
        </w:tc>
        <w:tc>
          <w:tcPr>
            <w:tcW w:w="854" w:type="dxa"/>
            <w:vMerge w:val="continue"/>
            <w:noWrap/>
            <w:vAlign w:val="center"/>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2" w:hRule="atLeast"/>
        </w:trPr>
        <w:tc>
          <w:tcPr>
            <w:tcW w:w="1188" w:type="dxa"/>
            <w:vMerge w:val="continue"/>
            <w:noWrap/>
            <w:vAlign w:val="center"/>
          </w:tcPr>
          <w:p>
            <w:pPr>
              <w:spacing w:line="360" w:lineRule="auto"/>
              <w:jc w:val="center"/>
              <w:rPr>
                <w:color w:val="auto"/>
                <w:szCs w:val="21"/>
                <w:highlight w:val="none"/>
              </w:rPr>
            </w:pPr>
          </w:p>
        </w:tc>
        <w:tc>
          <w:tcPr>
            <w:tcW w:w="2520" w:type="dxa"/>
            <w:vMerge w:val="restart"/>
            <w:tcBorders>
              <w:top w:val="single" w:color="auto" w:sz="4" w:space="0"/>
            </w:tcBorders>
            <w:noWrap/>
            <w:vAlign w:val="center"/>
          </w:tcPr>
          <w:p>
            <w:pPr>
              <w:spacing w:line="240" w:lineRule="auto"/>
              <w:jc w:val="left"/>
              <w:rPr>
                <w:color w:val="auto"/>
                <w:szCs w:val="21"/>
                <w:highlight w:val="none"/>
              </w:rPr>
            </w:pPr>
            <w:r>
              <w:rPr>
                <w:color w:val="auto"/>
                <w:szCs w:val="21"/>
                <w:highlight w:val="none"/>
              </w:rPr>
              <w:t>3</w:t>
            </w:r>
            <w:r>
              <w:rPr>
                <w:rFonts w:hint="eastAsia" w:hAnsi="宋体"/>
                <w:color w:val="auto"/>
                <w:szCs w:val="21"/>
                <w:highlight w:val="none"/>
                <w:lang w:eastAsia="zh-CN"/>
              </w:rPr>
              <w:t>.</w:t>
            </w:r>
            <w:r>
              <w:rPr>
                <w:rFonts w:hAnsi="宋体"/>
                <w:color w:val="auto"/>
                <w:szCs w:val="21"/>
                <w:highlight w:val="none"/>
              </w:rPr>
              <w:t>磷肥生产</w:t>
            </w:r>
          </w:p>
        </w:tc>
        <w:tc>
          <w:tcPr>
            <w:tcW w:w="3960" w:type="dxa"/>
            <w:tcBorders>
              <w:top w:val="single" w:color="auto" w:sz="4" w:space="0"/>
              <w:bottom w:val="single" w:color="auto" w:sz="4" w:space="0"/>
            </w:tcBorders>
            <w:noWrap/>
            <w:vAlign w:val="center"/>
          </w:tcPr>
          <w:p>
            <w:pPr>
              <w:spacing w:line="240" w:lineRule="auto"/>
              <w:jc w:val="left"/>
              <w:rPr>
                <w:color w:val="auto"/>
                <w:szCs w:val="21"/>
                <w:highlight w:val="none"/>
              </w:rPr>
            </w:pPr>
            <w:r>
              <w:rPr>
                <w:color w:val="auto"/>
                <w:szCs w:val="21"/>
                <w:highlight w:val="none"/>
              </w:rPr>
              <w:t>1</w:t>
            </w:r>
            <w:r>
              <w:rPr>
                <w:rFonts w:hint="eastAsia" w:hAnsi="宋体"/>
                <w:color w:val="auto"/>
                <w:szCs w:val="21"/>
                <w:highlight w:val="none"/>
                <w:lang w:eastAsia="zh-CN"/>
              </w:rPr>
              <w:t>.</w:t>
            </w:r>
            <w:r>
              <w:rPr>
                <w:rFonts w:hAnsi="宋体"/>
                <w:color w:val="auto"/>
                <w:szCs w:val="21"/>
                <w:highlight w:val="none"/>
              </w:rPr>
              <w:t>酸法磷肥生产过程的组织</w:t>
            </w:r>
          </w:p>
        </w:tc>
        <w:tc>
          <w:tcPr>
            <w:tcW w:w="854" w:type="dxa"/>
            <w:vMerge w:val="continue"/>
            <w:noWrap/>
            <w:vAlign w:val="center"/>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62" w:hRule="atLeast"/>
        </w:trPr>
        <w:tc>
          <w:tcPr>
            <w:tcW w:w="1188" w:type="dxa"/>
            <w:vMerge w:val="continue"/>
            <w:noWrap/>
            <w:vAlign w:val="center"/>
          </w:tcPr>
          <w:p>
            <w:pPr>
              <w:spacing w:line="360" w:lineRule="auto"/>
              <w:jc w:val="center"/>
              <w:rPr>
                <w:color w:val="auto"/>
                <w:szCs w:val="21"/>
                <w:highlight w:val="none"/>
              </w:rPr>
            </w:pPr>
          </w:p>
        </w:tc>
        <w:tc>
          <w:tcPr>
            <w:tcW w:w="2520" w:type="dxa"/>
            <w:vMerge w:val="continue"/>
            <w:tcBorders>
              <w:bottom w:val="single" w:color="auto" w:sz="4" w:space="0"/>
            </w:tcBorders>
            <w:noWrap/>
            <w:vAlign w:val="center"/>
          </w:tcPr>
          <w:p>
            <w:pPr>
              <w:spacing w:line="240" w:lineRule="auto"/>
              <w:jc w:val="left"/>
              <w:rPr>
                <w:color w:val="auto"/>
                <w:szCs w:val="21"/>
                <w:highlight w:val="none"/>
              </w:rPr>
            </w:pPr>
          </w:p>
        </w:tc>
        <w:tc>
          <w:tcPr>
            <w:tcW w:w="3960" w:type="dxa"/>
            <w:tcBorders>
              <w:top w:val="single" w:color="auto" w:sz="4" w:space="0"/>
              <w:bottom w:val="single" w:color="auto" w:sz="4" w:space="0"/>
            </w:tcBorders>
            <w:noWrap/>
            <w:vAlign w:val="center"/>
          </w:tcPr>
          <w:p>
            <w:pPr>
              <w:spacing w:line="240" w:lineRule="auto"/>
              <w:jc w:val="left"/>
              <w:rPr>
                <w:color w:val="auto"/>
                <w:szCs w:val="21"/>
                <w:highlight w:val="none"/>
              </w:rPr>
            </w:pPr>
            <w:r>
              <w:rPr>
                <w:color w:val="auto"/>
                <w:szCs w:val="21"/>
                <w:highlight w:val="none"/>
              </w:rPr>
              <w:t>2</w:t>
            </w:r>
            <w:r>
              <w:rPr>
                <w:rFonts w:hint="eastAsia" w:hAnsi="宋体"/>
                <w:color w:val="auto"/>
                <w:szCs w:val="21"/>
                <w:highlight w:val="none"/>
                <w:lang w:eastAsia="zh-CN"/>
              </w:rPr>
              <w:t>.</w:t>
            </w:r>
            <w:r>
              <w:rPr>
                <w:rFonts w:hAnsi="宋体"/>
                <w:color w:val="auto"/>
                <w:szCs w:val="21"/>
                <w:highlight w:val="none"/>
              </w:rPr>
              <w:t>热法磷肥生产过程的组织</w:t>
            </w:r>
          </w:p>
        </w:tc>
        <w:tc>
          <w:tcPr>
            <w:tcW w:w="854" w:type="dxa"/>
            <w:vMerge w:val="continue"/>
            <w:noWrap/>
            <w:vAlign w:val="center"/>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29" w:hRule="atLeast"/>
        </w:trPr>
        <w:tc>
          <w:tcPr>
            <w:tcW w:w="1188" w:type="dxa"/>
            <w:vMerge w:val="continue"/>
            <w:noWrap/>
            <w:vAlign w:val="center"/>
          </w:tcPr>
          <w:p>
            <w:pPr>
              <w:spacing w:line="360" w:lineRule="auto"/>
              <w:jc w:val="center"/>
              <w:rPr>
                <w:color w:val="auto"/>
                <w:szCs w:val="21"/>
                <w:highlight w:val="none"/>
              </w:rPr>
            </w:pPr>
          </w:p>
        </w:tc>
        <w:tc>
          <w:tcPr>
            <w:tcW w:w="2520" w:type="dxa"/>
            <w:vMerge w:val="restart"/>
            <w:tcBorders>
              <w:top w:val="single" w:color="auto" w:sz="4" w:space="0"/>
            </w:tcBorders>
            <w:noWrap/>
            <w:vAlign w:val="center"/>
          </w:tcPr>
          <w:p>
            <w:pPr>
              <w:spacing w:line="240" w:lineRule="auto"/>
              <w:jc w:val="left"/>
              <w:rPr>
                <w:color w:val="auto"/>
                <w:szCs w:val="21"/>
                <w:highlight w:val="none"/>
              </w:rPr>
            </w:pPr>
            <w:r>
              <w:rPr>
                <w:color w:val="auto"/>
                <w:szCs w:val="21"/>
                <w:highlight w:val="none"/>
              </w:rPr>
              <w:t>4</w:t>
            </w:r>
            <w:r>
              <w:rPr>
                <w:rFonts w:hint="eastAsia" w:hAnsi="宋体"/>
                <w:color w:val="auto"/>
                <w:szCs w:val="21"/>
                <w:highlight w:val="none"/>
                <w:lang w:eastAsia="zh-CN"/>
              </w:rPr>
              <w:t>.</w:t>
            </w:r>
            <w:r>
              <w:rPr>
                <w:rFonts w:hAnsi="宋体"/>
                <w:color w:val="auto"/>
                <w:szCs w:val="21"/>
                <w:highlight w:val="none"/>
              </w:rPr>
              <w:t>复合肥料和复混肥料的生产</w:t>
            </w:r>
          </w:p>
        </w:tc>
        <w:tc>
          <w:tcPr>
            <w:tcW w:w="3960" w:type="dxa"/>
            <w:tcBorders>
              <w:top w:val="single" w:color="auto" w:sz="4" w:space="0"/>
              <w:bottom w:val="single" w:color="auto" w:sz="4" w:space="0"/>
            </w:tcBorders>
            <w:noWrap/>
            <w:vAlign w:val="center"/>
          </w:tcPr>
          <w:p>
            <w:pPr>
              <w:spacing w:line="240" w:lineRule="auto"/>
              <w:jc w:val="left"/>
              <w:rPr>
                <w:color w:val="auto"/>
                <w:szCs w:val="21"/>
                <w:highlight w:val="none"/>
              </w:rPr>
            </w:pPr>
            <w:r>
              <w:rPr>
                <w:color w:val="auto"/>
                <w:szCs w:val="21"/>
                <w:highlight w:val="none"/>
              </w:rPr>
              <w:t>1</w:t>
            </w:r>
            <w:r>
              <w:rPr>
                <w:rFonts w:hint="eastAsia" w:hAnsi="宋体"/>
                <w:color w:val="auto"/>
                <w:szCs w:val="21"/>
                <w:highlight w:val="none"/>
                <w:lang w:eastAsia="zh-CN"/>
              </w:rPr>
              <w:t>.</w:t>
            </w:r>
            <w:r>
              <w:rPr>
                <w:rFonts w:hAnsi="宋体"/>
                <w:color w:val="auto"/>
                <w:szCs w:val="21"/>
                <w:highlight w:val="none"/>
              </w:rPr>
              <w:t>磷酸铵生产</w:t>
            </w:r>
          </w:p>
        </w:tc>
        <w:tc>
          <w:tcPr>
            <w:tcW w:w="854" w:type="dxa"/>
            <w:vMerge w:val="continue"/>
            <w:noWrap/>
            <w:vAlign w:val="center"/>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0" w:hRule="atLeast"/>
        </w:trPr>
        <w:tc>
          <w:tcPr>
            <w:tcW w:w="1188" w:type="dxa"/>
            <w:vMerge w:val="continue"/>
            <w:noWrap/>
            <w:vAlign w:val="center"/>
          </w:tcPr>
          <w:p>
            <w:pPr>
              <w:spacing w:line="360" w:lineRule="auto"/>
              <w:jc w:val="center"/>
              <w:rPr>
                <w:color w:val="auto"/>
                <w:szCs w:val="21"/>
                <w:highlight w:val="none"/>
              </w:rPr>
            </w:pPr>
          </w:p>
        </w:tc>
        <w:tc>
          <w:tcPr>
            <w:tcW w:w="2520" w:type="dxa"/>
            <w:vMerge w:val="continue"/>
            <w:noWrap/>
            <w:vAlign w:val="center"/>
          </w:tcPr>
          <w:p>
            <w:pPr>
              <w:spacing w:line="240" w:lineRule="auto"/>
              <w:jc w:val="left"/>
              <w:rPr>
                <w:color w:val="auto"/>
                <w:szCs w:val="21"/>
                <w:highlight w:val="none"/>
              </w:rPr>
            </w:pPr>
          </w:p>
        </w:tc>
        <w:tc>
          <w:tcPr>
            <w:tcW w:w="3960" w:type="dxa"/>
            <w:tcBorders>
              <w:top w:val="single" w:color="auto" w:sz="4" w:space="0"/>
            </w:tcBorders>
            <w:noWrap/>
            <w:vAlign w:val="center"/>
          </w:tcPr>
          <w:p>
            <w:pPr>
              <w:spacing w:line="240" w:lineRule="auto"/>
              <w:jc w:val="left"/>
              <w:rPr>
                <w:color w:val="auto"/>
                <w:szCs w:val="21"/>
                <w:highlight w:val="none"/>
              </w:rPr>
            </w:pPr>
            <w:r>
              <w:rPr>
                <w:color w:val="auto"/>
                <w:szCs w:val="21"/>
                <w:highlight w:val="none"/>
              </w:rPr>
              <w:t>2</w:t>
            </w:r>
            <w:r>
              <w:rPr>
                <w:rFonts w:hint="eastAsia" w:hAnsi="宋体"/>
                <w:color w:val="auto"/>
                <w:szCs w:val="21"/>
                <w:highlight w:val="none"/>
                <w:lang w:eastAsia="zh-CN"/>
              </w:rPr>
              <w:t>.</w:t>
            </w:r>
            <w:r>
              <w:rPr>
                <w:rFonts w:hAnsi="宋体"/>
                <w:color w:val="auto"/>
                <w:szCs w:val="21"/>
                <w:highlight w:val="none"/>
              </w:rPr>
              <w:t>复混肥料的生产</w:t>
            </w:r>
          </w:p>
        </w:tc>
        <w:tc>
          <w:tcPr>
            <w:tcW w:w="854" w:type="dxa"/>
            <w:vMerge w:val="continue"/>
            <w:noWrap/>
            <w:vAlign w:val="center"/>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00" w:hRule="atLeast"/>
        </w:trPr>
        <w:tc>
          <w:tcPr>
            <w:tcW w:w="1188" w:type="dxa"/>
            <w:vMerge w:val="restart"/>
            <w:noWrap/>
            <w:vAlign w:val="center"/>
          </w:tcPr>
          <w:p>
            <w:pPr>
              <w:spacing w:line="360" w:lineRule="auto"/>
              <w:jc w:val="center"/>
              <w:rPr>
                <w:rFonts w:hAnsi="宋体"/>
                <w:color w:val="auto"/>
                <w:szCs w:val="21"/>
                <w:highlight w:val="none"/>
              </w:rPr>
            </w:pPr>
            <w:r>
              <w:rPr>
                <w:rFonts w:hint="eastAsia" w:hAnsi="宋体"/>
                <w:color w:val="auto"/>
                <w:szCs w:val="21"/>
                <w:highlight w:val="none"/>
              </w:rPr>
              <w:t>三</w:t>
            </w:r>
          </w:p>
          <w:p>
            <w:pPr>
              <w:spacing w:line="360" w:lineRule="auto"/>
              <w:jc w:val="center"/>
              <w:rPr>
                <w:rFonts w:hAnsi="宋体"/>
                <w:color w:val="auto"/>
                <w:szCs w:val="21"/>
                <w:highlight w:val="none"/>
              </w:rPr>
            </w:pPr>
            <w:r>
              <w:rPr>
                <w:rFonts w:hAnsi="宋体"/>
                <w:color w:val="auto"/>
                <w:szCs w:val="21"/>
                <w:highlight w:val="none"/>
              </w:rPr>
              <w:t>拓</w:t>
            </w:r>
          </w:p>
          <w:p>
            <w:pPr>
              <w:spacing w:line="360" w:lineRule="auto"/>
              <w:jc w:val="center"/>
              <w:rPr>
                <w:rFonts w:hAnsi="宋体"/>
                <w:color w:val="auto"/>
                <w:szCs w:val="21"/>
                <w:highlight w:val="none"/>
              </w:rPr>
            </w:pPr>
            <w:r>
              <w:rPr>
                <w:rFonts w:hAnsi="宋体"/>
                <w:color w:val="auto"/>
                <w:szCs w:val="21"/>
                <w:highlight w:val="none"/>
              </w:rPr>
              <w:t>展</w:t>
            </w:r>
          </w:p>
          <w:p>
            <w:pPr>
              <w:spacing w:line="360" w:lineRule="auto"/>
              <w:jc w:val="center"/>
              <w:rPr>
                <w:rFonts w:hAnsi="宋体"/>
                <w:color w:val="auto"/>
                <w:szCs w:val="21"/>
                <w:highlight w:val="none"/>
              </w:rPr>
            </w:pPr>
            <w:r>
              <w:rPr>
                <w:rFonts w:hAnsi="宋体"/>
                <w:color w:val="auto"/>
                <w:szCs w:val="21"/>
                <w:highlight w:val="none"/>
              </w:rPr>
              <w:t>模</w:t>
            </w:r>
          </w:p>
          <w:p>
            <w:pPr>
              <w:spacing w:line="360" w:lineRule="auto"/>
              <w:jc w:val="center"/>
              <w:rPr>
                <w:color w:val="auto"/>
                <w:szCs w:val="21"/>
                <w:highlight w:val="none"/>
              </w:rPr>
            </w:pPr>
            <w:r>
              <w:rPr>
                <w:rFonts w:hAnsi="宋体"/>
                <w:color w:val="auto"/>
                <w:szCs w:val="21"/>
                <w:highlight w:val="none"/>
              </w:rPr>
              <w:t>块</w:t>
            </w:r>
          </w:p>
        </w:tc>
        <w:tc>
          <w:tcPr>
            <w:tcW w:w="2520" w:type="dxa"/>
            <w:vMerge w:val="restart"/>
            <w:noWrap/>
            <w:vAlign w:val="center"/>
          </w:tcPr>
          <w:p>
            <w:pPr>
              <w:spacing w:line="240" w:lineRule="auto"/>
              <w:jc w:val="left"/>
              <w:rPr>
                <w:color w:val="auto"/>
                <w:szCs w:val="21"/>
                <w:highlight w:val="none"/>
              </w:rPr>
            </w:pPr>
            <w:r>
              <w:rPr>
                <w:color w:val="auto"/>
                <w:szCs w:val="21"/>
                <w:highlight w:val="none"/>
              </w:rPr>
              <w:t>1</w:t>
            </w:r>
            <w:r>
              <w:rPr>
                <w:rFonts w:hint="eastAsia"/>
                <w:color w:val="auto"/>
                <w:szCs w:val="21"/>
                <w:highlight w:val="none"/>
                <w:lang w:eastAsia="zh-CN"/>
              </w:rPr>
              <w:t>.</w:t>
            </w:r>
            <w:r>
              <w:rPr>
                <w:rFonts w:hAnsi="宋体"/>
                <w:color w:val="auto"/>
                <w:szCs w:val="21"/>
                <w:highlight w:val="none"/>
              </w:rPr>
              <w:t>硫酸和硝酸的生产</w:t>
            </w:r>
          </w:p>
        </w:tc>
        <w:tc>
          <w:tcPr>
            <w:tcW w:w="3960" w:type="dxa"/>
            <w:tcBorders>
              <w:bottom w:val="single" w:color="auto" w:sz="4" w:space="0"/>
            </w:tcBorders>
            <w:noWrap/>
            <w:vAlign w:val="center"/>
          </w:tcPr>
          <w:p>
            <w:pPr>
              <w:spacing w:line="240" w:lineRule="auto"/>
              <w:jc w:val="left"/>
              <w:rPr>
                <w:color w:val="auto"/>
                <w:szCs w:val="21"/>
                <w:highlight w:val="none"/>
              </w:rPr>
            </w:pPr>
            <w:r>
              <w:rPr>
                <w:color w:val="auto"/>
                <w:szCs w:val="21"/>
                <w:highlight w:val="none"/>
              </w:rPr>
              <w:t>1</w:t>
            </w:r>
            <w:r>
              <w:rPr>
                <w:rFonts w:hint="eastAsia" w:hAnsi="宋体"/>
                <w:color w:val="auto"/>
                <w:szCs w:val="21"/>
                <w:highlight w:val="none"/>
                <w:lang w:eastAsia="zh-CN"/>
              </w:rPr>
              <w:t>.</w:t>
            </w:r>
            <w:r>
              <w:rPr>
                <w:rFonts w:hAnsi="宋体"/>
                <w:color w:val="auto"/>
                <w:szCs w:val="21"/>
                <w:highlight w:val="none"/>
              </w:rPr>
              <w:t>硫酸生产</w:t>
            </w:r>
          </w:p>
        </w:tc>
        <w:tc>
          <w:tcPr>
            <w:tcW w:w="854" w:type="dxa"/>
            <w:vMerge w:val="restart"/>
            <w:noWrap/>
            <w:vAlign w:val="center"/>
          </w:tcPr>
          <w:p>
            <w:pPr>
              <w:spacing w:line="360" w:lineRule="auto"/>
              <w:jc w:val="center"/>
              <w:rPr>
                <w:color w:val="auto"/>
                <w:szCs w:val="21"/>
                <w:highlight w:val="none"/>
              </w:rPr>
            </w:pPr>
            <w:r>
              <w:rPr>
                <w:color w:val="auto"/>
                <w:szCs w:val="21"/>
                <w:highlight w:val="none"/>
              </w:rPr>
              <w:t>16</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92" w:hRule="atLeast"/>
        </w:trPr>
        <w:tc>
          <w:tcPr>
            <w:tcW w:w="1188" w:type="dxa"/>
            <w:vMerge w:val="continue"/>
            <w:noWrap/>
            <w:vAlign w:val="center"/>
          </w:tcPr>
          <w:p>
            <w:pPr>
              <w:spacing w:line="360" w:lineRule="auto"/>
              <w:jc w:val="center"/>
              <w:rPr>
                <w:color w:val="auto"/>
                <w:szCs w:val="21"/>
                <w:highlight w:val="none"/>
              </w:rPr>
            </w:pPr>
          </w:p>
        </w:tc>
        <w:tc>
          <w:tcPr>
            <w:tcW w:w="2520" w:type="dxa"/>
            <w:vMerge w:val="continue"/>
            <w:tcBorders>
              <w:bottom w:val="single" w:color="auto" w:sz="4" w:space="0"/>
            </w:tcBorders>
            <w:noWrap/>
            <w:vAlign w:val="center"/>
          </w:tcPr>
          <w:p>
            <w:pPr>
              <w:spacing w:line="240" w:lineRule="auto"/>
              <w:jc w:val="left"/>
              <w:rPr>
                <w:color w:val="auto"/>
                <w:szCs w:val="21"/>
                <w:highlight w:val="none"/>
              </w:rPr>
            </w:pPr>
          </w:p>
        </w:tc>
        <w:tc>
          <w:tcPr>
            <w:tcW w:w="3960" w:type="dxa"/>
            <w:tcBorders>
              <w:top w:val="single" w:color="auto" w:sz="4" w:space="0"/>
              <w:bottom w:val="single" w:color="auto" w:sz="4" w:space="0"/>
            </w:tcBorders>
            <w:noWrap/>
            <w:vAlign w:val="center"/>
          </w:tcPr>
          <w:p>
            <w:pPr>
              <w:spacing w:line="240" w:lineRule="auto"/>
              <w:jc w:val="left"/>
              <w:rPr>
                <w:color w:val="auto"/>
                <w:szCs w:val="21"/>
                <w:highlight w:val="none"/>
              </w:rPr>
            </w:pPr>
            <w:r>
              <w:rPr>
                <w:color w:val="auto"/>
                <w:szCs w:val="21"/>
                <w:highlight w:val="none"/>
              </w:rPr>
              <w:t>2</w:t>
            </w:r>
            <w:r>
              <w:rPr>
                <w:rFonts w:hint="eastAsia" w:hAnsi="宋体"/>
                <w:color w:val="auto"/>
                <w:szCs w:val="21"/>
                <w:highlight w:val="none"/>
                <w:lang w:eastAsia="zh-CN"/>
              </w:rPr>
              <w:t>.</w:t>
            </w:r>
            <w:r>
              <w:rPr>
                <w:rFonts w:hAnsi="宋体"/>
                <w:color w:val="auto"/>
                <w:szCs w:val="21"/>
                <w:highlight w:val="none"/>
              </w:rPr>
              <w:t>硝酸生产</w:t>
            </w:r>
          </w:p>
        </w:tc>
        <w:tc>
          <w:tcPr>
            <w:tcW w:w="854" w:type="dxa"/>
            <w:vMerge w:val="continue"/>
            <w:noWrap/>
            <w:vAlign w:val="center"/>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85" w:hRule="atLeast"/>
        </w:trPr>
        <w:tc>
          <w:tcPr>
            <w:tcW w:w="1188" w:type="dxa"/>
            <w:vMerge w:val="continue"/>
            <w:noWrap/>
            <w:vAlign w:val="center"/>
          </w:tcPr>
          <w:p>
            <w:pPr>
              <w:spacing w:line="360" w:lineRule="auto"/>
              <w:jc w:val="center"/>
              <w:rPr>
                <w:color w:val="auto"/>
                <w:szCs w:val="21"/>
                <w:highlight w:val="none"/>
              </w:rPr>
            </w:pPr>
          </w:p>
        </w:tc>
        <w:tc>
          <w:tcPr>
            <w:tcW w:w="2520" w:type="dxa"/>
            <w:vMerge w:val="restart"/>
            <w:tcBorders>
              <w:top w:val="single" w:color="auto" w:sz="4" w:space="0"/>
            </w:tcBorders>
            <w:noWrap/>
            <w:vAlign w:val="center"/>
          </w:tcPr>
          <w:p>
            <w:pPr>
              <w:spacing w:line="240" w:lineRule="auto"/>
              <w:jc w:val="left"/>
              <w:rPr>
                <w:color w:val="auto"/>
                <w:szCs w:val="21"/>
                <w:highlight w:val="none"/>
              </w:rPr>
            </w:pPr>
            <w:r>
              <w:rPr>
                <w:color w:val="auto"/>
                <w:szCs w:val="21"/>
                <w:highlight w:val="none"/>
              </w:rPr>
              <w:t>2</w:t>
            </w:r>
            <w:r>
              <w:rPr>
                <w:rFonts w:hint="eastAsia" w:hAnsi="宋体"/>
                <w:color w:val="auto"/>
                <w:szCs w:val="21"/>
                <w:highlight w:val="none"/>
                <w:lang w:eastAsia="zh-CN"/>
              </w:rPr>
              <w:t>.</w:t>
            </w:r>
            <w:r>
              <w:rPr>
                <w:color w:val="auto"/>
                <w:szCs w:val="21"/>
                <w:highlight w:val="none"/>
              </w:rPr>
              <w:t>‘</w:t>
            </w:r>
            <w:r>
              <w:rPr>
                <w:rFonts w:hAnsi="宋体"/>
                <w:color w:val="auto"/>
                <w:szCs w:val="21"/>
                <w:highlight w:val="none"/>
              </w:rPr>
              <w:t>纯碱和烧碱的生产</w:t>
            </w:r>
          </w:p>
        </w:tc>
        <w:tc>
          <w:tcPr>
            <w:tcW w:w="3960" w:type="dxa"/>
            <w:tcBorders>
              <w:top w:val="single" w:color="auto" w:sz="4" w:space="0"/>
              <w:bottom w:val="single" w:color="auto" w:sz="4" w:space="0"/>
            </w:tcBorders>
            <w:noWrap/>
            <w:vAlign w:val="center"/>
          </w:tcPr>
          <w:p>
            <w:pPr>
              <w:spacing w:line="240" w:lineRule="auto"/>
              <w:jc w:val="left"/>
              <w:rPr>
                <w:color w:val="auto"/>
                <w:szCs w:val="21"/>
                <w:highlight w:val="none"/>
              </w:rPr>
            </w:pPr>
            <w:r>
              <w:rPr>
                <w:color w:val="auto"/>
                <w:szCs w:val="21"/>
                <w:highlight w:val="none"/>
              </w:rPr>
              <w:t>1</w:t>
            </w:r>
            <w:r>
              <w:rPr>
                <w:rFonts w:hint="eastAsia" w:hAnsi="宋体"/>
                <w:color w:val="auto"/>
                <w:szCs w:val="21"/>
                <w:highlight w:val="none"/>
                <w:lang w:eastAsia="zh-CN"/>
              </w:rPr>
              <w:t>.</w:t>
            </w:r>
            <w:r>
              <w:rPr>
                <w:rFonts w:hAnsi="宋体"/>
                <w:color w:val="auto"/>
                <w:szCs w:val="21"/>
                <w:highlight w:val="none"/>
              </w:rPr>
              <w:t>氨碱法制纯碱</w:t>
            </w:r>
          </w:p>
        </w:tc>
        <w:tc>
          <w:tcPr>
            <w:tcW w:w="854" w:type="dxa"/>
            <w:vMerge w:val="continue"/>
            <w:noWrap/>
            <w:vAlign w:val="center"/>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62" w:hRule="atLeast"/>
        </w:trPr>
        <w:tc>
          <w:tcPr>
            <w:tcW w:w="1188" w:type="dxa"/>
            <w:vMerge w:val="continue"/>
            <w:noWrap/>
            <w:vAlign w:val="center"/>
          </w:tcPr>
          <w:p>
            <w:pPr>
              <w:spacing w:line="360" w:lineRule="auto"/>
              <w:jc w:val="center"/>
              <w:rPr>
                <w:color w:val="auto"/>
                <w:szCs w:val="21"/>
                <w:highlight w:val="none"/>
              </w:rPr>
            </w:pPr>
          </w:p>
        </w:tc>
        <w:tc>
          <w:tcPr>
            <w:tcW w:w="2520" w:type="dxa"/>
            <w:vMerge w:val="continue"/>
            <w:noWrap/>
            <w:vAlign w:val="center"/>
          </w:tcPr>
          <w:p>
            <w:pPr>
              <w:spacing w:line="240" w:lineRule="auto"/>
              <w:jc w:val="left"/>
              <w:rPr>
                <w:color w:val="auto"/>
                <w:szCs w:val="21"/>
                <w:highlight w:val="none"/>
              </w:rPr>
            </w:pPr>
          </w:p>
        </w:tc>
        <w:tc>
          <w:tcPr>
            <w:tcW w:w="3960" w:type="dxa"/>
            <w:tcBorders>
              <w:top w:val="single" w:color="auto" w:sz="4" w:space="0"/>
              <w:bottom w:val="single" w:color="auto" w:sz="4" w:space="0"/>
            </w:tcBorders>
            <w:noWrap/>
            <w:vAlign w:val="center"/>
          </w:tcPr>
          <w:p>
            <w:pPr>
              <w:spacing w:line="240" w:lineRule="auto"/>
              <w:jc w:val="left"/>
              <w:rPr>
                <w:color w:val="auto"/>
                <w:szCs w:val="21"/>
                <w:highlight w:val="none"/>
              </w:rPr>
            </w:pPr>
            <w:r>
              <w:rPr>
                <w:color w:val="auto"/>
                <w:szCs w:val="21"/>
                <w:highlight w:val="none"/>
              </w:rPr>
              <w:t>2</w:t>
            </w:r>
            <w:r>
              <w:rPr>
                <w:rFonts w:hint="eastAsia" w:hAnsi="宋体"/>
                <w:color w:val="auto"/>
                <w:szCs w:val="21"/>
                <w:highlight w:val="none"/>
                <w:lang w:eastAsia="zh-CN"/>
              </w:rPr>
              <w:t>.</w:t>
            </w:r>
            <w:r>
              <w:rPr>
                <w:rFonts w:hAnsi="宋体"/>
                <w:color w:val="auto"/>
                <w:szCs w:val="21"/>
                <w:highlight w:val="none"/>
              </w:rPr>
              <w:t>联合法生产纯碱和氯化铵</w:t>
            </w:r>
          </w:p>
        </w:tc>
        <w:tc>
          <w:tcPr>
            <w:tcW w:w="854" w:type="dxa"/>
            <w:vMerge w:val="continue"/>
            <w:noWrap/>
            <w:vAlign w:val="center"/>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77" w:hRule="atLeast"/>
        </w:trPr>
        <w:tc>
          <w:tcPr>
            <w:tcW w:w="1188" w:type="dxa"/>
            <w:vMerge w:val="continue"/>
            <w:noWrap/>
            <w:vAlign w:val="center"/>
          </w:tcPr>
          <w:p>
            <w:pPr>
              <w:spacing w:line="360" w:lineRule="auto"/>
              <w:jc w:val="center"/>
              <w:rPr>
                <w:color w:val="auto"/>
                <w:szCs w:val="21"/>
                <w:highlight w:val="none"/>
              </w:rPr>
            </w:pPr>
          </w:p>
        </w:tc>
        <w:tc>
          <w:tcPr>
            <w:tcW w:w="2520" w:type="dxa"/>
            <w:vMerge w:val="continue"/>
            <w:noWrap/>
            <w:vAlign w:val="center"/>
          </w:tcPr>
          <w:p>
            <w:pPr>
              <w:spacing w:line="240" w:lineRule="auto"/>
              <w:jc w:val="left"/>
              <w:rPr>
                <w:color w:val="auto"/>
                <w:szCs w:val="21"/>
                <w:highlight w:val="none"/>
              </w:rPr>
            </w:pPr>
          </w:p>
        </w:tc>
        <w:tc>
          <w:tcPr>
            <w:tcW w:w="3960" w:type="dxa"/>
            <w:tcBorders>
              <w:top w:val="single" w:color="auto" w:sz="4" w:space="0"/>
              <w:bottom w:val="single" w:color="auto" w:sz="4" w:space="0"/>
            </w:tcBorders>
            <w:noWrap/>
            <w:vAlign w:val="center"/>
          </w:tcPr>
          <w:p>
            <w:pPr>
              <w:spacing w:line="240" w:lineRule="auto"/>
              <w:jc w:val="left"/>
              <w:rPr>
                <w:color w:val="auto"/>
                <w:szCs w:val="21"/>
                <w:highlight w:val="none"/>
              </w:rPr>
            </w:pPr>
            <w:r>
              <w:rPr>
                <w:color w:val="auto"/>
                <w:szCs w:val="21"/>
                <w:highlight w:val="none"/>
              </w:rPr>
              <w:t>3</w:t>
            </w:r>
            <w:r>
              <w:rPr>
                <w:rFonts w:hint="eastAsia" w:hAnsi="宋体"/>
                <w:color w:val="auto"/>
                <w:szCs w:val="21"/>
                <w:highlight w:val="none"/>
                <w:lang w:eastAsia="zh-CN"/>
              </w:rPr>
              <w:t>.</w:t>
            </w:r>
            <w:r>
              <w:rPr>
                <w:rFonts w:hAnsi="宋体"/>
                <w:color w:val="auto"/>
                <w:szCs w:val="21"/>
                <w:highlight w:val="none"/>
              </w:rPr>
              <w:t>电解法生产烧碱</w:t>
            </w:r>
          </w:p>
        </w:tc>
        <w:tc>
          <w:tcPr>
            <w:tcW w:w="854" w:type="dxa"/>
            <w:vMerge w:val="continue"/>
            <w:noWrap/>
            <w:vAlign w:val="center"/>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92" w:hRule="atLeast"/>
        </w:trPr>
        <w:tc>
          <w:tcPr>
            <w:tcW w:w="1188" w:type="dxa"/>
            <w:vMerge w:val="continue"/>
            <w:noWrap/>
          </w:tcPr>
          <w:p>
            <w:pPr>
              <w:spacing w:line="360" w:lineRule="auto"/>
              <w:jc w:val="center"/>
              <w:rPr>
                <w:color w:val="auto"/>
                <w:szCs w:val="21"/>
                <w:highlight w:val="none"/>
              </w:rPr>
            </w:pPr>
          </w:p>
        </w:tc>
        <w:tc>
          <w:tcPr>
            <w:tcW w:w="2520" w:type="dxa"/>
            <w:vMerge w:val="restart"/>
            <w:noWrap/>
            <w:vAlign w:val="center"/>
          </w:tcPr>
          <w:p>
            <w:pPr>
              <w:spacing w:line="240" w:lineRule="auto"/>
              <w:jc w:val="left"/>
              <w:rPr>
                <w:color w:val="auto"/>
                <w:szCs w:val="21"/>
                <w:highlight w:val="none"/>
              </w:rPr>
            </w:pPr>
            <w:r>
              <w:rPr>
                <w:color w:val="auto"/>
                <w:szCs w:val="21"/>
                <w:highlight w:val="none"/>
              </w:rPr>
              <w:t>3</w:t>
            </w:r>
            <w:r>
              <w:rPr>
                <w:rFonts w:hint="eastAsia" w:hAnsi="宋体"/>
                <w:color w:val="auto"/>
                <w:szCs w:val="21"/>
                <w:highlight w:val="none"/>
                <w:lang w:eastAsia="zh-CN"/>
              </w:rPr>
              <w:t>.</w:t>
            </w:r>
            <w:r>
              <w:rPr>
                <w:rFonts w:hAnsi="宋体"/>
                <w:color w:val="auto"/>
                <w:szCs w:val="21"/>
                <w:highlight w:val="none"/>
              </w:rPr>
              <w:t>无机盐的生产</w:t>
            </w:r>
          </w:p>
        </w:tc>
        <w:tc>
          <w:tcPr>
            <w:tcW w:w="3960" w:type="dxa"/>
            <w:noWrap/>
            <w:vAlign w:val="center"/>
          </w:tcPr>
          <w:p>
            <w:pPr>
              <w:spacing w:line="240" w:lineRule="auto"/>
              <w:jc w:val="left"/>
              <w:rPr>
                <w:color w:val="auto"/>
                <w:szCs w:val="21"/>
                <w:highlight w:val="none"/>
              </w:rPr>
            </w:pPr>
            <w:r>
              <w:rPr>
                <w:color w:val="auto"/>
                <w:szCs w:val="21"/>
                <w:highlight w:val="none"/>
              </w:rPr>
              <w:t>1</w:t>
            </w:r>
            <w:r>
              <w:rPr>
                <w:rFonts w:hint="eastAsia" w:hAnsi="宋体"/>
                <w:color w:val="auto"/>
                <w:szCs w:val="21"/>
                <w:highlight w:val="none"/>
                <w:lang w:eastAsia="zh-CN"/>
              </w:rPr>
              <w:t>.</w:t>
            </w:r>
            <w:r>
              <w:rPr>
                <w:rFonts w:hAnsi="宋体"/>
                <w:color w:val="auto"/>
                <w:szCs w:val="21"/>
                <w:highlight w:val="none"/>
              </w:rPr>
              <w:t>轻质碳酸钙的生产</w:t>
            </w:r>
          </w:p>
        </w:tc>
        <w:tc>
          <w:tcPr>
            <w:tcW w:w="854" w:type="dxa"/>
            <w:vMerge w:val="continue"/>
            <w:noWrap/>
          </w:tcPr>
          <w:p>
            <w:pPr>
              <w:spacing w:line="360" w:lineRule="auto"/>
              <w:jc w:val="center"/>
              <w:rPr>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92" w:hRule="atLeast"/>
        </w:trPr>
        <w:tc>
          <w:tcPr>
            <w:tcW w:w="1188" w:type="dxa"/>
            <w:vMerge w:val="continue"/>
            <w:noWrap/>
          </w:tcPr>
          <w:p>
            <w:pPr>
              <w:spacing w:line="360" w:lineRule="auto"/>
              <w:jc w:val="center"/>
              <w:rPr>
                <w:color w:val="auto"/>
                <w:szCs w:val="21"/>
                <w:highlight w:val="none"/>
              </w:rPr>
            </w:pPr>
          </w:p>
        </w:tc>
        <w:tc>
          <w:tcPr>
            <w:tcW w:w="2520" w:type="dxa"/>
            <w:vMerge w:val="continue"/>
            <w:noWrap/>
            <w:vAlign w:val="center"/>
          </w:tcPr>
          <w:p>
            <w:pPr>
              <w:spacing w:line="240" w:lineRule="auto"/>
              <w:jc w:val="left"/>
              <w:rPr>
                <w:color w:val="auto"/>
                <w:szCs w:val="21"/>
                <w:highlight w:val="none"/>
              </w:rPr>
            </w:pPr>
          </w:p>
        </w:tc>
        <w:tc>
          <w:tcPr>
            <w:tcW w:w="3960" w:type="dxa"/>
            <w:noWrap/>
            <w:vAlign w:val="center"/>
          </w:tcPr>
          <w:p>
            <w:pPr>
              <w:spacing w:line="240" w:lineRule="auto"/>
              <w:jc w:val="left"/>
              <w:rPr>
                <w:color w:val="auto"/>
                <w:szCs w:val="21"/>
                <w:highlight w:val="none"/>
              </w:rPr>
            </w:pPr>
            <w:r>
              <w:rPr>
                <w:color w:val="auto"/>
                <w:szCs w:val="21"/>
                <w:highlight w:val="none"/>
              </w:rPr>
              <w:t>2</w:t>
            </w:r>
            <w:r>
              <w:rPr>
                <w:rFonts w:hint="eastAsia" w:hAnsi="宋体"/>
                <w:color w:val="auto"/>
                <w:szCs w:val="21"/>
                <w:highlight w:val="none"/>
                <w:lang w:eastAsia="zh-CN"/>
              </w:rPr>
              <w:t>.</w:t>
            </w:r>
            <w:r>
              <w:rPr>
                <w:rFonts w:hAnsi="宋体"/>
                <w:color w:val="auto"/>
                <w:szCs w:val="21"/>
                <w:highlight w:val="none"/>
              </w:rPr>
              <w:t>硅酸盐工业</w:t>
            </w:r>
          </w:p>
        </w:tc>
        <w:tc>
          <w:tcPr>
            <w:tcW w:w="854" w:type="dxa"/>
            <w:vMerge w:val="continue"/>
            <w:noWrap/>
          </w:tcPr>
          <w:p>
            <w:pPr>
              <w:spacing w:line="360" w:lineRule="auto"/>
              <w:jc w:val="center"/>
              <w:rPr>
                <w:color w:val="auto"/>
                <w:szCs w:val="21"/>
                <w:highlight w:val="none"/>
              </w:rPr>
            </w:pPr>
          </w:p>
        </w:tc>
      </w:tr>
    </w:tbl>
    <w:p>
      <w:pPr>
        <w:spacing w:line="360" w:lineRule="auto"/>
        <w:rPr>
          <w:bCs/>
          <w:color w:val="auto"/>
          <w:sz w:val="24"/>
          <w:highlight w:val="none"/>
        </w:rPr>
      </w:pP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（五）教学组织与教学方法</w:t>
      </w:r>
    </w:p>
    <w:p>
      <w:pPr>
        <w:adjustRightInd w:val="0"/>
        <w:spacing w:line="360" w:lineRule="auto"/>
        <w:ind w:firstLine="480" w:firstLineChars="200"/>
        <w:jc w:val="left"/>
        <w:rPr>
          <w:rStyle w:val="17"/>
          <w:b w:val="0"/>
          <w:color w:val="auto"/>
          <w:sz w:val="24"/>
          <w:highlight w:val="none"/>
        </w:rPr>
      </w:pPr>
      <w:r>
        <w:rPr>
          <w:rStyle w:val="17"/>
          <w:rFonts w:hint="eastAsia"/>
          <w:b w:val="0"/>
          <w:color w:val="auto"/>
          <w:sz w:val="24"/>
          <w:highlight w:val="none"/>
        </w:rPr>
        <w:t>1</w:t>
      </w:r>
      <w:r>
        <w:rPr>
          <w:rStyle w:val="17"/>
          <w:rFonts w:hint="eastAsia"/>
          <w:b w:val="0"/>
          <w:color w:val="auto"/>
          <w:sz w:val="24"/>
          <w:highlight w:val="none"/>
          <w:lang w:val="en-US" w:eastAsia="zh-CN"/>
        </w:rPr>
        <w:t>.</w:t>
      </w:r>
      <w:r>
        <w:rPr>
          <w:rStyle w:val="17"/>
          <w:rFonts w:hint="eastAsia" w:hAnsi="宋体"/>
          <w:b w:val="0"/>
          <w:color w:val="auto"/>
          <w:sz w:val="24"/>
          <w:highlight w:val="none"/>
        </w:rPr>
        <w:t>教学模式的设计与创新</w:t>
      </w:r>
    </w:p>
    <w:p>
      <w:pPr>
        <w:adjustRightInd w:val="0"/>
        <w:spacing w:line="360" w:lineRule="auto"/>
        <w:ind w:firstLine="480" w:firstLineChars="200"/>
        <w:rPr>
          <w:color w:val="auto"/>
          <w:sz w:val="24"/>
          <w:highlight w:val="none"/>
        </w:rPr>
      </w:pPr>
      <w:r>
        <w:rPr>
          <w:rFonts w:hint="eastAsia"/>
          <w:color w:val="auto"/>
          <w:sz w:val="24"/>
          <w:highlight w:val="none"/>
        </w:rPr>
        <w:t>为使本课程达到最佳教学效果，本课程在教学模式上打破了传统的教学模式，按照企业的生产岗位要求，以任务驱动、项目导向的教学方法实施教学。在教学环境和氛围上营造工学结合场景，让学生感受到工作情境。在教学上突出“项目任务驱动”教学法，将“教、学、做”有机结合，采用“教师布置任务</w:t>
      </w:r>
      <w:r>
        <w:rPr>
          <w:rFonts w:hint="eastAsia" w:cs="宋体"/>
          <w:color w:val="auto"/>
          <w:sz w:val="24"/>
          <w:highlight w:val="none"/>
        </w:rPr>
        <w:t>→</w:t>
      </w:r>
      <w:r>
        <w:rPr>
          <w:rFonts w:hint="eastAsia"/>
          <w:color w:val="auto"/>
          <w:sz w:val="24"/>
          <w:highlight w:val="none"/>
        </w:rPr>
        <w:t>学生了解任务</w:t>
      </w:r>
      <w:r>
        <w:rPr>
          <w:rFonts w:hint="eastAsia" w:cs="宋体"/>
          <w:color w:val="auto"/>
          <w:sz w:val="24"/>
          <w:highlight w:val="none"/>
        </w:rPr>
        <w:t>→</w:t>
      </w:r>
      <w:r>
        <w:rPr>
          <w:rFonts w:hint="eastAsia"/>
          <w:color w:val="auto"/>
          <w:sz w:val="24"/>
          <w:highlight w:val="none"/>
        </w:rPr>
        <w:t>学生自主策划项目计划</w:t>
      </w:r>
      <w:r>
        <w:rPr>
          <w:rFonts w:hint="eastAsia" w:cs="宋体"/>
          <w:color w:val="auto"/>
          <w:sz w:val="24"/>
          <w:highlight w:val="none"/>
        </w:rPr>
        <w:t>→</w:t>
      </w:r>
      <w:r>
        <w:rPr>
          <w:rFonts w:hint="eastAsia"/>
          <w:color w:val="auto"/>
          <w:sz w:val="24"/>
          <w:highlight w:val="none"/>
        </w:rPr>
        <w:t>师生共同分析计划</w:t>
      </w:r>
      <w:r>
        <w:rPr>
          <w:rFonts w:hint="eastAsia" w:cs="宋体"/>
          <w:color w:val="auto"/>
          <w:sz w:val="24"/>
          <w:highlight w:val="none"/>
        </w:rPr>
        <w:t>→</w:t>
      </w:r>
      <w:r>
        <w:rPr>
          <w:rFonts w:hint="eastAsia"/>
          <w:color w:val="auto"/>
          <w:sz w:val="24"/>
          <w:highlight w:val="none"/>
        </w:rPr>
        <w:t>学生修订策划</w:t>
      </w:r>
      <w:r>
        <w:rPr>
          <w:rFonts w:hint="eastAsia" w:cs="宋体"/>
          <w:color w:val="auto"/>
          <w:sz w:val="24"/>
          <w:highlight w:val="none"/>
        </w:rPr>
        <w:t>→</w:t>
      </w:r>
      <w:r>
        <w:rPr>
          <w:rFonts w:hint="eastAsia"/>
          <w:color w:val="auto"/>
          <w:sz w:val="24"/>
          <w:highlight w:val="none"/>
        </w:rPr>
        <w:t>投入实施训练</w:t>
      </w:r>
      <w:r>
        <w:rPr>
          <w:rFonts w:hint="eastAsia" w:cs="宋体"/>
          <w:color w:val="auto"/>
          <w:sz w:val="24"/>
          <w:highlight w:val="none"/>
        </w:rPr>
        <w:t>→</w:t>
      </w:r>
      <w:r>
        <w:rPr>
          <w:rFonts w:hint="eastAsia"/>
          <w:color w:val="auto"/>
          <w:sz w:val="24"/>
          <w:highlight w:val="none"/>
        </w:rPr>
        <w:t>项目完成情况检查</w:t>
      </w:r>
      <w:r>
        <w:rPr>
          <w:rFonts w:hint="eastAsia" w:cs="宋体"/>
          <w:color w:val="auto"/>
          <w:sz w:val="24"/>
          <w:highlight w:val="none"/>
        </w:rPr>
        <w:t>→</w:t>
      </w:r>
      <w:r>
        <w:rPr>
          <w:rFonts w:hint="eastAsia"/>
          <w:color w:val="auto"/>
          <w:sz w:val="24"/>
          <w:highlight w:val="none"/>
        </w:rPr>
        <w:t>教师评价、学生自评”的教学流程。这样不仅培养学生的专业能力，更重要的是培养了学生的动手能力、自学能力、创新能力、团队协作能力和可持续发展能力。</w:t>
      </w:r>
    </w:p>
    <w:p>
      <w:pPr>
        <w:pStyle w:val="25"/>
        <w:spacing w:line="360" w:lineRule="auto"/>
        <w:ind w:firstLine="480"/>
        <w:rPr>
          <w:color w:val="auto"/>
          <w:sz w:val="24"/>
          <w:szCs w:val="24"/>
          <w:highlight w:val="none"/>
        </w:rPr>
      </w:pPr>
      <w:r>
        <w:rPr>
          <w:rStyle w:val="17"/>
          <w:rFonts w:hint="eastAsia"/>
          <w:b w:val="0"/>
          <w:color w:val="auto"/>
          <w:sz w:val="24"/>
          <w:szCs w:val="24"/>
          <w:highlight w:val="none"/>
        </w:rPr>
        <w:t>2</w:t>
      </w:r>
      <w:r>
        <w:rPr>
          <w:rStyle w:val="17"/>
          <w:rFonts w:hint="eastAsia"/>
          <w:b w:val="0"/>
          <w:color w:val="auto"/>
          <w:sz w:val="24"/>
          <w:szCs w:val="24"/>
          <w:highlight w:val="none"/>
          <w:lang w:val="en-US" w:eastAsia="zh-CN"/>
        </w:rPr>
        <w:t>.</w:t>
      </w:r>
      <w:r>
        <w:rPr>
          <w:rFonts w:hint="eastAsia"/>
          <w:color w:val="auto"/>
          <w:sz w:val="24"/>
          <w:szCs w:val="24"/>
          <w:highlight w:val="none"/>
        </w:rPr>
        <w:t>教学方法</w:t>
      </w:r>
    </w:p>
    <w:p>
      <w:pPr>
        <w:pStyle w:val="25"/>
        <w:spacing w:line="360" w:lineRule="auto"/>
        <w:ind w:firstLine="480"/>
        <w:rPr>
          <w:rFonts w:ascii="Times New Roman" w:hAnsi="Times New Roman"/>
          <w:color w:val="auto"/>
          <w:sz w:val="24"/>
          <w:szCs w:val="24"/>
          <w:highlight w:val="none"/>
        </w:rPr>
      </w:pPr>
      <w:r>
        <w:rPr>
          <w:rFonts w:hint="eastAsia"/>
          <w:color w:val="auto"/>
          <w:sz w:val="24"/>
          <w:szCs w:val="24"/>
          <w:highlight w:val="none"/>
        </w:rPr>
        <w:t>在本课程教学中，充分利用现场教学，合理运用现代教育技术，利用动画、PPT 课件等进行教学。积极改革教学方法，采用任务驱动教学法，现场教学法，案例教学法，角色扮演法，多媒体教学法，分组讨论法，启发式教学法等教学方法。</w:t>
      </w:r>
      <w:r>
        <w:rPr>
          <w:rFonts w:ascii="Times New Roman"/>
          <w:color w:val="auto"/>
          <w:sz w:val="24"/>
          <w:szCs w:val="24"/>
          <w:highlight w:val="none"/>
        </w:rPr>
        <w:t>让学生在</w:t>
      </w:r>
      <w:r>
        <w:rPr>
          <w:rFonts w:hint="eastAsia" w:ascii="Times New Roman" w:hAnsi="Times New Roman"/>
          <w:color w:val="auto"/>
          <w:sz w:val="24"/>
          <w:szCs w:val="24"/>
          <w:highlight w:val="none"/>
        </w:rPr>
        <w:t>“</w:t>
      </w:r>
      <w:r>
        <w:rPr>
          <w:rFonts w:ascii="Times New Roman"/>
          <w:color w:val="auto"/>
          <w:sz w:val="24"/>
          <w:szCs w:val="24"/>
          <w:highlight w:val="none"/>
        </w:rPr>
        <w:t>学中做、做中学、学会做</w:t>
      </w:r>
      <w:r>
        <w:rPr>
          <w:rFonts w:hint="eastAsia" w:ascii="Times New Roman" w:hAnsi="Times New Roman"/>
          <w:color w:val="auto"/>
          <w:sz w:val="24"/>
          <w:szCs w:val="24"/>
          <w:highlight w:val="none"/>
        </w:rPr>
        <w:t>”</w:t>
      </w:r>
      <w:r>
        <w:rPr>
          <w:rFonts w:ascii="Times New Roman"/>
          <w:color w:val="auto"/>
          <w:sz w:val="24"/>
          <w:szCs w:val="24"/>
          <w:highlight w:val="none"/>
        </w:rPr>
        <w:t>，真正做到</w:t>
      </w:r>
      <w:r>
        <w:rPr>
          <w:rFonts w:hint="eastAsia" w:ascii="Times New Roman" w:hAnsi="Times New Roman"/>
          <w:color w:val="auto"/>
          <w:sz w:val="24"/>
          <w:szCs w:val="24"/>
          <w:highlight w:val="none"/>
        </w:rPr>
        <w:t>“</w:t>
      </w:r>
      <w:r>
        <w:rPr>
          <w:rFonts w:ascii="Times New Roman"/>
          <w:color w:val="auto"/>
          <w:sz w:val="24"/>
          <w:szCs w:val="24"/>
          <w:highlight w:val="none"/>
        </w:rPr>
        <w:t>做学合一</w:t>
      </w:r>
      <w:r>
        <w:rPr>
          <w:rFonts w:hint="eastAsia" w:ascii="Times New Roman" w:hAnsi="Times New Roman"/>
          <w:color w:val="auto"/>
          <w:sz w:val="24"/>
          <w:szCs w:val="24"/>
          <w:highlight w:val="none"/>
        </w:rPr>
        <w:t>”</w:t>
      </w:r>
      <w:r>
        <w:rPr>
          <w:rFonts w:ascii="Times New Roman"/>
          <w:color w:val="auto"/>
          <w:sz w:val="24"/>
          <w:szCs w:val="24"/>
          <w:highlight w:val="none"/>
        </w:rPr>
        <w:t>。</w:t>
      </w:r>
    </w:p>
    <w:p>
      <w:pPr>
        <w:pStyle w:val="25"/>
        <w:spacing w:line="360" w:lineRule="auto"/>
        <w:ind w:firstLine="480"/>
        <w:rPr>
          <w:rFonts w:ascii="Times New Roman" w:hAnsi="Times New Roman"/>
          <w:color w:val="auto"/>
          <w:sz w:val="24"/>
          <w:szCs w:val="24"/>
          <w:highlight w:val="none"/>
        </w:rPr>
      </w:pPr>
      <w:r>
        <w:rPr>
          <w:rFonts w:ascii="Times New Roman" w:hAnsi="Times New Roman"/>
          <w:color w:val="auto"/>
          <w:sz w:val="24"/>
          <w:szCs w:val="24"/>
          <w:highlight w:val="none"/>
        </w:rPr>
        <w:t xml:space="preserve">(1)“项目驱动”教学法 </w:t>
      </w:r>
    </w:p>
    <w:p>
      <w:pPr>
        <w:pStyle w:val="25"/>
        <w:spacing w:line="360" w:lineRule="auto"/>
        <w:ind w:firstLine="480"/>
        <w:rPr>
          <w:rFonts w:ascii="Times New Roman" w:hAnsi="Times New Roman"/>
          <w:color w:val="auto"/>
          <w:sz w:val="24"/>
          <w:szCs w:val="24"/>
          <w:highlight w:val="none"/>
        </w:rPr>
      </w:pPr>
      <w:r>
        <w:rPr>
          <w:rFonts w:ascii="Times New Roman" w:hAnsi="Times New Roman"/>
          <w:color w:val="auto"/>
          <w:sz w:val="24"/>
          <w:szCs w:val="24"/>
          <w:highlight w:val="none"/>
        </w:rPr>
        <w:t>在教学一体化过程中，以</w:t>
      </w:r>
      <w:r>
        <w:rPr>
          <w:rFonts w:hint="eastAsia" w:ascii="Times New Roman" w:hAnsi="Times New Roman"/>
          <w:color w:val="auto"/>
          <w:sz w:val="24"/>
          <w:szCs w:val="24"/>
          <w:highlight w:val="none"/>
        </w:rPr>
        <w:t>“</w:t>
      </w:r>
      <w:r>
        <w:rPr>
          <w:rFonts w:ascii="Times New Roman" w:hAnsi="Times New Roman"/>
          <w:color w:val="auto"/>
          <w:sz w:val="24"/>
          <w:szCs w:val="24"/>
          <w:highlight w:val="none"/>
        </w:rPr>
        <w:t>任务驱动</w:t>
      </w:r>
      <w:r>
        <w:rPr>
          <w:rFonts w:hint="eastAsia" w:ascii="Times New Roman" w:hAnsi="Times New Roman"/>
          <w:color w:val="auto"/>
          <w:sz w:val="24"/>
          <w:szCs w:val="24"/>
          <w:highlight w:val="none"/>
        </w:rPr>
        <w:t>”</w:t>
      </w:r>
      <w:r>
        <w:rPr>
          <w:rFonts w:ascii="Times New Roman" w:hAnsi="Times New Roman"/>
          <w:color w:val="auto"/>
          <w:sz w:val="24"/>
          <w:szCs w:val="24"/>
          <w:highlight w:val="none"/>
        </w:rPr>
        <w:t>为主线，将任务分解、</w:t>
      </w:r>
      <w:r>
        <w:rPr>
          <w:rFonts w:hint="eastAsia" w:ascii="Times New Roman" w:hAnsi="Times New Roman"/>
          <w:color w:val="auto"/>
          <w:sz w:val="24"/>
          <w:szCs w:val="24"/>
          <w:highlight w:val="none"/>
        </w:rPr>
        <w:t>“</w:t>
      </w:r>
      <w:r>
        <w:rPr>
          <w:rFonts w:ascii="Times New Roman" w:hAnsi="Times New Roman"/>
          <w:color w:val="auto"/>
          <w:sz w:val="24"/>
          <w:szCs w:val="24"/>
          <w:highlight w:val="none"/>
        </w:rPr>
        <w:t>教、学、做</w:t>
      </w:r>
      <w:r>
        <w:rPr>
          <w:rFonts w:hint="eastAsia" w:ascii="Times New Roman" w:hAnsi="Times New Roman"/>
          <w:color w:val="auto"/>
          <w:sz w:val="24"/>
          <w:szCs w:val="24"/>
          <w:highlight w:val="none"/>
        </w:rPr>
        <w:t>”</w:t>
      </w:r>
      <w:r>
        <w:rPr>
          <w:rFonts w:ascii="Times New Roman" w:hAnsi="Times New Roman"/>
          <w:color w:val="auto"/>
          <w:sz w:val="24"/>
          <w:szCs w:val="24"/>
          <w:highlight w:val="none"/>
        </w:rPr>
        <w:t>有机结合起来。通过</w:t>
      </w:r>
      <w:r>
        <w:rPr>
          <w:rFonts w:hint="eastAsia" w:ascii="Times New Roman" w:hAnsi="Times New Roman"/>
          <w:color w:val="auto"/>
          <w:sz w:val="24"/>
          <w:szCs w:val="24"/>
          <w:highlight w:val="none"/>
        </w:rPr>
        <w:t>“</w:t>
      </w:r>
      <w:r>
        <w:rPr>
          <w:rFonts w:ascii="Times New Roman" w:hAnsi="Times New Roman"/>
          <w:color w:val="auto"/>
          <w:sz w:val="24"/>
          <w:szCs w:val="24"/>
          <w:highlight w:val="none"/>
        </w:rPr>
        <w:t>项目驱动</w:t>
      </w:r>
      <w:r>
        <w:rPr>
          <w:rFonts w:hint="eastAsia" w:ascii="Times New Roman" w:hAnsi="Times New Roman"/>
          <w:color w:val="auto"/>
          <w:sz w:val="24"/>
          <w:szCs w:val="24"/>
          <w:highlight w:val="none"/>
        </w:rPr>
        <w:t>”</w:t>
      </w:r>
      <w:r>
        <w:rPr>
          <w:rFonts w:ascii="Times New Roman" w:hAnsi="Times New Roman"/>
          <w:color w:val="auto"/>
          <w:sz w:val="24"/>
          <w:szCs w:val="24"/>
          <w:highlight w:val="none"/>
        </w:rPr>
        <w:t>，可以加强学生训练目的性，在教学过程进行前学生已经接到项目的内容、要求，学生通过项目调研、项目实施、项目验收等环节的训练，培养了学生发现问题、分析问题和解决问题的能力和技术。本课程所设计的案例项目层次分明，由简单到复杂，逐步培养学生的专业能力、知识能力和社会能力。</w:t>
      </w:r>
    </w:p>
    <w:p>
      <w:pPr>
        <w:pStyle w:val="25"/>
        <w:spacing w:line="360" w:lineRule="auto"/>
        <w:ind w:firstLine="480"/>
        <w:rPr>
          <w:rFonts w:ascii="Times New Roman" w:hAnsi="Times New Roman"/>
          <w:color w:val="auto"/>
          <w:sz w:val="24"/>
          <w:szCs w:val="24"/>
          <w:highlight w:val="none"/>
        </w:rPr>
      </w:pPr>
      <w:r>
        <w:rPr>
          <w:rFonts w:ascii="Times New Roman" w:hAnsi="Times New Roman"/>
          <w:color w:val="auto"/>
          <w:sz w:val="24"/>
          <w:szCs w:val="24"/>
          <w:highlight w:val="none"/>
        </w:rPr>
        <w:t>(2)现场教学法</w:t>
      </w:r>
    </w:p>
    <w:p>
      <w:pPr>
        <w:pStyle w:val="25"/>
        <w:spacing w:line="360" w:lineRule="auto"/>
        <w:ind w:firstLine="480"/>
        <w:rPr>
          <w:rFonts w:ascii="Times New Roman" w:hAnsi="Times New Roman"/>
          <w:color w:val="auto"/>
          <w:sz w:val="24"/>
          <w:szCs w:val="24"/>
          <w:highlight w:val="none"/>
        </w:rPr>
      </w:pPr>
      <w:r>
        <w:rPr>
          <w:rFonts w:ascii="Times New Roman" w:hAnsi="Times New Roman"/>
          <w:color w:val="auto"/>
          <w:sz w:val="24"/>
          <w:szCs w:val="24"/>
          <w:highlight w:val="none"/>
        </w:rPr>
        <w:t>在实训场所、生产一线进行现场教学，理论与实践有机结合，进行一体化教学，增强学生的感性认识，建立控制系统的现场感，提高学生的理解能力，便于学生掌握较抽象的知识点。</w:t>
      </w:r>
    </w:p>
    <w:p>
      <w:pPr>
        <w:pStyle w:val="25"/>
        <w:spacing w:line="360" w:lineRule="auto"/>
        <w:ind w:firstLine="480"/>
        <w:rPr>
          <w:rFonts w:ascii="Times New Roman" w:hAnsi="Times New Roman"/>
          <w:color w:val="auto"/>
          <w:sz w:val="24"/>
          <w:szCs w:val="24"/>
          <w:highlight w:val="none"/>
        </w:rPr>
      </w:pPr>
      <w:r>
        <w:rPr>
          <w:rFonts w:ascii="Times New Roman" w:hAnsi="Times New Roman"/>
          <w:color w:val="auto"/>
          <w:sz w:val="24"/>
          <w:szCs w:val="24"/>
          <w:highlight w:val="none"/>
        </w:rPr>
        <w:t xml:space="preserve">(3)案例教学法 </w:t>
      </w:r>
    </w:p>
    <w:p>
      <w:pPr>
        <w:pStyle w:val="25"/>
        <w:spacing w:line="360" w:lineRule="auto"/>
        <w:ind w:firstLine="480"/>
        <w:rPr>
          <w:rFonts w:ascii="Times New Roman" w:hAnsi="Times New Roman"/>
          <w:color w:val="auto"/>
          <w:sz w:val="24"/>
          <w:szCs w:val="24"/>
          <w:highlight w:val="none"/>
        </w:rPr>
      </w:pPr>
      <w:r>
        <w:rPr>
          <w:rFonts w:ascii="Times New Roman" w:hAnsi="Times New Roman"/>
          <w:color w:val="auto"/>
          <w:sz w:val="24"/>
          <w:szCs w:val="24"/>
          <w:highlight w:val="none"/>
        </w:rPr>
        <w:t>针对工作典型案例进行教学，达到学习的内容更加贴近生产实际的目的。例如：在学习硫酸生产的相关内容时，根据实际要求，以学习小组为单位进行方案设计，教师对学生的设计方案进行分析、评价。通过案例分析法，可以激发学生自主学习的热情，使学习任务和目标更加明确，提高了学生分析问题和解决问题的能力。</w:t>
      </w:r>
    </w:p>
    <w:p>
      <w:pPr>
        <w:pStyle w:val="25"/>
        <w:spacing w:line="360" w:lineRule="auto"/>
        <w:ind w:firstLine="480"/>
        <w:rPr>
          <w:rFonts w:ascii="Times New Roman" w:hAnsi="Times New Roman"/>
          <w:color w:val="auto"/>
          <w:sz w:val="24"/>
          <w:szCs w:val="24"/>
          <w:highlight w:val="none"/>
        </w:rPr>
      </w:pPr>
      <w:r>
        <w:rPr>
          <w:rFonts w:ascii="Times New Roman" w:hAnsi="Times New Roman"/>
          <w:color w:val="auto"/>
          <w:sz w:val="24"/>
          <w:szCs w:val="24"/>
          <w:highlight w:val="none"/>
        </w:rPr>
        <w:t>(4)多媒体教学法</w:t>
      </w:r>
    </w:p>
    <w:p>
      <w:pPr>
        <w:pStyle w:val="25"/>
        <w:spacing w:line="360" w:lineRule="auto"/>
        <w:ind w:firstLine="480"/>
        <w:rPr>
          <w:rFonts w:ascii="Times New Roman" w:hAnsi="Times New Roman"/>
          <w:color w:val="auto"/>
          <w:sz w:val="24"/>
          <w:szCs w:val="24"/>
          <w:highlight w:val="none"/>
        </w:rPr>
      </w:pPr>
      <w:r>
        <w:rPr>
          <w:rFonts w:ascii="Times New Roman"/>
          <w:color w:val="auto"/>
          <w:sz w:val="24"/>
          <w:szCs w:val="24"/>
          <w:highlight w:val="none"/>
        </w:rPr>
        <w:t>采用电子教案、多媒体课件、仿真软件等手段充实教学，特别是多媒体课件和仿真软件的应用，解决了在传统教学手段下很难表达的教学内容或无法观察到的现象，使其象能形象、生动、直观地显示出来，从而加深学生对问题的理解，提高学生学习的积极性。</w:t>
      </w:r>
    </w:p>
    <w:p>
      <w:pPr>
        <w:pStyle w:val="25"/>
        <w:spacing w:line="360" w:lineRule="auto"/>
        <w:ind w:firstLine="480"/>
        <w:rPr>
          <w:rFonts w:ascii="Times New Roman" w:hAnsi="Times New Roman"/>
          <w:color w:val="auto"/>
          <w:sz w:val="24"/>
          <w:szCs w:val="24"/>
          <w:highlight w:val="none"/>
        </w:rPr>
      </w:pPr>
      <w:r>
        <w:rPr>
          <w:rFonts w:ascii="Times New Roman" w:hAnsi="Times New Roman"/>
          <w:color w:val="auto"/>
          <w:sz w:val="24"/>
          <w:szCs w:val="24"/>
          <w:highlight w:val="none"/>
        </w:rPr>
        <w:t>(5)</w:t>
      </w:r>
      <w:r>
        <w:rPr>
          <w:rFonts w:ascii="Times New Roman"/>
          <w:color w:val="auto"/>
          <w:sz w:val="24"/>
          <w:szCs w:val="24"/>
          <w:highlight w:val="none"/>
        </w:rPr>
        <w:t>分组讨论法</w:t>
      </w:r>
    </w:p>
    <w:p>
      <w:pPr>
        <w:pStyle w:val="25"/>
        <w:spacing w:line="360" w:lineRule="auto"/>
        <w:ind w:firstLine="480"/>
        <w:rPr>
          <w:rFonts w:ascii="Times New Roman" w:hAnsi="Times New Roman"/>
          <w:color w:val="auto"/>
          <w:sz w:val="24"/>
          <w:szCs w:val="24"/>
          <w:highlight w:val="none"/>
        </w:rPr>
      </w:pPr>
      <w:r>
        <w:rPr>
          <w:rFonts w:ascii="Times New Roman"/>
          <w:color w:val="auto"/>
          <w:sz w:val="24"/>
          <w:szCs w:val="24"/>
          <w:highlight w:val="none"/>
        </w:rPr>
        <w:t>课前为学生划分学习小组，进行提问时以小组为单位，由小组进行讨论后，派出代表给出最后答案。这样可以充分调动学生的学习热情和参与热情。</w:t>
      </w:r>
    </w:p>
    <w:p>
      <w:pPr>
        <w:pStyle w:val="25"/>
        <w:spacing w:line="360" w:lineRule="auto"/>
        <w:ind w:firstLine="480"/>
        <w:rPr>
          <w:rFonts w:ascii="Times New Roman" w:hAnsi="Times New Roman"/>
          <w:color w:val="auto"/>
          <w:sz w:val="24"/>
          <w:szCs w:val="24"/>
          <w:highlight w:val="none"/>
        </w:rPr>
      </w:pPr>
      <w:r>
        <w:rPr>
          <w:rFonts w:ascii="Times New Roman" w:hAnsi="Times New Roman"/>
          <w:color w:val="auto"/>
          <w:sz w:val="24"/>
          <w:szCs w:val="24"/>
          <w:highlight w:val="none"/>
        </w:rPr>
        <w:t>(6)</w:t>
      </w:r>
      <w:r>
        <w:rPr>
          <w:rFonts w:ascii="Times New Roman"/>
          <w:color w:val="auto"/>
          <w:sz w:val="24"/>
          <w:szCs w:val="24"/>
          <w:highlight w:val="none"/>
        </w:rPr>
        <w:t>启发式教学法</w:t>
      </w:r>
    </w:p>
    <w:p>
      <w:pPr>
        <w:spacing w:line="360" w:lineRule="auto"/>
        <w:ind w:firstLine="480" w:firstLineChars="200"/>
        <w:rPr>
          <w:rFonts w:ascii="宋体" w:hAnsi="宋体"/>
          <w:bCs/>
          <w:color w:val="auto"/>
          <w:sz w:val="24"/>
          <w:highlight w:val="none"/>
        </w:rPr>
      </w:pPr>
      <w:r>
        <w:rPr>
          <w:color w:val="auto"/>
          <w:sz w:val="24"/>
          <w:highlight w:val="none"/>
        </w:rPr>
        <w:t>在教学中鼓励学生质疑，开动脑筋，积极思维，对提出疑问者要给予表扬，并精心设计一些与实践有关的思考题，要求学生分小组抢答，答对者给予平时成绩加分，这样既调动学生的学习</w:t>
      </w:r>
      <w:r>
        <w:rPr>
          <w:rFonts w:hint="eastAsia"/>
          <w:color w:val="auto"/>
          <w:sz w:val="24"/>
          <w:highlight w:val="none"/>
        </w:rPr>
        <w:t>主动性又有利于教师进行因材施教。</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（六）考核标准与成绩评定方法</w:t>
      </w:r>
    </w:p>
    <w:p>
      <w:pPr>
        <w:pStyle w:val="13"/>
        <w:spacing w:beforeAutospacing="0" w:afterAutospacing="0" w:line="360" w:lineRule="auto"/>
        <w:ind w:firstLine="480" w:firstLineChars="200"/>
        <w:rPr>
          <w:color w:val="auto"/>
          <w:highlight w:val="none"/>
        </w:rPr>
      </w:pPr>
      <w:r>
        <w:rPr>
          <w:rFonts w:hint="eastAsia"/>
          <w:color w:val="auto"/>
          <w:highlight w:val="none"/>
        </w:rPr>
        <w:t>《无机化工生产技术》改革传统的由一次期末考试进行评价的考核方式，采用过程考评与</w:t>
      </w:r>
      <w:r>
        <w:rPr>
          <w:rFonts w:hint="eastAsia"/>
          <w:snapToGrid w:val="0"/>
          <w:color w:val="auto"/>
          <w:spacing w:val="4"/>
          <w:highlight w:val="none"/>
        </w:rPr>
        <w:t>终结考</w:t>
      </w:r>
      <w:r>
        <w:rPr>
          <w:rFonts w:hint="eastAsia"/>
          <w:color w:val="auto"/>
          <w:highlight w:val="none"/>
        </w:rPr>
        <w:t>评相结合的方法，强调过程考评的重要性。过程考核为开放性评价，由教师和学生共同参与考评，注重考核学生专业能力、方法能力和社会能力，鼓励同学间、小组间的相对评价和适度竞争：</w:t>
      </w:r>
      <w:r>
        <w:rPr>
          <w:rFonts w:hint="eastAsia"/>
          <w:snapToGrid w:val="0"/>
          <w:color w:val="auto"/>
          <w:spacing w:val="4"/>
          <w:highlight w:val="none"/>
        </w:rPr>
        <w:t>终结考</w:t>
      </w:r>
      <w:r>
        <w:rPr>
          <w:rFonts w:hint="eastAsia"/>
          <w:color w:val="auto"/>
          <w:highlight w:val="none"/>
        </w:rPr>
        <w:t>评由教师进行考评，考核学生专业知识掌握情况、综合技能水平和职业行动完整性。</w:t>
      </w:r>
    </w:p>
    <w:p>
      <w:pPr>
        <w:pStyle w:val="13"/>
        <w:spacing w:before="156" w:beforeLines="50" w:beforeAutospacing="0" w:after="156" w:afterLines="50" w:afterAutospacing="0" w:line="360" w:lineRule="auto"/>
        <w:jc w:val="center"/>
        <w:rPr>
          <w:color w:val="auto"/>
          <w:highlight w:val="none"/>
        </w:rPr>
      </w:pPr>
      <w:r>
        <w:rPr>
          <w:bCs/>
          <w:color w:val="auto"/>
          <w:highlight w:val="none"/>
        </w:rPr>
        <w:t>表4.4</w:t>
      </w:r>
      <w:r>
        <w:rPr>
          <w:rFonts w:hint="eastAsia"/>
          <w:bCs/>
          <w:color w:val="auto"/>
          <w:highlight w:val="none"/>
        </w:rPr>
        <w:t>《无机化工生产技术》课程</w:t>
      </w:r>
      <w:r>
        <w:rPr>
          <w:bCs/>
          <w:color w:val="auto"/>
          <w:highlight w:val="none"/>
        </w:rPr>
        <w:t>学生成绩评价表</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4"/>
        <w:gridCol w:w="1443"/>
        <w:gridCol w:w="1443"/>
        <w:gridCol w:w="1445"/>
        <w:gridCol w:w="1445"/>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noWrap/>
          </w:tcPr>
          <w:p>
            <w:pPr>
              <w:pStyle w:val="13"/>
              <w:spacing w:beforeAutospacing="0" w:afterAutospacing="0" w:line="360" w:lineRule="auto"/>
              <w:rPr>
                <w:rFonts w:ascii="Times New Roman" w:hAnsi="Times New Roman"/>
                <w:color w:val="auto"/>
                <w:sz w:val="21"/>
                <w:szCs w:val="21"/>
                <w:highlight w:val="none"/>
              </w:rPr>
            </w:pPr>
            <w:r>
              <w:rPr>
                <w:rFonts w:ascii="Times New Roman"/>
                <w:b/>
                <w:bCs/>
                <w:color w:val="auto"/>
                <w:sz w:val="21"/>
                <w:szCs w:val="21"/>
                <w:highlight w:val="none"/>
              </w:rPr>
              <w:t>（</w:t>
            </w:r>
            <w:r>
              <w:rPr>
                <w:rFonts w:ascii="Times New Roman" w:hAnsi="Times New Roman"/>
                <w:b/>
                <w:bCs/>
                <w:color w:val="auto"/>
                <w:sz w:val="21"/>
                <w:szCs w:val="21"/>
                <w:highlight w:val="none"/>
              </w:rPr>
              <w:t>1</w:t>
            </w:r>
            <w:r>
              <w:rPr>
                <w:rFonts w:ascii="Times New Roman"/>
                <w:b/>
                <w:bCs/>
                <w:color w:val="auto"/>
                <w:sz w:val="21"/>
                <w:szCs w:val="21"/>
                <w:highlight w:val="none"/>
              </w:rPr>
              <w:t>）学习任务过程评价（占</w:t>
            </w:r>
            <w:r>
              <w:rPr>
                <w:rFonts w:ascii="Times New Roman" w:hAnsi="Times New Roman"/>
                <w:b/>
                <w:bCs/>
                <w:color w:val="auto"/>
                <w:sz w:val="21"/>
                <w:szCs w:val="21"/>
                <w:highlight w:val="none"/>
              </w:rPr>
              <w:t>70%</w:t>
            </w:r>
            <w:r>
              <w:rPr>
                <w:rFonts w:ascii="Times New Roman"/>
                <w:b/>
                <w:bCs/>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7" w:type="dxa"/>
            <w:gridSpan w:val="2"/>
            <w:noWrap/>
          </w:tcPr>
          <w:p>
            <w:pPr>
              <w:pStyle w:val="13"/>
              <w:spacing w:beforeAutospacing="0" w:afterAutospacing="0" w:line="360" w:lineRule="auto"/>
              <w:jc w:val="center"/>
              <w:rPr>
                <w:rFonts w:ascii="Times New Roman" w:hAnsi="Times New Roman"/>
                <w:color w:val="auto"/>
                <w:sz w:val="21"/>
                <w:szCs w:val="21"/>
                <w:highlight w:val="none"/>
              </w:rPr>
            </w:pPr>
            <w:r>
              <w:rPr>
                <w:rFonts w:ascii="Times New Roman"/>
                <w:color w:val="auto"/>
                <w:sz w:val="21"/>
                <w:szCs w:val="21"/>
                <w:highlight w:val="none"/>
              </w:rPr>
              <w:t>知识考核（</w:t>
            </w:r>
            <w:r>
              <w:rPr>
                <w:rFonts w:ascii="Times New Roman" w:hAnsi="Times New Roman"/>
                <w:color w:val="auto"/>
                <w:sz w:val="21"/>
                <w:szCs w:val="21"/>
                <w:highlight w:val="none"/>
              </w:rPr>
              <w:t>20%</w:t>
            </w:r>
            <w:r>
              <w:rPr>
                <w:rFonts w:ascii="Times New Roman"/>
                <w:color w:val="auto"/>
                <w:sz w:val="21"/>
                <w:szCs w:val="21"/>
                <w:highlight w:val="none"/>
              </w:rPr>
              <w:t>）</w:t>
            </w:r>
          </w:p>
        </w:tc>
        <w:tc>
          <w:tcPr>
            <w:tcW w:w="2888" w:type="dxa"/>
            <w:gridSpan w:val="2"/>
            <w:noWrap/>
          </w:tcPr>
          <w:p>
            <w:pPr>
              <w:pStyle w:val="13"/>
              <w:spacing w:beforeAutospacing="0" w:afterAutospacing="0" w:line="360" w:lineRule="auto"/>
              <w:jc w:val="center"/>
              <w:rPr>
                <w:rFonts w:ascii="Times New Roman" w:hAnsi="Times New Roman"/>
                <w:color w:val="auto"/>
                <w:sz w:val="21"/>
                <w:szCs w:val="21"/>
                <w:highlight w:val="none"/>
              </w:rPr>
            </w:pPr>
            <w:r>
              <w:rPr>
                <w:rFonts w:ascii="Times New Roman"/>
                <w:color w:val="auto"/>
                <w:sz w:val="21"/>
                <w:szCs w:val="21"/>
                <w:highlight w:val="none"/>
              </w:rPr>
              <w:t>技能考核（</w:t>
            </w:r>
            <w:r>
              <w:rPr>
                <w:rFonts w:ascii="Times New Roman" w:hAnsi="Times New Roman"/>
                <w:color w:val="auto"/>
                <w:sz w:val="21"/>
                <w:szCs w:val="21"/>
                <w:highlight w:val="none"/>
              </w:rPr>
              <w:t>30%</w:t>
            </w:r>
            <w:r>
              <w:rPr>
                <w:rFonts w:ascii="Times New Roman"/>
                <w:color w:val="auto"/>
                <w:sz w:val="21"/>
                <w:szCs w:val="21"/>
                <w:highlight w:val="none"/>
              </w:rPr>
              <w:t>）</w:t>
            </w:r>
          </w:p>
        </w:tc>
        <w:tc>
          <w:tcPr>
            <w:tcW w:w="2747" w:type="dxa"/>
            <w:gridSpan w:val="2"/>
            <w:noWrap/>
          </w:tcPr>
          <w:p>
            <w:pPr>
              <w:pStyle w:val="13"/>
              <w:spacing w:beforeAutospacing="0" w:afterAutospacing="0" w:line="360" w:lineRule="auto"/>
              <w:jc w:val="center"/>
              <w:rPr>
                <w:rFonts w:ascii="Times New Roman" w:hAnsi="Times New Roman"/>
                <w:color w:val="auto"/>
                <w:sz w:val="21"/>
                <w:szCs w:val="21"/>
                <w:highlight w:val="none"/>
              </w:rPr>
            </w:pPr>
            <w:r>
              <w:rPr>
                <w:rFonts w:ascii="Times New Roman"/>
                <w:color w:val="auto"/>
                <w:sz w:val="21"/>
                <w:szCs w:val="21"/>
                <w:highlight w:val="none"/>
              </w:rPr>
              <w:t>态度考核（</w:t>
            </w:r>
            <w:r>
              <w:rPr>
                <w:rFonts w:ascii="Times New Roman" w:hAnsi="Times New Roman"/>
                <w:color w:val="auto"/>
                <w:sz w:val="21"/>
                <w:szCs w:val="21"/>
                <w:highlight w:val="none"/>
              </w:rPr>
              <w:t>20%</w:t>
            </w:r>
            <w:r>
              <w:rPr>
                <w:rFonts w:ascii="Times New Roman"/>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noWrap/>
          </w:tcPr>
          <w:p>
            <w:pPr>
              <w:pStyle w:val="13"/>
              <w:spacing w:beforeAutospacing="0" w:afterAutospacing="0" w:line="360" w:lineRule="auto"/>
              <w:jc w:val="center"/>
              <w:rPr>
                <w:rFonts w:ascii="Times New Roman" w:hAnsi="Times New Roman"/>
                <w:color w:val="auto"/>
                <w:sz w:val="21"/>
                <w:szCs w:val="21"/>
                <w:highlight w:val="none"/>
              </w:rPr>
            </w:pPr>
            <w:r>
              <w:rPr>
                <w:rFonts w:ascii="Times New Roman"/>
                <w:color w:val="auto"/>
                <w:sz w:val="21"/>
                <w:szCs w:val="21"/>
                <w:highlight w:val="none"/>
              </w:rPr>
              <w:t>提问与讨论（</w:t>
            </w:r>
            <w:r>
              <w:rPr>
                <w:rFonts w:ascii="Times New Roman" w:hAnsi="Times New Roman"/>
                <w:color w:val="auto"/>
                <w:sz w:val="21"/>
                <w:szCs w:val="21"/>
                <w:highlight w:val="none"/>
              </w:rPr>
              <w:t>10%</w:t>
            </w:r>
            <w:r>
              <w:rPr>
                <w:rFonts w:ascii="Times New Roman"/>
                <w:color w:val="auto"/>
                <w:sz w:val="21"/>
                <w:szCs w:val="21"/>
                <w:highlight w:val="none"/>
              </w:rPr>
              <w:t>）</w:t>
            </w:r>
          </w:p>
        </w:tc>
        <w:tc>
          <w:tcPr>
            <w:tcW w:w="1443" w:type="dxa"/>
            <w:noWrap/>
          </w:tcPr>
          <w:p>
            <w:pPr>
              <w:pStyle w:val="13"/>
              <w:spacing w:beforeAutospacing="0" w:afterAutospacing="0" w:line="360" w:lineRule="auto"/>
              <w:jc w:val="center"/>
              <w:rPr>
                <w:rFonts w:ascii="Times New Roman" w:hAnsi="Times New Roman"/>
                <w:color w:val="auto"/>
                <w:sz w:val="21"/>
                <w:szCs w:val="21"/>
                <w:highlight w:val="none"/>
              </w:rPr>
            </w:pPr>
            <w:r>
              <w:rPr>
                <w:rFonts w:ascii="Times New Roman"/>
                <w:color w:val="auto"/>
                <w:sz w:val="21"/>
                <w:szCs w:val="21"/>
                <w:highlight w:val="none"/>
              </w:rPr>
              <w:t>作业</w:t>
            </w:r>
          </w:p>
          <w:p>
            <w:pPr>
              <w:pStyle w:val="13"/>
              <w:spacing w:beforeAutospacing="0" w:afterAutospacing="0" w:line="360" w:lineRule="auto"/>
              <w:jc w:val="center"/>
              <w:rPr>
                <w:rFonts w:ascii="Times New Roman" w:hAnsi="Times New Roman"/>
                <w:color w:val="auto"/>
                <w:sz w:val="21"/>
                <w:szCs w:val="21"/>
                <w:highlight w:val="none"/>
              </w:rPr>
            </w:pPr>
            <w:r>
              <w:rPr>
                <w:rFonts w:ascii="Times New Roman"/>
                <w:color w:val="auto"/>
                <w:sz w:val="21"/>
                <w:szCs w:val="21"/>
                <w:highlight w:val="none"/>
              </w:rPr>
              <w:t>（</w:t>
            </w:r>
            <w:r>
              <w:rPr>
                <w:rFonts w:ascii="Times New Roman" w:hAnsi="Times New Roman"/>
                <w:color w:val="auto"/>
                <w:sz w:val="21"/>
                <w:szCs w:val="21"/>
                <w:highlight w:val="none"/>
              </w:rPr>
              <w:t>10%</w:t>
            </w:r>
            <w:r>
              <w:rPr>
                <w:rFonts w:ascii="Times New Roman"/>
                <w:color w:val="auto"/>
                <w:sz w:val="21"/>
                <w:szCs w:val="21"/>
                <w:highlight w:val="none"/>
              </w:rPr>
              <w:t>）</w:t>
            </w:r>
          </w:p>
        </w:tc>
        <w:tc>
          <w:tcPr>
            <w:tcW w:w="1443" w:type="dxa"/>
            <w:noWrap/>
          </w:tcPr>
          <w:p>
            <w:pPr>
              <w:pStyle w:val="13"/>
              <w:spacing w:beforeAutospacing="0" w:afterAutospacing="0" w:line="360" w:lineRule="auto"/>
              <w:jc w:val="center"/>
              <w:rPr>
                <w:rFonts w:ascii="Times New Roman" w:hAnsi="Times New Roman"/>
                <w:color w:val="auto"/>
                <w:sz w:val="21"/>
                <w:szCs w:val="21"/>
                <w:highlight w:val="none"/>
              </w:rPr>
            </w:pPr>
            <w:r>
              <w:rPr>
                <w:rFonts w:ascii="Times New Roman"/>
                <w:color w:val="auto"/>
                <w:sz w:val="21"/>
                <w:szCs w:val="21"/>
                <w:highlight w:val="none"/>
              </w:rPr>
              <w:t>操作技能（</w:t>
            </w:r>
            <w:r>
              <w:rPr>
                <w:rFonts w:ascii="Times New Roman" w:hAnsi="Times New Roman"/>
                <w:color w:val="auto"/>
                <w:sz w:val="21"/>
                <w:szCs w:val="21"/>
                <w:highlight w:val="none"/>
              </w:rPr>
              <w:t>15%</w:t>
            </w:r>
            <w:r>
              <w:rPr>
                <w:rFonts w:ascii="Times New Roman"/>
                <w:color w:val="auto"/>
                <w:sz w:val="21"/>
                <w:szCs w:val="21"/>
                <w:highlight w:val="none"/>
              </w:rPr>
              <w:t>）</w:t>
            </w:r>
          </w:p>
        </w:tc>
        <w:tc>
          <w:tcPr>
            <w:tcW w:w="1445" w:type="dxa"/>
            <w:noWrap/>
          </w:tcPr>
          <w:p>
            <w:pPr>
              <w:pStyle w:val="13"/>
              <w:spacing w:beforeAutospacing="0" w:afterAutospacing="0" w:line="360" w:lineRule="auto"/>
              <w:jc w:val="center"/>
              <w:rPr>
                <w:rFonts w:ascii="Times New Roman" w:hAnsi="Times New Roman"/>
                <w:color w:val="auto"/>
                <w:sz w:val="21"/>
                <w:szCs w:val="21"/>
                <w:highlight w:val="none"/>
              </w:rPr>
            </w:pPr>
            <w:r>
              <w:rPr>
                <w:rFonts w:ascii="Times New Roman"/>
                <w:color w:val="auto"/>
                <w:sz w:val="21"/>
                <w:szCs w:val="21"/>
                <w:highlight w:val="none"/>
              </w:rPr>
              <w:t>作品质量（</w:t>
            </w:r>
            <w:r>
              <w:rPr>
                <w:rFonts w:ascii="Times New Roman" w:hAnsi="Times New Roman"/>
                <w:color w:val="auto"/>
                <w:sz w:val="21"/>
                <w:szCs w:val="21"/>
                <w:highlight w:val="none"/>
              </w:rPr>
              <w:t>15%</w:t>
            </w:r>
            <w:r>
              <w:rPr>
                <w:rFonts w:ascii="Times New Roman"/>
                <w:color w:val="auto"/>
                <w:sz w:val="21"/>
                <w:szCs w:val="21"/>
                <w:highlight w:val="none"/>
              </w:rPr>
              <w:t>）</w:t>
            </w:r>
          </w:p>
        </w:tc>
        <w:tc>
          <w:tcPr>
            <w:tcW w:w="1445" w:type="dxa"/>
            <w:noWrap/>
          </w:tcPr>
          <w:p>
            <w:pPr>
              <w:pStyle w:val="13"/>
              <w:spacing w:beforeAutospacing="0" w:afterAutospacing="0" w:line="360" w:lineRule="auto"/>
              <w:jc w:val="center"/>
              <w:rPr>
                <w:rFonts w:ascii="Times New Roman" w:hAnsi="Times New Roman"/>
                <w:color w:val="auto"/>
                <w:sz w:val="21"/>
                <w:szCs w:val="21"/>
                <w:highlight w:val="none"/>
              </w:rPr>
            </w:pPr>
            <w:r>
              <w:rPr>
                <w:rFonts w:ascii="Times New Roman"/>
                <w:color w:val="auto"/>
                <w:sz w:val="21"/>
                <w:szCs w:val="21"/>
                <w:highlight w:val="none"/>
              </w:rPr>
              <w:t>出勤纪律（</w:t>
            </w:r>
            <w:r>
              <w:rPr>
                <w:rFonts w:ascii="Times New Roman" w:hAnsi="Times New Roman"/>
                <w:color w:val="auto"/>
                <w:sz w:val="21"/>
                <w:szCs w:val="21"/>
                <w:highlight w:val="none"/>
              </w:rPr>
              <w:t>10%</w:t>
            </w:r>
            <w:r>
              <w:rPr>
                <w:rFonts w:ascii="Times New Roman"/>
                <w:color w:val="auto"/>
                <w:sz w:val="21"/>
                <w:szCs w:val="21"/>
                <w:highlight w:val="none"/>
              </w:rPr>
              <w:t>）</w:t>
            </w:r>
          </w:p>
        </w:tc>
        <w:tc>
          <w:tcPr>
            <w:tcW w:w="1302" w:type="dxa"/>
            <w:noWrap/>
          </w:tcPr>
          <w:p>
            <w:pPr>
              <w:pStyle w:val="13"/>
              <w:spacing w:beforeAutospacing="0" w:afterAutospacing="0" w:line="360" w:lineRule="auto"/>
              <w:jc w:val="center"/>
              <w:rPr>
                <w:rFonts w:ascii="Times New Roman" w:hAnsi="Times New Roman"/>
                <w:color w:val="auto"/>
                <w:sz w:val="21"/>
                <w:szCs w:val="21"/>
                <w:highlight w:val="none"/>
              </w:rPr>
            </w:pPr>
            <w:r>
              <w:rPr>
                <w:rFonts w:ascii="Times New Roman"/>
                <w:color w:val="auto"/>
                <w:sz w:val="21"/>
                <w:szCs w:val="21"/>
                <w:highlight w:val="none"/>
              </w:rPr>
              <w:t>工作态度（</w:t>
            </w:r>
            <w:r>
              <w:rPr>
                <w:rFonts w:ascii="Times New Roman" w:hAnsi="Times New Roman"/>
                <w:color w:val="auto"/>
                <w:sz w:val="21"/>
                <w:szCs w:val="21"/>
                <w:highlight w:val="none"/>
              </w:rPr>
              <w:t>10%</w:t>
            </w:r>
            <w:r>
              <w:rPr>
                <w:rFonts w:ascii="Times New Roman"/>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noWrap/>
          </w:tcPr>
          <w:p>
            <w:pPr>
              <w:pStyle w:val="13"/>
              <w:spacing w:beforeAutospacing="0" w:afterAutospacing="0" w:line="360" w:lineRule="auto"/>
              <w:rPr>
                <w:rFonts w:ascii="Times New Roman" w:hAnsi="Times New Roman"/>
                <w:color w:val="auto"/>
                <w:sz w:val="21"/>
                <w:szCs w:val="21"/>
                <w:highlight w:val="none"/>
              </w:rPr>
            </w:pPr>
            <w:r>
              <w:rPr>
                <w:rFonts w:ascii="Times New Roman"/>
                <w:b/>
                <w:bCs/>
                <w:color w:val="auto"/>
                <w:sz w:val="21"/>
                <w:szCs w:val="21"/>
                <w:highlight w:val="none"/>
              </w:rPr>
              <w:t>（</w:t>
            </w:r>
            <w:r>
              <w:rPr>
                <w:rFonts w:ascii="Times New Roman" w:hAnsi="Times New Roman"/>
                <w:b/>
                <w:bCs/>
                <w:color w:val="auto"/>
                <w:sz w:val="21"/>
                <w:szCs w:val="21"/>
                <w:highlight w:val="none"/>
              </w:rPr>
              <w:t>2</w:t>
            </w:r>
            <w:r>
              <w:rPr>
                <w:rFonts w:ascii="Times New Roman"/>
                <w:b/>
                <w:bCs/>
                <w:color w:val="auto"/>
                <w:sz w:val="21"/>
                <w:szCs w:val="21"/>
                <w:highlight w:val="none"/>
              </w:rPr>
              <w:t>）期末考试综合评价（占</w:t>
            </w:r>
            <w:r>
              <w:rPr>
                <w:rFonts w:ascii="Times New Roman" w:hAnsi="Times New Roman"/>
                <w:b/>
                <w:bCs/>
                <w:color w:val="auto"/>
                <w:sz w:val="21"/>
                <w:szCs w:val="21"/>
                <w:highlight w:val="none"/>
              </w:rPr>
              <w:t>30%</w:t>
            </w:r>
            <w:r>
              <w:rPr>
                <w:rFonts w:ascii="Times New Roman"/>
                <w:b/>
                <w:bCs/>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noWrap/>
          </w:tcPr>
          <w:p>
            <w:pPr>
              <w:pStyle w:val="13"/>
              <w:adjustRightInd w:val="0"/>
              <w:spacing w:beforeAutospacing="0" w:afterAutospacing="0" w:line="360" w:lineRule="auto"/>
              <w:rPr>
                <w:rFonts w:ascii="Times New Roman" w:hAnsi="Times New Roman"/>
                <w:color w:val="auto"/>
                <w:sz w:val="21"/>
                <w:szCs w:val="21"/>
                <w:highlight w:val="none"/>
              </w:rPr>
            </w:pPr>
            <w:r>
              <w:rPr>
                <w:rFonts w:ascii="Times New Roman"/>
                <w:color w:val="auto"/>
                <w:sz w:val="21"/>
                <w:szCs w:val="21"/>
                <w:highlight w:val="none"/>
              </w:rPr>
              <w:t>学习任务过程评价中，确定知识目标考核、技能目标考核和态度目标考核三项合一的综合能力考核评价体系。依据工作任务的《评分标准》及学生在工作过程中的工具使用、操作技能、存在问题、阶段性作业、结果展示、讲解交流、组织纪律等进行专业能力综合考核。</w:t>
            </w:r>
          </w:p>
        </w:tc>
      </w:tr>
    </w:tbl>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（七）教学建议</w:t>
      </w:r>
    </w:p>
    <w:p>
      <w:pPr>
        <w:spacing w:line="360" w:lineRule="auto"/>
        <w:rPr>
          <w:rFonts w:ascii="宋体" w:hAnsi="宋体"/>
          <w:color w:val="auto"/>
          <w:sz w:val="24"/>
          <w:highlight w:val="none"/>
        </w:rPr>
      </w:pPr>
      <w:r>
        <w:rPr>
          <w:rFonts w:hint="eastAsia" w:ascii="宋体" w:hAnsi="宋体"/>
          <w:color w:val="auto"/>
          <w:sz w:val="24"/>
          <w:highlight w:val="none"/>
        </w:rPr>
        <w:t xml:space="preserve">    重视基础知识，加强学生的动手能力，借助现代化的教学手段，激发学生的学习兴趣，重视在教学过程中，激发和训练学生的创新思维，尽量与社会、生产生活相联系，培养学生的综合能力。</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（八）选用教材标及推荐教材和参考用书（或课程网站）</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w:t>
      </w:r>
      <w:r>
        <w:rPr>
          <w:rFonts w:hint="eastAsia" w:ascii="宋体" w:hAnsi="宋体"/>
          <w:color w:val="auto"/>
          <w:sz w:val="24"/>
          <w:highlight w:val="none"/>
        </w:rPr>
        <w:t>教材的选用</w:t>
      </w:r>
    </w:p>
    <w:p>
      <w:pPr>
        <w:widowControl/>
        <w:spacing w:line="360" w:lineRule="auto"/>
        <w:ind w:firstLine="120" w:firstLineChars="50"/>
        <w:rPr>
          <w:rFonts w:cs="宋体"/>
          <w:color w:val="auto"/>
          <w:kern w:val="0"/>
          <w:sz w:val="24"/>
          <w:highlight w:val="none"/>
        </w:rPr>
      </w:pPr>
      <w:r>
        <w:rPr>
          <w:rFonts w:hint="eastAsia" w:hAnsi="宋体" w:cs="宋体"/>
          <w:color w:val="auto"/>
          <w:kern w:val="0"/>
          <w:sz w:val="24"/>
          <w:highlight w:val="none"/>
        </w:rPr>
        <w:t>在教材选用时要尽量选用理论实践一体化教材，教材内容涉及的概念讲解要深入浅出，并要配有大量实例分析，以使学生容易理解和掌握。在满足以上条件情况下，尽量选用设计新材料、新技术的新教材。</w:t>
      </w:r>
    </w:p>
    <w:p>
      <w:pPr>
        <w:pStyle w:val="25"/>
        <w:spacing w:line="360" w:lineRule="auto"/>
        <w:ind w:firstLine="480"/>
        <w:rPr>
          <w:color w:val="auto"/>
          <w:sz w:val="24"/>
          <w:szCs w:val="24"/>
          <w:highlight w:val="none"/>
        </w:rPr>
      </w:pPr>
      <w:r>
        <w:rPr>
          <w:color w:val="auto"/>
          <w:sz w:val="24"/>
          <w:szCs w:val="24"/>
          <w:highlight w:val="none"/>
        </w:rPr>
        <w:t>我们现在使用的主要教材是化学工业出版社出版的</w:t>
      </w:r>
      <w:r>
        <w:rPr>
          <w:rFonts w:hint="eastAsia"/>
          <w:color w:val="auto"/>
          <w:sz w:val="24"/>
          <w:szCs w:val="24"/>
          <w:highlight w:val="none"/>
        </w:rPr>
        <w:t>由颜鑫</w:t>
      </w:r>
      <w:r>
        <w:rPr>
          <w:color w:val="auto"/>
          <w:sz w:val="24"/>
          <w:szCs w:val="24"/>
          <w:highlight w:val="none"/>
        </w:rPr>
        <w:t>等编写的《</w:t>
      </w:r>
      <w:r>
        <w:rPr>
          <w:rFonts w:hint="eastAsia"/>
          <w:color w:val="auto"/>
          <w:sz w:val="24"/>
          <w:szCs w:val="24"/>
          <w:highlight w:val="none"/>
        </w:rPr>
        <w:t>无机化工生产技术与操作</w:t>
      </w:r>
      <w:r>
        <w:rPr>
          <w:color w:val="auto"/>
          <w:sz w:val="24"/>
          <w:szCs w:val="24"/>
          <w:highlight w:val="none"/>
        </w:rPr>
        <w:t>》，该书是</w:t>
      </w:r>
      <w:r>
        <w:rPr>
          <w:rFonts w:hint="eastAsia"/>
          <w:color w:val="auto"/>
          <w:sz w:val="24"/>
          <w:szCs w:val="24"/>
          <w:highlight w:val="none"/>
        </w:rPr>
        <w:t>中国石油和化学工业行业</w:t>
      </w:r>
      <w:r>
        <w:rPr>
          <w:rFonts w:hAnsi="宋体"/>
          <w:color w:val="auto"/>
          <w:sz w:val="24"/>
          <w:szCs w:val="24"/>
          <w:highlight w:val="none"/>
        </w:rPr>
        <w:t>规划教材，是一本以素质为基础，以能力为主线，以培养创新意识和实践能力为重点的教材。</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w:t>
      </w:r>
      <w:r>
        <w:rPr>
          <w:rFonts w:hint="eastAsia" w:ascii="宋体" w:hAnsi="宋体"/>
          <w:color w:val="auto"/>
          <w:sz w:val="24"/>
          <w:highlight w:val="none"/>
          <w:lang w:val="en-US" w:eastAsia="zh-CN"/>
        </w:rPr>
        <w:t>.</w:t>
      </w:r>
      <w:r>
        <w:rPr>
          <w:rFonts w:hint="eastAsia" w:ascii="宋体" w:hAnsi="宋体"/>
          <w:color w:val="auto"/>
          <w:sz w:val="24"/>
          <w:highlight w:val="none"/>
        </w:rPr>
        <w:t>参考教材及网络资源</w:t>
      </w:r>
    </w:p>
    <w:p>
      <w:pPr>
        <w:pStyle w:val="25"/>
        <w:spacing w:line="360" w:lineRule="auto"/>
        <w:rPr>
          <w:rFonts w:hAnsi="宋体"/>
          <w:color w:val="auto"/>
          <w:sz w:val="24"/>
          <w:szCs w:val="24"/>
          <w:highlight w:val="none"/>
        </w:rPr>
      </w:pPr>
      <w:r>
        <w:rPr>
          <w:rFonts w:hint="eastAsia" w:hAnsi="宋体"/>
          <w:color w:val="auto"/>
          <w:sz w:val="24"/>
          <w:szCs w:val="24"/>
          <w:highlight w:val="none"/>
        </w:rPr>
        <w:t>《无机化工生产技术》</w:t>
      </w:r>
      <w:r>
        <w:rPr>
          <w:rFonts w:hint="eastAsia"/>
          <w:color w:val="auto"/>
          <w:sz w:val="24"/>
          <w:szCs w:val="24"/>
          <w:highlight w:val="none"/>
        </w:rPr>
        <w:t>,</w:t>
      </w:r>
      <w:r>
        <w:rPr>
          <w:rFonts w:hint="eastAsia" w:hAnsi="宋体"/>
          <w:color w:val="auto"/>
          <w:sz w:val="24"/>
          <w:szCs w:val="24"/>
          <w:highlight w:val="none"/>
        </w:rPr>
        <w:t>郑广俭编著</w:t>
      </w:r>
      <w:r>
        <w:rPr>
          <w:rFonts w:hint="eastAsia"/>
          <w:color w:val="auto"/>
          <w:sz w:val="24"/>
          <w:szCs w:val="24"/>
          <w:highlight w:val="none"/>
        </w:rPr>
        <w:t>,</w:t>
      </w:r>
      <w:r>
        <w:rPr>
          <w:rFonts w:hint="eastAsia" w:hAnsi="宋体"/>
          <w:color w:val="auto"/>
          <w:sz w:val="24"/>
          <w:szCs w:val="24"/>
          <w:highlight w:val="none"/>
        </w:rPr>
        <w:t>化学工业出版社</w:t>
      </w:r>
      <w:r>
        <w:rPr>
          <w:rFonts w:hint="eastAsia"/>
          <w:color w:val="auto"/>
          <w:sz w:val="24"/>
          <w:szCs w:val="24"/>
          <w:highlight w:val="none"/>
        </w:rPr>
        <w:t xml:space="preserve">,2010 </w:t>
      </w:r>
      <w:r>
        <w:rPr>
          <w:rFonts w:hint="eastAsia" w:hAnsi="宋体"/>
          <w:color w:val="auto"/>
          <w:sz w:val="24"/>
          <w:szCs w:val="24"/>
          <w:highlight w:val="none"/>
        </w:rPr>
        <w:t>年</w:t>
      </w:r>
      <w:r>
        <w:rPr>
          <w:rFonts w:hint="eastAsia"/>
          <w:color w:val="auto"/>
          <w:sz w:val="24"/>
          <w:szCs w:val="24"/>
          <w:highlight w:val="none"/>
        </w:rPr>
        <w:t>,</w:t>
      </w:r>
      <w:r>
        <w:rPr>
          <w:rFonts w:hint="eastAsia" w:hAnsi="宋体"/>
          <w:color w:val="auto"/>
          <w:sz w:val="24"/>
          <w:szCs w:val="24"/>
          <w:highlight w:val="none"/>
        </w:rPr>
        <w:t>第</w:t>
      </w:r>
      <w:r>
        <w:rPr>
          <w:rFonts w:hint="eastAsia"/>
          <w:color w:val="auto"/>
          <w:sz w:val="24"/>
          <w:szCs w:val="24"/>
          <w:highlight w:val="none"/>
        </w:rPr>
        <w:t xml:space="preserve">2 </w:t>
      </w:r>
      <w:r>
        <w:rPr>
          <w:rFonts w:hint="eastAsia" w:hAnsi="宋体"/>
          <w:color w:val="auto"/>
          <w:sz w:val="24"/>
          <w:szCs w:val="24"/>
          <w:highlight w:val="none"/>
        </w:rPr>
        <w:t>版</w:t>
      </w:r>
    </w:p>
    <w:p>
      <w:pPr>
        <w:pStyle w:val="25"/>
        <w:spacing w:line="360" w:lineRule="auto"/>
        <w:ind w:firstLine="577" w:firstLineChars="275"/>
        <w:rPr>
          <w:color w:val="auto"/>
          <w:highlight w:val="none"/>
        </w:rPr>
      </w:pPr>
      <w:r>
        <w:rPr>
          <w:color w:val="auto"/>
          <w:highlight w:val="none"/>
        </w:rPr>
        <w:fldChar w:fldCharType="begin"/>
      </w:r>
      <w:r>
        <w:rPr>
          <w:color w:val="auto"/>
          <w:highlight w:val="none"/>
        </w:rPr>
        <w:instrText xml:space="preserve"> HYPERLINK "http://jpkc.hgzyxy.com/wjhgscjs/default.asp" </w:instrText>
      </w:r>
      <w:r>
        <w:rPr>
          <w:color w:val="auto"/>
          <w:highlight w:val="none"/>
        </w:rPr>
        <w:fldChar w:fldCharType="separate"/>
      </w:r>
      <w:r>
        <w:rPr>
          <w:rStyle w:val="20"/>
          <w:color w:val="auto"/>
          <w:highlight w:val="none"/>
        </w:rPr>
        <w:t>http://jpkc.hgzyxy.com/wjhgscjs/default.asp</w:t>
      </w:r>
      <w:r>
        <w:rPr>
          <w:rStyle w:val="20"/>
          <w:color w:val="auto"/>
          <w:highlight w:val="none"/>
        </w:rPr>
        <w:fldChar w:fldCharType="end"/>
      </w:r>
    </w:p>
    <w:p>
      <w:pPr>
        <w:pStyle w:val="3"/>
        <w:spacing w:before="0" w:after="0" w:line="360" w:lineRule="auto"/>
        <w:rPr>
          <w:b w:val="0"/>
          <w:bCs/>
          <w:color w:val="auto"/>
          <w:highlight w:val="none"/>
        </w:rPr>
      </w:pPr>
      <w:bookmarkStart w:id="85" w:name="_Toc17238587"/>
      <w:bookmarkStart w:id="86" w:name="_Toc31710"/>
      <w:r>
        <w:rPr>
          <w:rFonts w:hint="eastAsia"/>
          <w:b w:val="0"/>
          <w:bCs/>
          <w:color w:val="auto"/>
          <w:highlight w:val="none"/>
        </w:rPr>
        <w:t>三、《化工安全技术》核心课程标准</w:t>
      </w:r>
      <w:bookmarkEnd w:id="85"/>
      <w:bookmarkEnd w:id="86"/>
    </w:p>
    <w:tbl>
      <w:tblPr>
        <w:tblStyle w:val="14"/>
        <w:tblW w:w="8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3274"/>
        <w:gridCol w:w="1620"/>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课程编码</w:t>
            </w:r>
          </w:p>
        </w:tc>
        <w:tc>
          <w:tcPr>
            <w:tcW w:w="3274" w:type="dxa"/>
            <w:noWrap/>
            <w:vAlign w:val="center"/>
          </w:tcPr>
          <w:p>
            <w:pPr>
              <w:spacing w:line="360" w:lineRule="auto"/>
              <w:jc w:val="center"/>
              <w:rPr>
                <w:color w:val="auto"/>
                <w:szCs w:val="21"/>
                <w:highlight w:val="none"/>
              </w:rPr>
            </w:pPr>
            <w:r>
              <w:rPr>
                <w:rFonts w:hint="eastAsia" w:ascii="宋体" w:hAnsi="宋体"/>
                <w:color w:val="auto"/>
                <w:szCs w:val="21"/>
                <w:highlight w:val="none"/>
              </w:rPr>
              <w:t>1003053</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课程类别</w:t>
            </w:r>
          </w:p>
        </w:tc>
        <w:tc>
          <w:tcPr>
            <w:tcW w:w="1994" w:type="dxa"/>
            <w:noWrap/>
            <w:vAlign w:val="center"/>
          </w:tcPr>
          <w:p>
            <w:pPr>
              <w:spacing w:line="360" w:lineRule="auto"/>
              <w:jc w:val="center"/>
              <w:rPr>
                <w:color w:val="auto"/>
                <w:szCs w:val="21"/>
                <w:highlight w:val="none"/>
              </w:rPr>
            </w:pPr>
            <w:r>
              <w:rPr>
                <w:rFonts w:hAnsi="宋体"/>
                <w:color w:val="auto"/>
                <w:szCs w:val="21"/>
                <w:highlight w:val="none"/>
              </w:rPr>
              <w:t>专业学习领域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计划学时</w:t>
            </w:r>
          </w:p>
        </w:tc>
        <w:tc>
          <w:tcPr>
            <w:tcW w:w="3274" w:type="dxa"/>
            <w:noWrap/>
            <w:vAlign w:val="center"/>
          </w:tcPr>
          <w:p>
            <w:pPr>
              <w:spacing w:line="360" w:lineRule="auto"/>
              <w:jc w:val="center"/>
              <w:rPr>
                <w:color w:val="auto"/>
                <w:szCs w:val="21"/>
                <w:highlight w:val="none"/>
              </w:rPr>
            </w:pPr>
            <w:r>
              <w:rPr>
                <w:rFonts w:hint="eastAsia"/>
                <w:color w:val="auto"/>
                <w:szCs w:val="21"/>
                <w:highlight w:val="none"/>
              </w:rPr>
              <w:t>72</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课程类型</w:t>
            </w:r>
          </w:p>
        </w:tc>
        <w:tc>
          <w:tcPr>
            <w:tcW w:w="1994" w:type="dxa"/>
            <w:noWrap/>
            <w:vAlign w:val="center"/>
          </w:tcPr>
          <w:p>
            <w:pPr>
              <w:spacing w:line="360" w:lineRule="auto"/>
              <w:jc w:val="center"/>
              <w:rPr>
                <w:color w:val="auto"/>
                <w:szCs w:val="21"/>
                <w:highlight w:val="none"/>
              </w:rPr>
            </w:pPr>
            <w:r>
              <w:rPr>
                <w:color w:val="auto"/>
                <w:szCs w:val="21"/>
                <w:highlight w:val="none"/>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适用专业</w:t>
            </w:r>
          </w:p>
        </w:tc>
        <w:tc>
          <w:tcPr>
            <w:tcW w:w="3274" w:type="dxa"/>
            <w:noWrap/>
            <w:vAlign w:val="center"/>
          </w:tcPr>
          <w:p>
            <w:pPr>
              <w:spacing w:line="360" w:lineRule="auto"/>
              <w:jc w:val="center"/>
              <w:rPr>
                <w:rFonts w:hint="eastAsia" w:eastAsiaTheme="minorEastAsia"/>
                <w:color w:val="auto"/>
                <w:szCs w:val="21"/>
                <w:highlight w:val="none"/>
                <w:lang w:eastAsia="zh-CN"/>
              </w:rPr>
            </w:pPr>
            <w:r>
              <w:rPr>
                <w:rFonts w:hAnsi="宋体"/>
                <w:color w:val="auto"/>
                <w:szCs w:val="21"/>
                <w:highlight w:val="none"/>
              </w:rPr>
              <w:t>煤化工技术</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课程性质</w:t>
            </w:r>
          </w:p>
        </w:tc>
        <w:tc>
          <w:tcPr>
            <w:tcW w:w="1994" w:type="dxa"/>
            <w:noWrap/>
            <w:vAlign w:val="center"/>
          </w:tcPr>
          <w:p>
            <w:pPr>
              <w:spacing w:line="360" w:lineRule="auto"/>
              <w:jc w:val="center"/>
              <w:rPr>
                <w:color w:val="auto"/>
                <w:szCs w:val="21"/>
                <w:highlight w:val="none"/>
              </w:rPr>
            </w:pPr>
            <w:r>
              <w:rPr>
                <w:rFonts w:hAnsi="宋体"/>
                <w:color w:val="auto"/>
                <w:szCs w:val="21"/>
                <w:highlight w:val="none"/>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开课学期</w:t>
            </w:r>
          </w:p>
        </w:tc>
        <w:tc>
          <w:tcPr>
            <w:tcW w:w="3274" w:type="dxa"/>
            <w:noWrap/>
            <w:vAlign w:val="center"/>
          </w:tcPr>
          <w:p>
            <w:pPr>
              <w:spacing w:line="360" w:lineRule="auto"/>
              <w:jc w:val="center"/>
              <w:rPr>
                <w:color w:val="auto"/>
                <w:szCs w:val="21"/>
                <w:highlight w:val="none"/>
              </w:rPr>
            </w:pPr>
            <w:r>
              <w:rPr>
                <w:rFonts w:hAnsi="宋体"/>
                <w:color w:val="auto"/>
                <w:szCs w:val="21"/>
                <w:highlight w:val="none"/>
              </w:rPr>
              <w:t>第</w:t>
            </w:r>
            <w:r>
              <w:rPr>
                <w:rFonts w:hint="eastAsia" w:hAnsi="宋体"/>
                <w:color w:val="auto"/>
                <w:szCs w:val="21"/>
                <w:highlight w:val="none"/>
              </w:rPr>
              <w:t>2</w:t>
            </w:r>
            <w:r>
              <w:rPr>
                <w:rFonts w:hAnsi="宋体"/>
                <w:color w:val="auto"/>
                <w:szCs w:val="21"/>
                <w:highlight w:val="none"/>
              </w:rPr>
              <w:t>学期</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学分</w:t>
            </w:r>
          </w:p>
        </w:tc>
        <w:tc>
          <w:tcPr>
            <w:tcW w:w="1994" w:type="dxa"/>
            <w:noWrap/>
            <w:vAlign w:val="center"/>
          </w:tcPr>
          <w:p>
            <w:pPr>
              <w:spacing w:line="360" w:lineRule="auto"/>
              <w:jc w:val="center"/>
              <w:rPr>
                <w:color w:val="auto"/>
                <w:szCs w:val="21"/>
                <w:highlight w:val="none"/>
              </w:rPr>
            </w:pPr>
            <w:r>
              <w:rPr>
                <w:rFonts w:hint="eastAsia"/>
                <w:color w:val="auto"/>
                <w:szCs w:val="21"/>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先行课程</w:t>
            </w:r>
          </w:p>
        </w:tc>
        <w:tc>
          <w:tcPr>
            <w:tcW w:w="3274" w:type="dxa"/>
            <w:noWrap/>
            <w:vAlign w:val="center"/>
          </w:tcPr>
          <w:p>
            <w:pPr>
              <w:spacing w:line="360" w:lineRule="auto"/>
              <w:jc w:val="center"/>
              <w:rPr>
                <w:rFonts w:hAnsi="宋体"/>
                <w:color w:val="auto"/>
                <w:szCs w:val="21"/>
                <w:highlight w:val="none"/>
              </w:rPr>
            </w:pPr>
            <w:r>
              <w:rPr>
                <w:rFonts w:hAnsi="宋体"/>
                <w:color w:val="auto"/>
                <w:szCs w:val="21"/>
                <w:highlight w:val="none"/>
              </w:rPr>
              <w:t>基础化学，化工制图</w:t>
            </w:r>
            <w:r>
              <w:rPr>
                <w:rFonts w:hint="eastAsia" w:hAnsi="宋体"/>
                <w:color w:val="auto"/>
                <w:szCs w:val="21"/>
                <w:highlight w:val="none"/>
              </w:rPr>
              <w:t>，</w:t>
            </w:r>
          </w:p>
          <w:p>
            <w:pPr>
              <w:spacing w:line="360" w:lineRule="auto"/>
              <w:jc w:val="center"/>
              <w:rPr>
                <w:color w:val="auto"/>
                <w:szCs w:val="21"/>
                <w:highlight w:val="none"/>
              </w:rPr>
            </w:pPr>
            <w:r>
              <w:rPr>
                <w:rFonts w:hint="eastAsia" w:hAnsi="宋体"/>
                <w:color w:val="auto"/>
                <w:szCs w:val="21"/>
                <w:highlight w:val="none"/>
              </w:rPr>
              <w:t>化工单元操作</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开课单位</w:t>
            </w:r>
          </w:p>
        </w:tc>
        <w:tc>
          <w:tcPr>
            <w:tcW w:w="1994" w:type="dxa"/>
            <w:noWrap/>
            <w:vAlign w:val="center"/>
          </w:tcPr>
          <w:p>
            <w:pPr>
              <w:spacing w:line="360" w:lineRule="auto"/>
              <w:jc w:val="center"/>
              <w:rPr>
                <w:color w:val="auto"/>
                <w:szCs w:val="21"/>
                <w:highlight w:val="none"/>
              </w:rPr>
            </w:pPr>
            <w:r>
              <w:rPr>
                <w:rFonts w:hint="eastAsia" w:hAnsi="宋体"/>
                <w:color w:val="auto"/>
                <w:szCs w:val="21"/>
                <w:highlight w:val="none"/>
              </w:rPr>
              <w:t>晋城职业技术学院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平行课程</w:t>
            </w:r>
          </w:p>
        </w:tc>
        <w:tc>
          <w:tcPr>
            <w:tcW w:w="3274" w:type="dxa"/>
            <w:noWrap/>
            <w:vAlign w:val="center"/>
          </w:tcPr>
          <w:p>
            <w:pPr>
              <w:widowControl/>
              <w:jc w:val="center"/>
              <w:rPr>
                <w:color w:val="auto"/>
                <w:szCs w:val="21"/>
                <w:highlight w:val="none"/>
              </w:rPr>
            </w:pPr>
            <w:r>
              <w:rPr>
                <w:rFonts w:hint="eastAsia" w:hAnsi="宋体"/>
                <w:color w:val="auto"/>
                <w:szCs w:val="21"/>
                <w:highlight w:val="none"/>
              </w:rPr>
              <w:t>化工原理、化工仪表及自动化</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考核类型</w:t>
            </w:r>
          </w:p>
        </w:tc>
        <w:tc>
          <w:tcPr>
            <w:tcW w:w="1994" w:type="dxa"/>
            <w:noWrap/>
            <w:vAlign w:val="center"/>
          </w:tcPr>
          <w:p>
            <w:pPr>
              <w:spacing w:line="360" w:lineRule="auto"/>
              <w:jc w:val="center"/>
              <w:rPr>
                <w:color w:val="auto"/>
                <w:szCs w:val="21"/>
                <w:highlight w:val="none"/>
              </w:rPr>
            </w:pPr>
            <w:r>
              <w:rPr>
                <w:rFonts w:hAnsi="宋体"/>
                <w:color w:val="auto"/>
                <w:szCs w:val="21"/>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后继课程</w:t>
            </w:r>
          </w:p>
        </w:tc>
        <w:tc>
          <w:tcPr>
            <w:tcW w:w="6888" w:type="dxa"/>
            <w:gridSpan w:val="3"/>
            <w:noWrap/>
            <w:vAlign w:val="center"/>
          </w:tcPr>
          <w:p>
            <w:pPr>
              <w:spacing w:line="360" w:lineRule="auto"/>
              <w:jc w:val="center"/>
              <w:rPr>
                <w:rFonts w:hint="default" w:eastAsiaTheme="minorEastAsia"/>
                <w:color w:val="auto"/>
                <w:szCs w:val="21"/>
                <w:highlight w:val="none"/>
                <w:lang w:val="en-US" w:eastAsia="zh-CN"/>
              </w:rPr>
            </w:pPr>
            <w:r>
              <w:rPr>
                <w:rFonts w:hint="eastAsia"/>
                <w:color w:val="auto"/>
                <w:szCs w:val="21"/>
                <w:highlight w:val="none"/>
              </w:rPr>
              <w:t>无机化工生产技术</w:t>
            </w:r>
            <w:r>
              <w:rPr>
                <w:rFonts w:hint="eastAsia"/>
                <w:color w:val="auto"/>
                <w:szCs w:val="21"/>
                <w:highlight w:val="none"/>
                <w:lang w:eastAsia="zh-CN"/>
              </w:rPr>
              <w:t>、</w:t>
            </w:r>
            <w:r>
              <w:rPr>
                <w:rFonts w:hint="eastAsia"/>
                <w:color w:val="auto"/>
                <w:szCs w:val="21"/>
                <w:highlight w:val="none"/>
                <w:lang w:val="en-US" w:eastAsia="zh-CN"/>
              </w:rPr>
              <w:t>现代煤化工技术</w:t>
            </w:r>
          </w:p>
        </w:tc>
      </w:tr>
    </w:tbl>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（一）课程性质与定位</w:t>
      </w:r>
    </w:p>
    <w:p>
      <w:pPr>
        <w:pStyle w:val="25"/>
        <w:spacing w:line="360" w:lineRule="auto"/>
        <w:ind w:firstLineChars="175"/>
        <w:rPr>
          <w:rFonts w:ascii="宋体" w:hAnsi="宋体" w:cs="宋体"/>
          <w:color w:val="auto"/>
          <w:sz w:val="24"/>
          <w:szCs w:val="24"/>
          <w:highlight w:val="none"/>
        </w:rPr>
      </w:pPr>
      <w:r>
        <w:rPr>
          <w:rFonts w:hint="eastAsia" w:ascii="宋体" w:hAnsi="宋体" w:cs="宋体"/>
          <w:color w:val="auto"/>
          <w:sz w:val="24"/>
          <w:szCs w:val="24"/>
          <w:highlight w:val="none"/>
        </w:rPr>
        <w:t>《化工安全技术》是高等职业技术院校应用化工生产技术专业的一门必修课，是本专业重要的专业技能课之一。煤化工安全技术贯穿于化工生产全过程，从技术开发、工艺设计、厂房修建、设备安装、生产操作、设备管理、紧急预案、事故处理，直至“三废”处理等各个环节，它是一门涉及面广、内容丰富的综合性技术。因此，本课程同样贯穿于应用化工生产技术专业学习全过程，包括从各专业基础课到各专业课。本课程着眼于培养学生的煤化工安全技术专业知识和基本安全操作技能，着重培养学生分析、解决实际问题的能力，提高学生的职业素质。这些能力所涉及的知识与专业培养目标和现代化工行业人才所需知识结构相一致。煤化工安全技术与其它课程相辅相成，共同为学生将来进入化工企业进行安全生产操作、及基层管理工作打下坚实的基础。</w:t>
      </w:r>
    </w:p>
    <w:p>
      <w:pPr>
        <w:pStyle w:val="25"/>
        <w:spacing w:line="360" w:lineRule="auto"/>
        <w:ind w:firstLineChars="175"/>
        <w:rPr>
          <w:rFonts w:ascii="宋体" w:hAnsi="宋体" w:cs="宋体"/>
          <w:color w:val="auto"/>
          <w:sz w:val="24"/>
          <w:szCs w:val="24"/>
          <w:highlight w:val="none"/>
        </w:rPr>
      </w:pPr>
      <w:r>
        <w:rPr>
          <w:rFonts w:hint="eastAsia" w:ascii="宋体" w:hAnsi="宋体" w:cs="宋体"/>
          <w:color w:val="auto"/>
          <w:sz w:val="24"/>
          <w:szCs w:val="24"/>
          <w:highlight w:val="none"/>
        </w:rPr>
        <w:t>本课程前导课程有《化工原理》、《化工仪表及自动化》等课程，为煤化工安全技术课程提供理论支撑，主要为本课程的学习提供化工生产方法、工艺操作、仪表设备等方面理论知识和技能基础，后续课程包括综合实训和顶岗实训，为学生进入企业从事安全实训和生产操作提供安全知识和技能。</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（二）课程设计理念</w:t>
      </w:r>
    </w:p>
    <w:p>
      <w:pPr>
        <w:pStyle w:val="13"/>
        <w:spacing w:beforeAutospacing="0" w:afterAutospacing="0" w:line="480" w:lineRule="atLeast"/>
        <w:ind w:firstLine="480"/>
        <w:textAlignment w:val="baseline"/>
        <w:rPr>
          <w:color w:val="auto"/>
          <w:highlight w:val="none"/>
        </w:rPr>
      </w:pPr>
      <w:r>
        <w:rPr>
          <w:rFonts w:hint="eastAsia"/>
          <w:color w:val="auto"/>
          <w:highlight w:val="none"/>
        </w:rPr>
        <w:t xml:space="preserve">在本课程的建设过程中，以化工安全生产和管理能力培养为重点，听取了化工行业专家以及毕业生的意见，同时在课程组中引进化工行业安全专家和工程技术人员参加课程建设，重组教学内容，基于化工安全生产职业岗位的工作过程，实现了模块化教学，每个模块都设置了学习目标和任务。 </w:t>
      </w:r>
    </w:p>
    <w:p>
      <w:pPr>
        <w:pStyle w:val="13"/>
        <w:spacing w:beforeAutospacing="0" w:afterAutospacing="0" w:line="480" w:lineRule="atLeast"/>
        <w:ind w:firstLine="480"/>
        <w:textAlignment w:val="baseline"/>
        <w:rPr>
          <w:color w:val="auto"/>
          <w:highlight w:val="none"/>
        </w:rPr>
      </w:pPr>
      <w:r>
        <w:rPr>
          <w:rFonts w:hint="eastAsia"/>
          <w:color w:val="auto"/>
          <w:highlight w:val="none"/>
        </w:rPr>
        <w:t xml:space="preserve">同时，本课程还设有单项实训项目，其在化工安全生产中都是一个完整的工作过程。通过三地三合（“三地”是教室、实训场地和企业现场；“三合”是理论技能训练相结合、专题训练与生产综合实训相结合和工学结合）的教学模式，使理论和实践有机融合，教学做合一，不但培养了学生的化工安全知识和技能，还培养了学生综合技能和化工安全的职业素养。 </w:t>
      </w:r>
    </w:p>
    <w:p>
      <w:pPr>
        <w:pStyle w:val="13"/>
        <w:spacing w:beforeAutospacing="0" w:afterAutospacing="0" w:line="480" w:lineRule="atLeast"/>
        <w:ind w:firstLine="480"/>
        <w:textAlignment w:val="baseline"/>
        <w:rPr>
          <w:color w:val="auto"/>
          <w:highlight w:val="none"/>
        </w:rPr>
      </w:pPr>
      <w:r>
        <w:rPr>
          <w:rFonts w:hint="eastAsia"/>
          <w:color w:val="auto"/>
          <w:highlight w:val="none"/>
        </w:rPr>
        <w:t>学生在课程中需要化学品安全知识、化工生产防火防爆、化工火灾扑救、机械伤害的预防、锅炉与压力容器的安全技术、化工用电安全、化工静电安全、化工检修安全以及防护器材及用品等知识学习和技能训练。这完全符合化工安全生产操作、安全管理的工作岗位任务，充分体现了煤化工安全技术的职业性。</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（三）课程目标</w:t>
      </w:r>
    </w:p>
    <w:p>
      <w:pPr>
        <w:pStyle w:val="13"/>
        <w:spacing w:beforeAutospacing="0" w:afterAutospacing="0" w:line="480" w:lineRule="atLeast"/>
        <w:ind w:firstLine="480"/>
        <w:textAlignment w:val="baseline"/>
        <w:rPr>
          <w:color w:val="auto"/>
          <w:highlight w:val="none"/>
        </w:rPr>
      </w:pPr>
      <w:r>
        <w:rPr>
          <w:rFonts w:hint="eastAsia"/>
          <w:color w:val="auto"/>
          <w:highlight w:val="none"/>
        </w:rPr>
        <w:t>本课程的目标是煤化工安全技术的教学是以易产生的各类事故为主线，对一些特殊的事故，运用设备、工艺和化工方面的基础知识，将课程内容融会贯通。通过本门课程的学习及对各类事故的剖析,使学生了解在类似的环境下存在的安全隐患，以及采取何种措施才是合适的保证安全生产的方法。培养学生运用所学知识研究生产系统中存在的安全问题以及解决问题的能力，为将来所从事的工作岗位发挥专业技能打下基础。</w:t>
      </w:r>
    </w:p>
    <w:p>
      <w:pPr>
        <w:pStyle w:val="13"/>
        <w:spacing w:beforeAutospacing="0" w:afterAutospacing="0" w:line="360" w:lineRule="auto"/>
        <w:ind w:firstLine="480" w:firstLineChars="200"/>
        <w:jc w:val="both"/>
        <w:rPr>
          <w:color w:val="auto"/>
          <w:highlight w:val="none"/>
        </w:rPr>
      </w:pPr>
      <w:r>
        <w:rPr>
          <w:rFonts w:hint="eastAsia"/>
          <w:color w:val="auto"/>
          <w:highlight w:val="none"/>
        </w:rPr>
        <w:t>1</w:t>
      </w:r>
      <w:r>
        <w:rPr>
          <w:rFonts w:hint="eastAsia"/>
          <w:color w:val="auto"/>
          <w:highlight w:val="none"/>
          <w:lang w:eastAsia="zh-CN"/>
        </w:rPr>
        <w:t>.</w:t>
      </w:r>
      <w:r>
        <w:rPr>
          <w:rFonts w:hint="eastAsia"/>
          <w:color w:val="auto"/>
          <w:highlight w:val="none"/>
        </w:rPr>
        <w:t>专业知识</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3"/>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 xml:space="preserve">①了解当今化学工业概貌及其发展方向；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3"/>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 xml:space="preserve">②掌握化学危险物质的分类、特点及安全贮存与运输。在物质性质的基础上把握化学危险物质的正确识别与处理；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3"/>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 xml:space="preserve">③掌握防火防爆防尘防毒技术。重点掌握化工工艺参数的安全控制及火灾与爆炸蔓延的有效控制措施，并把握尘毒防护的方法；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3"/>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 xml:space="preserve">④了解压力容器的分类、安全附件及其定期检验等。掌握工业锅炉、压力管道及气瓶等压力容器的安全使用知识；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3"/>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 xml:space="preserve">⑤了解电气安全与静电防护技术。重点掌握触电急救的方法，并熟悉建筑物、化工设备及人体防雷的方法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3"/>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 xml:space="preserve">⑥重点掌握化工装置的安全检修基础知识。把握装置停车的安全处理，以及检修中的动火安全、动电安全、高处作业、罐内作业等；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3"/>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⑦掌握安全系统工程的基本概念，掌握危险性评价的方法。重点把握“人-机-环境”系统的危险性识别，并熟悉把握危险性预先分析法和火灾爆炸危险指数法。</w:t>
            </w:r>
          </w:p>
        </w:tc>
      </w:tr>
    </w:tbl>
    <w:p>
      <w:pPr>
        <w:pStyle w:val="13"/>
        <w:spacing w:beforeAutospacing="0" w:afterAutospacing="0" w:line="360" w:lineRule="auto"/>
        <w:ind w:firstLine="480" w:firstLineChars="200"/>
        <w:jc w:val="both"/>
        <w:rPr>
          <w:color w:val="auto"/>
          <w:highlight w:val="none"/>
        </w:rPr>
      </w:pPr>
      <w:r>
        <w:rPr>
          <w:rFonts w:hint="eastAsia"/>
          <w:color w:val="auto"/>
          <w:highlight w:val="none"/>
        </w:rPr>
        <w:t>2</w:t>
      </w:r>
      <w:r>
        <w:rPr>
          <w:rFonts w:hint="eastAsia"/>
          <w:color w:val="auto"/>
          <w:highlight w:val="none"/>
          <w:lang w:eastAsia="zh-CN"/>
        </w:rPr>
        <w:t>.</w:t>
      </w:r>
      <w:r>
        <w:rPr>
          <w:rFonts w:hint="eastAsia"/>
          <w:color w:val="auto"/>
          <w:highlight w:val="none"/>
        </w:rPr>
        <w:t>专业技能</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3"/>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 xml:space="preserve">①能够运用防火、防爆、防尘、防毒、防静电分析和处理化工生产中存在的安全问题以及做好自身的安全防护；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3"/>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 xml:space="preserve">②能够运用电气安全技术协助化工仪表技术人员分析和处理化工仪表及自动化系统中的安全问题；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3"/>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 xml:space="preserve">③能够运用压力容器安全技术知识，安全地操作压力容器，能够发现安全隐患并能采取相应的措施防止事故的出现和扩大；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3"/>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 xml:space="preserve">④能够运用化工安全检修技术协助化工设备人员进行化工设备机械的检修、维护和使用；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3"/>
              <w:spacing w:beforeAutospacing="0" w:afterAutospacing="0" w:line="360" w:lineRule="auto"/>
              <w:ind w:firstLine="420" w:firstLineChars="200"/>
              <w:jc w:val="both"/>
              <w:rPr>
                <w:color w:val="auto"/>
                <w:sz w:val="21"/>
                <w:szCs w:val="21"/>
                <w:highlight w:val="none"/>
              </w:rPr>
            </w:pPr>
            <w:r>
              <w:rPr>
                <w:rFonts w:hint="eastAsia"/>
                <w:color w:val="auto"/>
                <w:sz w:val="21"/>
                <w:szCs w:val="21"/>
                <w:highlight w:val="none"/>
              </w:rPr>
              <w:t>⑤初步具备综合运用煤化工安全技术知识，处理化工生产中的各种危险情况，并能够制订出相应的防护措施。</w:t>
            </w:r>
          </w:p>
        </w:tc>
      </w:tr>
    </w:tbl>
    <w:p>
      <w:pPr>
        <w:pStyle w:val="13"/>
        <w:spacing w:beforeAutospacing="0" w:afterAutospacing="0" w:line="360" w:lineRule="auto"/>
        <w:ind w:firstLine="480" w:firstLineChars="200"/>
        <w:jc w:val="both"/>
        <w:rPr>
          <w:color w:val="auto"/>
          <w:highlight w:val="none"/>
        </w:rPr>
      </w:pPr>
      <w:r>
        <w:rPr>
          <w:rFonts w:hint="eastAsia"/>
          <w:color w:val="auto"/>
          <w:highlight w:val="none"/>
        </w:rPr>
        <w:t>3</w:t>
      </w:r>
      <w:r>
        <w:rPr>
          <w:rFonts w:hint="eastAsia"/>
          <w:color w:val="auto"/>
          <w:highlight w:val="none"/>
          <w:lang w:eastAsia="zh-CN"/>
        </w:rPr>
        <w:t>.</w:t>
      </w:r>
      <w:r>
        <w:rPr>
          <w:rFonts w:hint="eastAsia"/>
          <w:color w:val="auto"/>
          <w:highlight w:val="none"/>
        </w:rPr>
        <w:t>自身素质</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3"/>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①具备化工生产的安全、环保及劳动卫生防护职业素养；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3"/>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②具备化工生产遵章守纪的职业道德；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3"/>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③具备强烈的责任感和吃苦耐劳的精神；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3"/>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④具备资料查阅、信息检索和加工等自我学习能力；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3"/>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⑤具备发现、分析和解决问题能力；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3"/>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⑥具备表达、沟通和与人合作、岗位与岗位之间合作的能力。</w:t>
            </w:r>
          </w:p>
        </w:tc>
      </w:tr>
    </w:tbl>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w:t>
      </w:r>
      <w:r>
        <w:rPr>
          <w:rFonts w:hint="eastAsia" w:ascii="黑体" w:hAnsi="黑体" w:eastAsia="黑体" w:cs="黑体"/>
          <w:bCs/>
          <w:color w:val="auto"/>
          <w:sz w:val="30"/>
          <w:szCs w:val="30"/>
          <w:highlight w:val="none"/>
          <w:lang w:val="en-US" w:eastAsia="zh-CN"/>
        </w:rPr>
        <w:t>四</w:t>
      </w:r>
      <w:r>
        <w:rPr>
          <w:rFonts w:hint="eastAsia" w:ascii="黑体" w:hAnsi="黑体" w:eastAsia="黑体" w:cs="黑体"/>
          <w:bCs/>
          <w:color w:val="auto"/>
          <w:sz w:val="30"/>
          <w:szCs w:val="30"/>
          <w:highlight w:val="none"/>
          <w:lang w:eastAsia="zh-CN"/>
        </w:rPr>
        <w:t>）课程教学内容及学时分配</w:t>
      </w:r>
    </w:p>
    <w:p>
      <w:pPr>
        <w:spacing w:line="360" w:lineRule="auto"/>
        <w:ind w:firstLine="480" w:firstLineChars="200"/>
        <w:rPr>
          <w:rFonts w:ascii="宋体" w:hAnsi="宋体" w:cs="宋体"/>
          <w:color w:val="auto"/>
          <w:kern w:val="0"/>
          <w:sz w:val="24"/>
          <w:highlight w:val="none"/>
        </w:rPr>
      </w:pPr>
      <w:r>
        <w:rPr>
          <w:rFonts w:hint="eastAsia" w:ascii="宋体" w:hAnsi="宋体" w:cs="宋体"/>
          <w:color w:val="auto"/>
          <w:sz w:val="24"/>
          <w:highlight w:val="none"/>
        </w:rPr>
        <w:t>本课程以化工生产中存在的各类危险源为主线，分别针对火灾爆炸、危险化学品、尘毒危害、酸碱腐蚀、压力容器、电气安全、装置检修等不安全因素而采取的预防与控制措施，以及企业安全管理的方法等来进行教学内容的组织与安排。</w:t>
      </w:r>
    </w:p>
    <w:p>
      <w:pPr>
        <w:spacing w:after="156" w:afterLines="50" w:line="360" w:lineRule="auto"/>
        <w:jc w:val="center"/>
        <w:rPr>
          <w:color w:val="auto"/>
          <w:kern w:val="0"/>
          <w:sz w:val="24"/>
          <w:highlight w:val="none"/>
        </w:rPr>
      </w:pPr>
      <w:r>
        <w:rPr>
          <w:rFonts w:hint="eastAsia" w:ascii="宋体" w:hAnsi="宋体" w:cs="宋体"/>
          <w:color w:val="auto"/>
          <w:kern w:val="0"/>
          <w:sz w:val="24"/>
          <w:highlight w:val="none"/>
        </w:rPr>
        <w:t>表4.</w:t>
      </w:r>
      <w:r>
        <w:rPr>
          <w:rFonts w:ascii="宋体" w:hAnsi="宋体" w:cs="宋体"/>
          <w:color w:val="auto"/>
          <w:kern w:val="0"/>
          <w:sz w:val="24"/>
          <w:highlight w:val="none"/>
        </w:rPr>
        <w:t>5</w:t>
      </w:r>
      <w:r>
        <w:rPr>
          <w:rFonts w:hint="eastAsia" w:ascii="宋体" w:hAnsi="宋体"/>
          <w:color w:val="auto"/>
          <w:kern w:val="0"/>
          <w:sz w:val="24"/>
          <w:highlight w:val="none"/>
        </w:rPr>
        <w:t>《</w:t>
      </w:r>
      <w:r>
        <w:rPr>
          <w:rFonts w:hAnsi="宋体"/>
          <w:color w:val="auto"/>
          <w:kern w:val="0"/>
          <w:sz w:val="24"/>
          <w:highlight w:val="none"/>
        </w:rPr>
        <w:t>化工安全技术</w:t>
      </w:r>
      <w:r>
        <w:rPr>
          <w:rFonts w:hint="eastAsia" w:ascii="宋体" w:hAnsi="宋体"/>
          <w:color w:val="auto"/>
          <w:kern w:val="0"/>
          <w:sz w:val="24"/>
          <w:highlight w:val="none"/>
        </w:rPr>
        <w:t>》</w:t>
      </w:r>
      <w:r>
        <w:rPr>
          <w:rFonts w:hint="eastAsia" w:ascii="宋体" w:hAnsi="宋体"/>
          <w:color w:val="auto"/>
          <w:sz w:val="24"/>
          <w:highlight w:val="none"/>
        </w:rPr>
        <w:t>教学内容安排</w:t>
      </w:r>
    </w:p>
    <w:tbl>
      <w:tblPr>
        <w:tblStyle w:val="14"/>
        <w:tblW w:w="8857"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185"/>
        <w:gridCol w:w="4140"/>
        <w:gridCol w:w="2812"/>
        <w:gridCol w:w="720"/>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185" w:type="dxa"/>
            <w:tcBorders>
              <w:top w:val="single" w:color="auto" w:sz="12" w:space="0"/>
            </w:tcBorders>
            <w:noWrap/>
            <w:vAlign w:val="center"/>
          </w:tcPr>
          <w:p>
            <w:pPr>
              <w:adjustRightInd w:val="0"/>
              <w:snapToGrid w:val="0"/>
              <w:jc w:val="center"/>
              <w:rPr>
                <w:b/>
                <w:bCs/>
                <w:color w:val="auto"/>
                <w:szCs w:val="21"/>
                <w:highlight w:val="none"/>
              </w:rPr>
            </w:pPr>
            <w:r>
              <w:rPr>
                <w:rFonts w:hAnsi="宋体"/>
                <w:b/>
                <w:bCs/>
                <w:color w:val="auto"/>
                <w:szCs w:val="21"/>
                <w:highlight w:val="none"/>
              </w:rPr>
              <w:t>项目任务</w:t>
            </w:r>
          </w:p>
        </w:tc>
        <w:tc>
          <w:tcPr>
            <w:tcW w:w="4140" w:type="dxa"/>
            <w:tcBorders>
              <w:top w:val="single" w:color="auto" w:sz="12" w:space="0"/>
            </w:tcBorders>
            <w:noWrap/>
            <w:vAlign w:val="center"/>
          </w:tcPr>
          <w:p>
            <w:pPr>
              <w:adjustRightInd w:val="0"/>
              <w:snapToGrid w:val="0"/>
              <w:ind w:firstLine="422" w:firstLineChars="200"/>
              <w:jc w:val="center"/>
              <w:rPr>
                <w:b/>
                <w:bCs/>
                <w:color w:val="auto"/>
                <w:szCs w:val="21"/>
                <w:highlight w:val="none"/>
              </w:rPr>
            </w:pPr>
            <w:r>
              <w:rPr>
                <w:rFonts w:hAnsi="宋体"/>
                <w:b/>
                <w:bCs/>
                <w:color w:val="auto"/>
                <w:szCs w:val="21"/>
                <w:highlight w:val="none"/>
              </w:rPr>
              <w:t>学习情境描述及目标</w:t>
            </w:r>
          </w:p>
        </w:tc>
        <w:tc>
          <w:tcPr>
            <w:tcW w:w="2812" w:type="dxa"/>
            <w:tcBorders>
              <w:top w:val="single" w:color="auto" w:sz="12" w:space="0"/>
            </w:tcBorders>
            <w:noWrap/>
            <w:vAlign w:val="center"/>
          </w:tcPr>
          <w:p>
            <w:pPr>
              <w:adjustRightInd w:val="0"/>
              <w:snapToGrid w:val="0"/>
              <w:ind w:firstLine="422" w:firstLineChars="200"/>
              <w:jc w:val="center"/>
              <w:rPr>
                <w:b/>
                <w:bCs/>
                <w:color w:val="auto"/>
                <w:szCs w:val="21"/>
                <w:highlight w:val="none"/>
              </w:rPr>
            </w:pPr>
            <w:r>
              <w:rPr>
                <w:rFonts w:hAnsi="宋体"/>
                <w:b/>
                <w:bCs/>
                <w:color w:val="auto"/>
                <w:szCs w:val="21"/>
                <w:highlight w:val="none"/>
              </w:rPr>
              <w:t>学习内容</w:t>
            </w:r>
          </w:p>
        </w:tc>
        <w:tc>
          <w:tcPr>
            <w:tcW w:w="720" w:type="dxa"/>
            <w:tcBorders>
              <w:top w:val="single" w:color="auto" w:sz="12" w:space="0"/>
            </w:tcBorders>
            <w:noWrap/>
            <w:vAlign w:val="center"/>
          </w:tcPr>
          <w:p>
            <w:pPr>
              <w:adjustRightInd w:val="0"/>
              <w:snapToGrid w:val="0"/>
              <w:jc w:val="center"/>
              <w:rPr>
                <w:b/>
                <w:bCs/>
                <w:color w:val="auto"/>
                <w:szCs w:val="21"/>
                <w:highlight w:val="none"/>
              </w:rPr>
            </w:pPr>
            <w:r>
              <w:rPr>
                <w:rFonts w:hAnsi="宋体"/>
                <w:b/>
                <w:bCs/>
                <w:color w:val="auto"/>
                <w:szCs w:val="21"/>
                <w:highlight w:val="none"/>
              </w:rPr>
              <w:t>学时分配</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62" w:hRule="atLeast"/>
          <w:jc w:val="center"/>
        </w:trPr>
        <w:tc>
          <w:tcPr>
            <w:tcW w:w="1185" w:type="dxa"/>
            <w:noWrap/>
            <w:vAlign w:val="center"/>
          </w:tcPr>
          <w:p>
            <w:pPr>
              <w:pStyle w:val="13"/>
              <w:adjustRightInd w:val="0"/>
              <w:snapToGrid w:val="0"/>
              <w:spacing w:beforeAutospacing="0" w:afterAutospacing="0" w:line="360" w:lineRule="auto"/>
              <w:rPr>
                <w:color w:val="auto"/>
                <w:sz w:val="21"/>
                <w:szCs w:val="21"/>
                <w:highlight w:val="none"/>
              </w:rPr>
            </w:pPr>
            <w:r>
              <w:rPr>
                <w:rFonts w:hint="eastAsia"/>
                <w:color w:val="auto"/>
                <w:sz w:val="21"/>
                <w:szCs w:val="21"/>
                <w:highlight w:val="none"/>
              </w:rPr>
              <w:t>一 危险化学品</w:t>
            </w:r>
          </w:p>
        </w:tc>
        <w:tc>
          <w:tcPr>
            <w:tcW w:w="4140" w:type="dxa"/>
            <w:noWrap/>
            <w:vAlign w:val="center"/>
          </w:tcPr>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了解：危险化学品的特性与分类、危险化学品的储存与运输、重大危险源。</w:t>
            </w:r>
          </w:p>
        </w:tc>
        <w:tc>
          <w:tcPr>
            <w:tcW w:w="2812" w:type="dxa"/>
            <w:noWrap/>
            <w:vAlign w:val="center"/>
          </w:tcPr>
          <w:p>
            <w:pPr>
              <w:pStyle w:val="13"/>
              <w:adjustRightInd w:val="0"/>
              <w:snapToGrid w:val="0"/>
              <w:spacing w:beforeAutospacing="0" w:afterAutospacing="0" w:line="360" w:lineRule="auto"/>
              <w:rPr>
                <w:color w:val="auto"/>
                <w:sz w:val="21"/>
                <w:szCs w:val="21"/>
                <w:highlight w:val="none"/>
              </w:rPr>
            </w:pPr>
            <w:r>
              <w:rPr>
                <w:rFonts w:hint="eastAsia"/>
                <w:color w:val="auto"/>
                <w:sz w:val="21"/>
                <w:szCs w:val="21"/>
                <w:highlight w:val="none"/>
              </w:rPr>
              <w:t>1 危险化学品的特性与分类</w:t>
            </w:r>
          </w:p>
          <w:p>
            <w:pPr>
              <w:pStyle w:val="13"/>
              <w:adjustRightInd w:val="0"/>
              <w:snapToGrid w:val="0"/>
              <w:spacing w:beforeAutospacing="0" w:afterAutospacing="0" w:line="360" w:lineRule="auto"/>
              <w:rPr>
                <w:color w:val="auto"/>
                <w:sz w:val="21"/>
                <w:szCs w:val="21"/>
                <w:highlight w:val="none"/>
              </w:rPr>
            </w:pPr>
            <w:r>
              <w:rPr>
                <w:rFonts w:hint="eastAsia"/>
                <w:color w:val="auto"/>
                <w:sz w:val="21"/>
                <w:szCs w:val="21"/>
                <w:highlight w:val="none"/>
              </w:rPr>
              <w:t>2 危险化学品的储存与运输</w:t>
            </w:r>
          </w:p>
          <w:p>
            <w:pPr>
              <w:pStyle w:val="13"/>
              <w:adjustRightInd w:val="0"/>
              <w:snapToGrid w:val="0"/>
              <w:spacing w:beforeAutospacing="0" w:afterAutospacing="0" w:line="360" w:lineRule="auto"/>
              <w:rPr>
                <w:color w:val="auto"/>
                <w:sz w:val="21"/>
                <w:szCs w:val="21"/>
                <w:highlight w:val="none"/>
              </w:rPr>
            </w:pPr>
            <w:r>
              <w:rPr>
                <w:rFonts w:hint="eastAsia"/>
                <w:color w:val="auto"/>
                <w:sz w:val="21"/>
                <w:szCs w:val="21"/>
                <w:highlight w:val="none"/>
              </w:rPr>
              <w:t>3 重大危险源</w:t>
            </w:r>
          </w:p>
        </w:tc>
        <w:tc>
          <w:tcPr>
            <w:tcW w:w="720" w:type="dxa"/>
            <w:noWrap/>
            <w:vAlign w:val="center"/>
          </w:tcPr>
          <w:p>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4</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79" w:hRule="atLeast"/>
          <w:jc w:val="center"/>
        </w:trPr>
        <w:tc>
          <w:tcPr>
            <w:tcW w:w="1185" w:type="dxa"/>
            <w:noWrap/>
            <w:vAlign w:val="center"/>
          </w:tcPr>
          <w:p>
            <w:pPr>
              <w:pStyle w:val="13"/>
              <w:adjustRightInd w:val="0"/>
              <w:snapToGrid w:val="0"/>
              <w:spacing w:beforeAutospacing="0" w:afterAutospacing="0" w:line="360" w:lineRule="auto"/>
              <w:rPr>
                <w:color w:val="auto"/>
                <w:sz w:val="21"/>
                <w:szCs w:val="21"/>
                <w:highlight w:val="none"/>
              </w:rPr>
            </w:pPr>
            <w:r>
              <w:rPr>
                <w:rFonts w:hint="eastAsia"/>
                <w:color w:val="auto"/>
                <w:sz w:val="21"/>
                <w:szCs w:val="21"/>
                <w:highlight w:val="none"/>
              </w:rPr>
              <w:t>二 防火防爆安全技术</w:t>
            </w:r>
          </w:p>
        </w:tc>
        <w:tc>
          <w:tcPr>
            <w:tcW w:w="4140" w:type="dxa"/>
            <w:noWrap/>
            <w:vAlign w:val="center"/>
          </w:tcPr>
          <w:p>
            <w:pPr>
              <w:adjustRightInd w:val="0"/>
              <w:snapToGrid w:val="0"/>
              <w:spacing w:line="360" w:lineRule="auto"/>
              <w:rPr>
                <w:rFonts w:ascii="宋体" w:hAnsi="宋体" w:cs="宋体"/>
                <w:color w:val="auto"/>
                <w:szCs w:val="21"/>
                <w:highlight w:val="none"/>
              </w:rPr>
            </w:pPr>
            <w:r>
              <w:rPr>
                <w:rFonts w:ascii="宋体" w:hAnsi="宋体" w:cs="宋体"/>
                <w:color w:val="auto"/>
                <w:szCs w:val="21"/>
                <w:highlight w:val="none"/>
              </w:rPr>
              <w:t>掌握</w:t>
            </w:r>
            <w:r>
              <w:rPr>
                <w:rFonts w:hint="eastAsia" w:ascii="宋体" w:hAnsi="宋体" w:cs="宋体"/>
                <w:color w:val="auto"/>
                <w:szCs w:val="21"/>
                <w:highlight w:val="none"/>
              </w:rPr>
              <w:t>：</w:t>
            </w:r>
            <w:r>
              <w:rPr>
                <w:rFonts w:ascii="宋体" w:hAnsi="宋体" w:cs="宋体"/>
                <w:color w:val="auto"/>
                <w:szCs w:val="21"/>
                <w:highlight w:val="none"/>
              </w:rPr>
              <w:t>1</w:t>
            </w:r>
            <w:r>
              <w:rPr>
                <w:rFonts w:hint="eastAsia" w:ascii="宋体" w:hAnsi="宋体" w:cs="宋体"/>
                <w:color w:val="auto"/>
                <w:szCs w:val="21"/>
                <w:highlight w:val="none"/>
                <w:lang w:val="en-US" w:eastAsia="zh-CN"/>
              </w:rPr>
              <w:t>.</w:t>
            </w:r>
            <w:r>
              <w:rPr>
                <w:rFonts w:ascii="宋体" w:hAnsi="宋体" w:cs="宋体"/>
                <w:color w:val="auto"/>
                <w:szCs w:val="21"/>
                <w:highlight w:val="none"/>
              </w:rPr>
              <w:t>燃烧的概念</w:t>
            </w:r>
          </w:p>
          <w:p>
            <w:pPr>
              <w:numPr>
                <w:ilvl w:val="0"/>
                <w:numId w:val="0"/>
              </w:numPr>
              <w:adjustRightInd w:val="0"/>
              <w:snapToGrid w:val="0"/>
              <w:spacing w:line="360" w:lineRule="auto"/>
              <w:ind w:leftChars="200" w:firstLine="210" w:firstLineChars="100"/>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ascii="宋体" w:hAnsi="宋体" w:cs="宋体"/>
                <w:color w:val="auto"/>
                <w:szCs w:val="21"/>
                <w:highlight w:val="none"/>
              </w:rPr>
              <w:t>燃烧过程</w:t>
            </w:r>
          </w:p>
          <w:p>
            <w:pPr>
              <w:numPr>
                <w:ilvl w:val="0"/>
                <w:numId w:val="0"/>
              </w:numPr>
              <w:adjustRightInd w:val="0"/>
              <w:snapToGrid w:val="0"/>
              <w:spacing w:line="360" w:lineRule="auto"/>
              <w:ind w:leftChars="200" w:firstLine="210" w:firstLineChars="100"/>
              <w:rPr>
                <w:rFonts w:ascii="宋体" w:hAnsi="宋体" w:cs="宋体"/>
                <w:color w:val="auto"/>
                <w:szCs w:val="21"/>
                <w:highlight w:val="none"/>
              </w:rPr>
            </w:pPr>
            <w:r>
              <w:rPr>
                <w:rFonts w:ascii="宋体" w:hAnsi="宋体" w:cs="宋体"/>
                <w:color w:val="auto"/>
                <w:szCs w:val="21"/>
                <w:highlight w:val="none"/>
              </w:rPr>
              <w:t>3.燃烧的条件</w:t>
            </w:r>
          </w:p>
          <w:p>
            <w:pPr>
              <w:numPr>
                <w:ilvl w:val="0"/>
                <w:numId w:val="0"/>
              </w:numPr>
              <w:adjustRightInd w:val="0"/>
              <w:snapToGrid w:val="0"/>
              <w:spacing w:line="360" w:lineRule="auto"/>
              <w:ind w:left="630" w:leftChars="300" w:firstLine="0" w:firstLineChars="0"/>
              <w:rPr>
                <w:rFonts w:hint="eastAsia" w:ascii="宋体" w:hAnsi="宋体" w:cs="宋体"/>
                <w:color w:val="auto"/>
                <w:szCs w:val="21"/>
                <w:highlight w:val="none"/>
                <w:lang w:val="en-US" w:eastAsia="zh-CN"/>
              </w:rPr>
            </w:pPr>
            <w:r>
              <w:rPr>
                <w:rFonts w:ascii="宋体" w:hAnsi="宋体" w:cs="宋体"/>
                <w:color w:val="auto"/>
                <w:szCs w:val="21"/>
                <w:highlight w:val="none"/>
              </w:rPr>
              <w:t>4</w:t>
            </w:r>
            <w:r>
              <w:rPr>
                <w:rFonts w:hint="eastAsia" w:ascii="宋体" w:hAnsi="宋体" w:cs="宋体"/>
                <w:color w:val="auto"/>
                <w:szCs w:val="21"/>
                <w:highlight w:val="none"/>
                <w:lang w:val="en-US" w:eastAsia="zh-CN"/>
              </w:rPr>
              <w:t>.</w:t>
            </w:r>
            <w:r>
              <w:rPr>
                <w:rFonts w:ascii="宋体" w:hAnsi="宋体" w:cs="宋体"/>
                <w:color w:val="auto"/>
                <w:szCs w:val="21"/>
                <w:highlight w:val="none"/>
              </w:rPr>
              <w:t>掌握几个与物质燃烧、爆炸特性有关的概念：氧指数和最小点火能量等。</w:t>
            </w:r>
            <w:r>
              <w:rPr>
                <w:rFonts w:hint="eastAsia" w:ascii="宋体" w:hAnsi="宋体" w:cs="宋体"/>
                <w:color w:val="auto"/>
                <w:szCs w:val="21"/>
                <w:highlight w:val="none"/>
                <w:lang w:val="en-US" w:eastAsia="zh-CN"/>
              </w:rPr>
              <w:t xml:space="preserve"> </w:t>
            </w:r>
          </w:p>
          <w:p>
            <w:pPr>
              <w:numPr>
                <w:ilvl w:val="0"/>
                <w:numId w:val="0"/>
              </w:numPr>
              <w:adjustRightInd w:val="0"/>
              <w:snapToGrid w:val="0"/>
              <w:spacing w:line="360" w:lineRule="auto"/>
              <w:ind w:left="630" w:leftChars="300" w:firstLine="0" w:firstLineChars="0"/>
              <w:rPr>
                <w:rFonts w:ascii="宋体" w:hAnsi="宋体" w:cs="宋体"/>
                <w:color w:val="auto"/>
                <w:szCs w:val="21"/>
                <w:highlight w:val="none"/>
              </w:rPr>
            </w:pPr>
            <w:r>
              <w:rPr>
                <w:rFonts w:hint="eastAsia" w:ascii="宋体" w:hAnsi="宋体" w:cs="宋体"/>
                <w:color w:val="auto"/>
                <w:szCs w:val="21"/>
                <w:highlight w:val="none"/>
                <w:lang w:val="en-US" w:eastAsia="zh-CN"/>
              </w:rPr>
              <w:t xml:space="preserve"> </w:t>
            </w:r>
            <w:r>
              <w:rPr>
                <w:rFonts w:ascii="宋体" w:hAnsi="宋体" w:cs="宋体"/>
                <w:color w:val="auto"/>
                <w:szCs w:val="21"/>
                <w:highlight w:val="none"/>
              </w:rPr>
              <w:t>5</w:t>
            </w:r>
            <w:r>
              <w:rPr>
                <w:rFonts w:hint="eastAsia" w:ascii="宋体" w:hAnsi="宋体" w:cs="宋体"/>
                <w:color w:val="auto"/>
                <w:szCs w:val="21"/>
                <w:highlight w:val="none"/>
                <w:lang w:val="en-US" w:eastAsia="zh-CN"/>
              </w:rPr>
              <w:t>.</w:t>
            </w:r>
            <w:r>
              <w:rPr>
                <w:rFonts w:ascii="宋体" w:hAnsi="宋体" w:cs="宋体"/>
                <w:color w:val="auto"/>
                <w:szCs w:val="21"/>
                <w:highlight w:val="none"/>
              </w:rPr>
              <w:t>燃烧机理。</w:t>
            </w:r>
          </w:p>
          <w:p>
            <w:pPr>
              <w:numPr>
                <w:ilvl w:val="0"/>
                <w:numId w:val="0"/>
              </w:numPr>
              <w:adjustRightInd w:val="0"/>
              <w:snapToGrid w:val="0"/>
              <w:spacing w:line="360" w:lineRule="auto"/>
              <w:ind w:leftChars="200" w:firstLine="210" w:firstLineChars="100"/>
              <w:rPr>
                <w:rFonts w:ascii="宋体" w:hAnsi="宋体" w:cs="宋体"/>
                <w:color w:val="auto"/>
                <w:szCs w:val="21"/>
                <w:highlight w:val="none"/>
              </w:rPr>
            </w:pPr>
            <w:r>
              <w:rPr>
                <w:rFonts w:ascii="宋体" w:hAnsi="宋体" w:cs="宋体"/>
                <w:color w:val="auto"/>
                <w:szCs w:val="21"/>
                <w:highlight w:val="none"/>
              </w:rPr>
              <w:t>6</w:t>
            </w:r>
            <w:r>
              <w:rPr>
                <w:rFonts w:hint="eastAsia" w:ascii="宋体" w:hAnsi="宋体" w:cs="宋体"/>
                <w:color w:val="auto"/>
                <w:szCs w:val="21"/>
                <w:highlight w:val="none"/>
                <w:lang w:val="en-US" w:eastAsia="zh-CN"/>
              </w:rPr>
              <w:t>.</w:t>
            </w:r>
            <w:r>
              <w:rPr>
                <w:rFonts w:ascii="宋体" w:hAnsi="宋体" w:cs="宋体"/>
                <w:color w:val="auto"/>
                <w:szCs w:val="21"/>
                <w:highlight w:val="none"/>
              </w:rPr>
              <w:t>影响火焰传播速度的因素，阻火器的工作原理。</w:t>
            </w:r>
          </w:p>
          <w:p>
            <w:pPr>
              <w:numPr>
                <w:ilvl w:val="0"/>
                <w:numId w:val="0"/>
              </w:numPr>
              <w:adjustRightInd w:val="0"/>
              <w:snapToGrid w:val="0"/>
              <w:spacing w:line="360" w:lineRule="auto"/>
              <w:ind w:leftChars="200" w:firstLine="210" w:firstLineChars="100"/>
              <w:rPr>
                <w:rFonts w:ascii="宋体" w:hAnsi="宋体" w:cs="宋体"/>
                <w:color w:val="auto"/>
                <w:szCs w:val="21"/>
                <w:highlight w:val="none"/>
              </w:rPr>
            </w:pPr>
            <w:r>
              <w:rPr>
                <w:rFonts w:ascii="宋体" w:hAnsi="宋体" w:cs="宋体"/>
                <w:color w:val="auto"/>
                <w:szCs w:val="21"/>
                <w:highlight w:val="none"/>
              </w:rPr>
              <w:t>7、掌握爆炸极限的影响因素</w:t>
            </w:r>
          </w:p>
        </w:tc>
        <w:tc>
          <w:tcPr>
            <w:tcW w:w="2812" w:type="dxa"/>
            <w:noWrap/>
            <w:vAlign w:val="center"/>
          </w:tcPr>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 燃烧基本知识</w:t>
            </w:r>
          </w:p>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2 爆炸基本知识</w:t>
            </w:r>
          </w:p>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3 火灾爆炸危险物质及其处理</w:t>
            </w:r>
          </w:p>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4 防止火灾爆炸发生</w:t>
            </w:r>
          </w:p>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5 控制火灾及爆炸蔓延</w:t>
            </w:r>
          </w:p>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6灭火原理和方法</w:t>
            </w:r>
          </w:p>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7 灭火剂</w:t>
            </w:r>
          </w:p>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8 灭火器材及消防设施</w:t>
            </w:r>
          </w:p>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9 初起火灾的扑救</w:t>
            </w:r>
          </w:p>
        </w:tc>
        <w:tc>
          <w:tcPr>
            <w:tcW w:w="720" w:type="dxa"/>
            <w:noWrap/>
            <w:vAlign w:val="center"/>
          </w:tcPr>
          <w:p>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12</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185" w:type="dxa"/>
            <w:noWrap/>
            <w:vAlign w:val="center"/>
          </w:tcPr>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三 工业毒物安全防护技术</w:t>
            </w:r>
          </w:p>
        </w:tc>
        <w:tc>
          <w:tcPr>
            <w:tcW w:w="4140" w:type="dxa"/>
            <w:noWrap/>
            <w:vAlign w:val="center"/>
          </w:tcPr>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掌握：</w:t>
            </w:r>
            <w:r>
              <w:rPr>
                <w:rFonts w:ascii="宋体" w:hAnsi="宋体" w:cs="宋体"/>
                <w:color w:val="auto"/>
                <w:szCs w:val="21"/>
                <w:highlight w:val="none"/>
              </w:rPr>
              <w:t>1.掌握危害因素的分类，并举例加以说明。</w:t>
            </w:r>
          </w:p>
          <w:p>
            <w:pPr>
              <w:numPr>
                <w:ilvl w:val="0"/>
                <w:numId w:val="0"/>
              </w:numPr>
              <w:adjustRightInd w:val="0"/>
              <w:snapToGrid w:val="0"/>
              <w:spacing w:line="360" w:lineRule="auto"/>
              <w:ind w:leftChars="200"/>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ascii="宋体" w:hAnsi="宋体" w:cs="宋体"/>
                <w:color w:val="auto"/>
                <w:szCs w:val="21"/>
                <w:highlight w:val="none"/>
              </w:rPr>
              <w:t>工业毒物的毒性指标有哪些？</w:t>
            </w:r>
          </w:p>
          <w:p>
            <w:pPr>
              <w:numPr>
                <w:ilvl w:val="0"/>
                <w:numId w:val="0"/>
              </w:numPr>
              <w:adjustRightInd w:val="0"/>
              <w:snapToGrid w:val="0"/>
              <w:spacing w:line="360" w:lineRule="auto"/>
              <w:ind w:firstLine="210" w:firstLineChars="100"/>
              <w:rPr>
                <w:rFonts w:ascii="宋体" w:hAnsi="宋体" w:cs="宋体"/>
                <w:color w:val="auto"/>
                <w:szCs w:val="21"/>
                <w:highlight w:val="none"/>
              </w:rPr>
            </w:pPr>
            <w:r>
              <w:rPr>
                <w:rFonts w:hint="eastAsia" w:ascii="宋体" w:hAnsi="宋体" w:cs="宋体"/>
                <w:color w:val="auto"/>
                <w:szCs w:val="21"/>
                <w:highlight w:val="none"/>
                <w:lang w:val="en-US" w:eastAsia="zh-CN"/>
              </w:rPr>
              <w:t>3.</w:t>
            </w:r>
            <w:r>
              <w:rPr>
                <w:rFonts w:ascii="宋体" w:hAnsi="宋体" w:cs="宋体"/>
                <w:color w:val="auto"/>
                <w:szCs w:val="21"/>
                <w:highlight w:val="none"/>
              </w:rPr>
              <w:t>理解最高容许浓度与阈限值的概念</w:t>
            </w:r>
          </w:p>
        </w:tc>
        <w:tc>
          <w:tcPr>
            <w:tcW w:w="2812" w:type="dxa"/>
            <w:noWrap/>
            <w:vAlign w:val="center"/>
          </w:tcPr>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 xml:space="preserve"> 工业毒物基础知识</w:t>
            </w:r>
          </w:p>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窒息性气体危害及预防措施</w:t>
            </w:r>
          </w:p>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典型重金属、有机物危害及预防措施</w:t>
            </w:r>
          </w:p>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4</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综合防毒技术</w:t>
            </w:r>
          </w:p>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5</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急性中毒的现场救护</w:t>
            </w:r>
          </w:p>
        </w:tc>
        <w:tc>
          <w:tcPr>
            <w:tcW w:w="720" w:type="dxa"/>
            <w:noWrap/>
            <w:vAlign w:val="center"/>
          </w:tcPr>
          <w:p>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12</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185" w:type="dxa"/>
            <w:noWrap/>
            <w:vAlign w:val="center"/>
          </w:tcPr>
          <w:p>
            <w:pPr>
              <w:pStyle w:val="13"/>
              <w:adjustRightInd w:val="0"/>
              <w:snapToGrid w:val="0"/>
              <w:spacing w:beforeAutospacing="0" w:afterAutospacing="0" w:line="360" w:lineRule="auto"/>
              <w:rPr>
                <w:color w:val="auto"/>
                <w:sz w:val="21"/>
                <w:szCs w:val="21"/>
                <w:highlight w:val="none"/>
              </w:rPr>
            </w:pPr>
            <w:r>
              <w:rPr>
                <w:rFonts w:hint="eastAsia"/>
                <w:color w:val="auto"/>
                <w:sz w:val="21"/>
                <w:szCs w:val="21"/>
                <w:highlight w:val="none"/>
              </w:rPr>
              <w:t>四 电气安全技术</w:t>
            </w:r>
          </w:p>
        </w:tc>
        <w:tc>
          <w:tcPr>
            <w:tcW w:w="4140" w:type="dxa"/>
            <w:noWrap/>
            <w:vAlign w:val="center"/>
          </w:tcPr>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了解：电气安全基本知识、电气安全措施、 触电急救</w:t>
            </w:r>
          </w:p>
        </w:tc>
        <w:tc>
          <w:tcPr>
            <w:tcW w:w="2812" w:type="dxa"/>
            <w:noWrap/>
            <w:vAlign w:val="center"/>
          </w:tcPr>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电气安全基本知识</w:t>
            </w:r>
          </w:p>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 xml:space="preserve"> 电气安全措施</w:t>
            </w:r>
          </w:p>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 xml:space="preserve"> 触电急救</w:t>
            </w:r>
          </w:p>
        </w:tc>
        <w:tc>
          <w:tcPr>
            <w:tcW w:w="720" w:type="dxa"/>
            <w:noWrap/>
            <w:vAlign w:val="center"/>
          </w:tcPr>
          <w:p>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12</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185" w:type="dxa"/>
            <w:noWrap/>
            <w:vAlign w:val="center"/>
          </w:tcPr>
          <w:p>
            <w:pPr>
              <w:pStyle w:val="13"/>
              <w:adjustRightInd w:val="0"/>
              <w:snapToGrid w:val="0"/>
              <w:spacing w:beforeAutospacing="0" w:afterAutospacing="0" w:line="360" w:lineRule="auto"/>
              <w:rPr>
                <w:color w:val="auto"/>
                <w:sz w:val="21"/>
                <w:szCs w:val="21"/>
                <w:highlight w:val="none"/>
              </w:rPr>
            </w:pPr>
            <w:r>
              <w:rPr>
                <w:rFonts w:hint="eastAsia"/>
                <w:color w:val="auto"/>
                <w:sz w:val="21"/>
                <w:szCs w:val="21"/>
                <w:highlight w:val="none"/>
              </w:rPr>
              <w:t>五 压力容器安全技术</w:t>
            </w:r>
          </w:p>
          <w:p>
            <w:pPr>
              <w:adjustRightInd w:val="0"/>
              <w:snapToGrid w:val="0"/>
              <w:spacing w:line="360" w:lineRule="auto"/>
              <w:rPr>
                <w:rFonts w:ascii="宋体" w:hAnsi="宋体" w:cs="宋体"/>
                <w:color w:val="auto"/>
                <w:szCs w:val="21"/>
                <w:highlight w:val="none"/>
              </w:rPr>
            </w:pPr>
          </w:p>
        </w:tc>
        <w:tc>
          <w:tcPr>
            <w:tcW w:w="4140" w:type="dxa"/>
            <w:noWrap/>
            <w:vAlign w:val="center"/>
          </w:tcPr>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掌握：</w:t>
            </w:r>
            <w:r>
              <w:rPr>
                <w:rFonts w:ascii="宋体" w:hAnsi="宋体" w:cs="宋体"/>
                <w:color w:val="auto"/>
                <w:szCs w:val="21"/>
                <w:highlight w:val="none"/>
              </w:rPr>
              <w:t>1</w:t>
            </w:r>
            <w:r>
              <w:rPr>
                <w:rFonts w:hint="eastAsia" w:ascii="宋体" w:hAnsi="宋体" w:cs="宋体"/>
                <w:color w:val="auto"/>
                <w:szCs w:val="21"/>
                <w:highlight w:val="none"/>
                <w:lang w:val="en-US" w:eastAsia="zh-CN"/>
              </w:rPr>
              <w:t>.</w:t>
            </w:r>
            <w:r>
              <w:rPr>
                <w:rFonts w:ascii="宋体" w:hAnsi="宋体" w:cs="宋体"/>
                <w:color w:val="auto"/>
                <w:szCs w:val="21"/>
                <w:highlight w:val="none"/>
              </w:rPr>
              <w:t>压力容器的分类</w:t>
            </w:r>
          </w:p>
          <w:p>
            <w:pPr>
              <w:numPr>
                <w:ilvl w:val="0"/>
                <w:numId w:val="0"/>
              </w:numPr>
              <w:adjustRightInd w:val="0"/>
              <w:snapToGrid w:val="0"/>
              <w:spacing w:line="360" w:lineRule="auto"/>
              <w:ind w:leftChars="200" w:firstLine="210" w:firstLineChars="100"/>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ascii="宋体" w:hAnsi="宋体" w:cs="宋体"/>
                <w:color w:val="auto"/>
                <w:szCs w:val="21"/>
                <w:highlight w:val="none"/>
              </w:rPr>
              <w:t>压力容器的制造缺陷的分类及其原因，重点裂纹的类别和原因。</w:t>
            </w:r>
          </w:p>
          <w:p>
            <w:pPr>
              <w:numPr>
                <w:ilvl w:val="0"/>
                <w:numId w:val="0"/>
              </w:numPr>
              <w:adjustRightInd w:val="0"/>
              <w:snapToGrid w:val="0"/>
              <w:spacing w:line="360" w:lineRule="auto"/>
              <w:ind w:leftChars="200" w:firstLine="210" w:firstLineChars="100"/>
              <w:rPr>
                <w:rFonts w:ascii="宋体" w:hAnsi="宋体" w:cs="宋体"/>
                <w:color w:val="auto"/>
                <w:szCs w:val="21"/>
                <w:highlight w:val="none"/>
              </w:rPr>
            </w:pPr>
            <w:r>
              <w:rPr>
                <w:rFonts w:hint="eastAsia" w:ascii="宋体" w:hAnsi="宋体" w:cs="宋体"/>
                <w:color w:val="auto"/>
                <w:szCs w:val="21"/>
                <w:highlight w:val="none"/>
                <w:lang w:val="en-US" w:eastAsia="zh-CN"/>
              </w:rPr>
              <w:t>3.</w:t>
            </w:r>
            <w:r>
              <w:rPr>
                <w:rFonts w:ascii="宋体" w:hAnsi="宋体" w:cs="宋体"/>
                <w:color w:val="auto"/>
                <w:szCs w:val="21"/>
                <w:highlight w:val="none"/>
              </w:rPr>
              <w:t>压力容器安全装置的基本要求；</w:t>
            </w:r>
          </w:p>
          <w:p>
            <w:pPr>
              <w:numPr>
                <w:ilvl w:val="0"/>
                <w:numId w:val="0"/>
              </w:numPr>
              <w:adjustRightInd w:val="0"/>
              <w:snapToGrid w:val="0"/>
              <w:spacing w:line="360" w:lineRule="auto"/>
              <w:ind w:leftChars="200" w:firstLine="210" w:firstLineChars="100"/>
              <w:rPr>
                <w:rFonts w:ascii="宋体" w:hAnsi="宋体" w:cs="宋体"/>
                <w:color w:val="auto"/>
                <w:szCs w:val="21"/>
                <w:highlight w:val="none"/>
              </w:rPr>
            </w:pPr>
            <w:r>
              <w:rPr>
                <w:rFonts w:ascii="宋体" w:hAnsi="宋体" w:cs="宋体"/>
                <w:color w:val="auto"/>
                <w:szCs w:val="21"/>
                <w:highlight w:val="none"/>
              </w:rPr>
              <w:t>4</w:t>
            </w:r>
            <w:r>
              <w:rPr>
                <w:rFonts w:hint="eastAsia" w:ascii="宋体" w:hAnsi="宋体" w:cs="宋体"/>
                <w:color w:val="auto"/>
                <w:szCs w:val="21"/>
                <w:highlight w:val="none"/>
                <w:lang w:val="en-US" w:eastAsia="zh-CN"/>
              </w:rPr>
              <w:t>.</w:t>
            </w:r>
            <w:r>
              <w:rPr>
                <w:rFonts w:ascii="宋体" w:hAnsi="宋体" w:cs="宋体"/>
                <w:color w:val="auto"/>
                <w:szCs w:val="21"/>
                <w:highlight w:val="none"/>
              </w:rPr>
              <w:t>安全阀的类型与适用范围</w:t>
            </w:r>
          </w:p>
          <w:p>
            <w:pPr>
              <w:numPr>
                <w:ilvl w:val="0"/>
                <w:numId w:val="0"/>
              </w:numPr>
              <w:adjustRightInd w:val="0"/>
              <w:snapToGrid w:val="0"/>
              <w:spacing w:line="360" w:lineRule="auto"/>
              <w:ind w:leftChars="200" w:firstLine="210" w:firstLineChars="100"/>
              <w:rPr>
                <w:rFonts w:ascii="宋体" w:hAnsi="宋体" w:cs="宋体"/>
                <w:color w:val="auto"/>
                <w:szCs w:val="21"/>
                <w:highlight w:val="none"/>
              </w:rPr>
            </w:pPr>
            <w:r>
              <w:rPr>
                <w:rFonts w:ascii="宋体" w:hAnsi="宋体" w:cs="宋体"/>
                <w:color w:val="auto"/>
                <w:szCs w:val="21"/>
                <w:highlight w:val="none"/>
              </w:rPr>
              <w:t>5</w:t>
            </w:r>
            <w:r>
              <w:rPr>
                <w:rFonts w:hint="eastAsia" w:ascii="宋体" w:hAnsi="宋体" w:cs="宋体"/>
                <w:color w:val="auto"/>
                <w:szCs w:val="21"/>
                <w:highlight w:val="none"/>
                <w:lang w:val="en-US" w:eastAsia="zh-CN"/>
              </w:rPr>
              <w:t>.</w:t>
            </w:r>
            <w:r>
              <w:rPr>
                <w:rFonts w:ascii="宋体" w:hAnsi="宋体" w:cs="宋体"/>
                <w:color w:val="auto"/>
                <w:szCs w:val="21"/>
                <w:highlight w:val="none"/>
              </w:rPr>
              <w:t>安全阀排放能力的计算</w:t>
            </w:r>
          </w:p>
          <w:p>
            <w:pPr>
              <w:numPr>
                <w:ilvl w:val="0"/>
                <w:numId w:val="0"/>
              </w:numPr>
              <w:adjustRightInd w:val="0"/>
              <w:snapToGrid w:val="0"/>
              <w:spacing w:line="360" w:lineRule="auto"/>
              <w:ind w:leftChars="200" w:firstLine="210" w:firstLineChars="100"/>
              <w:rPr>
                <w:rFonts w:ascii="宋体" w:hAnsi="宋体" w:cs="宋体"/>
                <w:color w:val="auto"/>
                <w:szCs w:val="21"/>
                <w:highlight w:val="none"/>
              </w:rPr>
            </w:pPr>
            <w:r>
              <w:rPr>
                <w:rFonts w:ascii="宋体" w:hAnsi="宋体" w:cs="宋体"/>
                <w:color w:val="auto"/>
                <w:szCs w:val="21"/>
                <w:highlight w:val="none"/>
              </w:rPr>
              <w:t>6</w:t>
            </w:r>
            <w:r>
              <w:rPr>
                <w:rFonts w:hint="eastAsia" w:ascii="宋体" w:hAnsi="宋体" w:cs="宋体"/>
                <w:color w:val="auto"/>
                <w:szCs w:val="21"/>
                <w:highlight w:val="none"/>
                <w:lang w:val="en-US" w:eastAsia="zh-CN"/>
              </w:rPr>
              <w:t>.</w:t>
            </w:r>
            <w:r>
              <w:rPr>
                <w:rFonts w:ascii="宋体" w:hAnsi="宋体" w:cs="宋体"/>
                <w:color w:val="auto"/>
                <w:szCs w:val="21"/>
                <w:highlight w:val="none"/>
              </w:rPr>
              <w:t>安全阀与爆炸片的优缺点。</w:t>
            </w:r>
          </w:p>
        </w:tc>
        <w:tc>
          <w:tcPr>
            <w:tcW w:w="2812" w:type="dxa"/>
            <w:noWrap/>
            <w:vAlign w:val="center"/>
          </w:tcPr>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 xml:space="preserve"> 压力容器概述</w:t>
            </w:r>
          </w:p>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 xml:space="preserve"> 压力容器的定期检验</w:t>
            </w:r>
          </w:p>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 xml:space="preserve"> 压力容器的安全附件</w:t>
            </w:r>
          </w:p>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4</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 xml:space="preserve"> 压力容器的破坏形式</w:t>
            </w:r>
          </w:p>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5</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 xml:space="preserve"> 气瓶的安全技术</w:t>
            </w:r>
          </w:p>
        </w:tc>
        <w:tc>
          <w:tcPr>
            <w:tcW w:w="720" w:type="dxa"/>
            <w:noWrap/>
            <w:vAlign w:val="center"/>
          </w:tcPr>
          <w:p>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12</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185" w:type="dxa"/>
            <w:noWrap/>
            <w:vAlign w:val="center"/>
          </w:tcPr>
          <w:p>
            <w:pPr>
              <w:pStyle w:val="13"/>
              <w:adjustRightInd w:val="0"/>
              <w:snapToGrid w:val="0"/>
              <w:spacing w:beforeAutospacing="0" w:afterAutospacing="0" w:line="360" w:lineRule="auto"/>
              <w:rPr>
                <w:color w:val="auto"/>
                <w:sz w:val="21"/>
                <w:szCs w:val="21"/>
                <w:highlight w:val="none"/>
              </w:rPr>
            </w:pPr>
            <w:r>
              <w:rPr>
                <w:rFonts w:hint="eastAsia"/>
                <w:color w:val="auto"/>
                <w:sz w:val="21"/>
                <w:szCs w:val="21"/>
                <w:highlight w:val="none"/>
              </w:rPr>
              <w:t>六 装置运行与检修安全技术</w:t>
            </w:r>
          </w:p>
        </w:tc>
        <w:tc>
          <w:tcPr>
            <w:tcW w:w="4140" w:type="dxa"/>
            <w:noWrap/>
            <w:vAlign w:val="center"/>
          </w:tcPr>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掌握：</w:t>
            </w:r>
            <w:r>
              <w:rPr>
                <w:rFonts w:ascii="宋体" w:hAnsi="宋体" w:cs="宋体"/>
                <w:color w:val="auto"/>
                <w:szCs w:val="21"/>
                <w:highlight w:val="none"/>
              </w:rPr>
              <w:t>1</w:t>
            </w:r>
            <w:r>
              <w:rPr>
                <w:rFonts w:hint="eastAsia" w:ascii="宋体" w:hAnsi="宋体" w:cs="宋体"/>
                <w:color w:val="auto"/>
                <w:szCs w:val="21"/>
                <w:highlight w:val="none"/>
                <w:lang w:val="en-US" w:eastAsia="zh-CN"/>
              </w:rPr>
              <w:t>.</w:t>
            </w:r>
            <w:r>
              <w:rPr>
                <w:rFonts w:ascii="宋体" w:hAnsi="宋体" w:cs="宋体"/>
                <w:color w:val="auto"/>
                <w:szCs w:val="21"/>
                <w:highlight w:val="none"/>
              </w:rPr>
              <w:t>工艺装置的布置形式、安全事项、直线排列和非直线排列的设备。</w:t>
            </w:r>
          </w:p>
          <w:p>
            <w:pPr>
              <w:adjustRightInd w:val="0"/>
              <w:snapToGrid w:val="0"/>
              <w:spacing w:line="360" w:lineRule="auto"/>
              <w:ind w:firstLine="630" w:firstLineChars="300"/>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lang w:val="en-US" w:eastAsia="zh-CN"/>
              </w:rPr>
              <w:t>.</w:t>
            </w:r>
            <w:r>
              <w:rPr>
                <w:rFonts w:ascii="宋体" w:hAnsi="宋体" w:cs="宋体"/>
                <w:color w:val="auto"/>
                <w:szCs w:val="21"/>
                <w:highlight w:val="none"/>
              </w:rPr>
              <w:t>掌握工厂内一些危险设施设计时的安全事项，如公路、铁路、空分装置、火炬等的布置。</w:t>
            </w:r>
          </w:p>
        </w:tc>
        <w:tc>
          <w:tcPr>
            <w:tcW w:w="2812" w:type="dxa"/>
            <w:noWrap/>
            <w:vAlign w:val="center"/>
          </w:tcPr>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 xml:space="preserve"> 化工装置检修前准备工作</w:t>
            </w:r>
          </w:p>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 xml:space="preserve"> 化工装置检修停车后安全处理</w:t>
            </w:r>
          </w:p>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化工装置检修作业安全技术</w:t>
            </w:r>
          </w:p>
          <w:p>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4</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 xml:space="preserve"> 化工装置检修后开车前安全检查</w:t>
            </w:r>
          </w:p>
        </w:tc>
        <w:tc>
          <w:tcPr>
            <w:tcW w:w="720" w:type="dxa"/>
            <w:noWrap/>
            <w:vAlign w:val="center"/>
          </w:tcPr>
          <w:p>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20</w:t>
            </w:r>
          </w:p>
        </w:tc>
      </w:tr>
    </w:tbl>
    <w:p>
      <w:pPr>
        <w:spacing w:line="360" w:lineRule="auto"/>
        <w:rPr>
          <w:color w:val="auto"/>
          <w:highlight w:val="none"/>
        </w:rPr>
      </w:pP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（五）教学组织与教学方法</w:t>
      </w:r>
    </w:p>
    <w:p>
      <w:pPr>
        <w:pStyle w:val="13"/>
        <w:spacing w:beforeAutospacing="0" w:afterAutospacing="0" w:line="480" w:lineRule="atLeast"/>
        <w:ind w:firstLine="480"/>
        <w:textAlignment w:val="baseline"/>
        <w:rPr>
          <w:color w:val="auto"/>
          <w:kern w:val="2"/>
          <w:highlight w:val="none"/>
        </w:rPr>
      </w:pPr>
      <w:r>
        <w:rPr>
          <w:color w:val="auto"/>
          <w:kern w:val="2"/>
          <w:highlight w:val="none"/>
        </w:rPr>
        <w:t xml:space="preserve">本课程教学中重点分析化工生产中各类危险源的特点、发生规律、控制原理，以及预防与控制措施，着重培养学生发现问题、分析问题和解决问题的能力，因此，课程的针对性很强。 </w:t>
      </w:r>
    </w:p>
    <w:p>
      <w:pPr>
        <w:pStyle w:val="13"/>
        <w:spacing w:beforeAutospacing="0" w:afterAutospacing="0" w:line="480" w:lineRule="atLeast"/>
        <w:ind w:firstLine="480"/>
        <w:textAlignment w:val="baseline"/>
        <w:rPr>
          <w:color w:val="auto"/>
          <w:kern w:val="2"/>
          <w:highlight w:val="none"/>
        </w:rPr>
      </w:pPr>
      <w:r>
        <w:rPr>
          <w:color w:val="auto"/>
          <w:kern w:val="2"/>
          <w:highlight w:val="none"/>
        </w:rPr>
        <w:t>本课程理论讲解、案例分析、情景再现、分组讨论、角色扮演、启发引导、技能操作等教学方法进行，让学生积极参与到课程的各环节，使其掌握化工职业岗位群所需的安全知识与技能，因此，本门课程的实用性很强。</w:t>
      </w:r>
    </w:p>
    <w:p>
      <w:pPr>
        <w:pStyle w:val="13"/>
        <w:spacing w:beforeAutospacing="0" w:afterAutospacing="0" w:line="480" w:lineRule="atLeast"/>
        <w:ind w:firstLine="480"/>
        <w:textAlignment w:val="baseline"/>
        <w:rPr>
          <w:color w:val="auto"/>
          <w:kern w:val="2"/>
          <w:highlight w:val="none"/>
        </w:rPr>
      </w:pPr>
      <w:r>
        <w:rPr>
          <w:color w:val="auto"/>
          <w:kern w:val="2"/>
          <w:highlight w:val="none"/>
        </w:rPr>
        <w:t xml:space="preserve">教学中要根据本课程的特点和学生的实际情况，选择适用的教学方法和教学手段，突出重点，突破难点，从多角度启发学生的思维，提高学生探究学习和自主学习的能力。 </w:t>
      </w:r>
    </w:p>
    <w:p>
      <w:pPr>
        <w:pStyle w:val="13"/>
        <w:spacing w:beforeAutospacing="0" w:afterAutospacing="0" w:line="480" w:lineRule="atLeast"/>
        <w:ind w:firstLine="480"/>
        <w:textAlignment w:val="baseline"/>
        <w:rPr>
          <w:color w:val="auto"/>
          <w:kern w:val="2"/>
          <w:highlight w:val="none"/>
        </w:rPr>
      </w:pPr>
      <w:r>
        <w:rPr>
          <w:color w:val="auto"/>
          <w:kern w:val="2"/>
          <w:highlight w:val="none"/>
        </w:rPr>
        <w:t xml:space="preserve">①根据职业教育的培养目标和学生的知识水平，注重基本技能和岗位实践技能的培养，加强学生的素质教育，淡化过深的理论知识。应加强学生自学能力的培养。 </w:t>
      </w:r>
    </w:p>
    <w:p>
      <w:pPr>
        <w:pStyle w:val="13"/>
        <w:spacing w:beforeAutospacing="0" w:afterAutospacing="0" w:line="480" w:lineRule="atLeast"/>
        <w:ind w:firstLine="480"/>
        <w:textAlignment w:val="baseline"/>
        <w:rPr>
          <w:color w:val="auto"/>
          <w:kern w:val="2"/>
          <w:highlight w:val="none"/>
        </w:rPr>
      </w:pPr>
      <w:r>
        <w:rPr>
          <w:color w:val="auto"/>
          <w:kern w:val="2"/>
          <w:highlight w:val="none"/>
        </w:rPr>
        <w:t xml:space="preserve">②充分利于现代教育技术，在教学中采用动画、视频、演示等多种形式的多媒体教学手段，使教学内容直观形象，充分调动学生的眼、耳、手，教学不枯燥，教学效果直观。利用网络将课堂教学延伸到课外，充分利用网络资源进行学习。 </w:t>
      </w:r>
    </w:p>
    <w:p>
      <w:pPr>
        <w:pStyle w:val="13"/>
        <w:spacing w:beforeAutospacing="0" w:afterAutospacing="0" w:line="480" w:lineRule="atLeast"/>
        <w:ind w:firstLine="480"/>
        <w:textAlignment w:val="baseline"/>
        <w:rPr>
          <w:color w:val="auto"/>
          <w:kern w:val="2"/>
          <w:highlight w:val="none"/>
        </w:rPr>
      </w:pPr>
      <w:r>
        <w:rPr>
          <w:color w:val="auto"/>
          <w:kern w:val="2"/>
          <w:highlight w:val="none"/>
        </w:rPr>
        <w:t xml:space="preserve">③设计课程内容时，经常学习，不断积累，注意收集相关的技术资料，并及时将国内外最新的研究情况在教学中有选择有重点的向学生加以介绍，使教学内容跟得上时代的发展，不致于和社会脱节。 </w:t>
      </w:r>
    </w:p>
    <w:p>
      <w:pPr>
        <w:pStyle w:val="13"/>
        <w:spacing w:beforeAutospacing="0" w:afterAutospacing="0" w:line="480" w:lineRule="atLeast"/>
        <w:ind w:firstLine="480"/>
        <w:textAlignment w:val="baseline"/>
        <w:rPr>
          <w:rFonts w:ascii="宋体" w:hAnsi="宋体"/>
          <w:color w:val="auto"/>
          <w:sz w:val="24"/>
          <w:highlight w:val="none"/>
        </w:rPr>
      </w:pPr>
      <w:r>
        <w:rPr>
          <w:color w:val="auto"/>
          <w:kern w:val="2"/>
          <w:highlight w:val="none"/>
        </w:rPr>
        <w:t xml:space="preserve">④采用启发式、互动式、讨论式、发散性思维等教学方法，充分调动学生的积极性，激发学生的学习兴趣，对教学难点单元组织课题组教师集体备课。  </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（六）考核标准与成绩评定方法</w:t>
      </w:r>
    </w:p>
    <w:p>
      <w:pPr>
        <w:pStyle w:val="13"/>
        <w:spacing w:beforeAutospacing="0" w:afterAutospacing="0" w:line="480" w:lineRule="atLeast"/>
        <w:ind w:firstLine="480"/>
        <w:textAlignment w:val="baseline"/>
        <w:rPr>
          <w:color w:val="auto"/>
          <w:kern w:val="2"/>
          <w:highlight w:val="none"/>
        </w:rPr>
      </w:pPr>
      <w:r>
        <w:rPr>
          <w:color w:val="auto"/>
          <w:kern w:val="2"/>
          <w:highlight w:val="none"/>
        </w:rPr>
        <w:t xml:space="preserve">(1) 评价原则 </w:t>
      </w:r>
    </w:p>
    <w:p>
      <w:pPr>
        <w:pStyle w:val="13"/>
        <w:spacing w:beforeAutospacing="0" w:afterAutospacing="0" w:line="480" w:lineRule="atLeast"/>
        <w:ind w:firstLine="480"/>
        <w:textAlignment w:val="baseline"/>
        <w:rPr>
          <w:color w:val="auto"/>
          <w:kern w:val="2"/>
          <w:highlight w:val="none"/>
        </w:rPr>
      </w:pPr>
      <w:r>
        <w:rPr>
          <w:color w:val="auto"/>
          <w:kern w:val="2"/>
          <w:highlight w:val="none"/>
        </w:rPr>
        <w:t xml:space="preserve">坚持理论知识与实践知识综合评价的原则，突出能力评价优先地位的原则，重点过程评价原则，采取多种方式评价原则，学生自评与其他评价结合的原则等。 </w:t>
      </w:r>
    </w:p>
    <w:p>
      <w:pPr>
        <w:pStyle w:val="13"/>
        <w:spacing w:beforeAutospacing="0" w:afterAutospacing="0" w:line="480" w:lineRule="atLeast"/>
        <w:ind w:firstLine="480"/>
        <w:textAlignment w:val="baseline"/>
        <w:rPr>
          <w:color w:val="auto"/>
          <w:kern w:val="2"/>
          <w:highlight w:val="none"/>
        </w:rPr>
      </w:pPr>
      <w:r>
        <w:rPr>
          <w:color w:val="auto"/>
          <w:kern w:val="2"/>
          <w:highlight w:val="none"/>
        </w:rPr>
        <w:t xml:space="preserve">本课程的评价主要考虑课堂教学情况、回答问题情况、完成作业情况、实验实训操作情况和完成报告情况等综合考评。 </w:t>
      </w:r>
    </w:p>
    <w:p>
      <w:pPr>
        <w:pStyle w:val="13"/>
        <w:spacing w:beforeAutospacing="0" w:afterAutospacing="0" w:line="480" w:lineRule="atLeast"/>
        <w:ind w:firstLine="480"/>
        <w:textAlignment w:val="baseline"/>
        <w:rPr>
          <w:color w:val="auto"/>
          <w:kern w:val="2"/>
          <w:highlight w:val="none"/>
        </w:rPr>
      </w:pPr>
      <w:r>
        <w:rPr>
          <w:color w:val="auto"/>
          <w:kern w:val="2"/>
          <w:highlight w:val="none"/>
        </w:rPr>
        <w:t>评价途径包括自我评价、学生互评、小组评价、教师评价等，主要由教师进行评定。</w:t>
      </w:r>
    </w:p>
    <w:p>
      <w:pPr>
        <w:pStyle w:val="13"/>
        <w:spacing w:beforeAutospacing="0" w:afterAutospacing="0" w:line="480" w:lineRule="atLeast"/>
        <w:ind w:firstLine="480"/>
        <w:textAlignment w:val="baseline"/>
        <w:rPr>
          <w:color w:val="auto"/>
          <w:kern w:val="2"/>
          <w:highlight w:val="none"/>
        </w:rPr>
      </w:pPr>
      <w:r>
        <w:rPr>
          <w:color w:val="auto"/>
          <w:kern w:val="2"/>
          <w:highlight w:val="none"/>
        </w:rPr>
        <w:t xml:space="preserve">(2) 评价方法 </w:t>
      </w:r>
    </w:p>
    <w:p>
      <w:pPr>
        <w:pStyle w:val="13"/>
        <w:spacing w:beforeAutospacing="0" w:afterAutospacing="0" w:line="480" w:lineRule="atLeast"/>
        <w:ind w:firstLine="480"/>
        <w:textAlignment w:val="baseline"/>
        <w:rPr>
          <w:color w:val="auto"/>
          <w:kern w:val="2"/>
          <w:highlight w:val="none"/>
        </w:rPr>
      </w:pPr>
      <w:r>
        <w:rPr>
          <w:color w:val="auto"/>
          <w:kern w:val="2"/>
          <w:highlight w:val="none"/>
        </w:rPr>
        <w:t xml:space="preserve">打破传统的单一闭卷考试的模式，对学生的成绩实施了多元化的评价。在评价过程中注意内容多元化、角度立体化、过程动态化、主体互动化，不仅考察学生掌握书本知识程度，而且全面评价学生应用知识能力、创新意识、创新能力等综合素质。采取以下方式来评价学生成绩： </w:t>
      </w:r>
    </w:p>
    <w:p>
      <w:pPr>
        <w:pStyle w:val="13"/>
        <w:spacing w:beforeAutospacing="0" w:afterAutospacing="0" w:line="480" w:lineRule="atLeast"/>
        <w:ind w:firstLine="480"/>
        <w:textAlignment w:val="baseline"/>
        <w:rPr>
          <w:color w:val="auto"/>
          <w:kern w:val="2"/>
          <w:highlight w:val="none"/>
        </w:rPr>
      </w:pPr>
      <w:r>
        <w:rPr>
          <w:color w:val="auto"/>
          <w:kern w:val="2"/>
          <w:highlight w:val="none"/>
        </w:rPr>
        <w:t xml:space="preserve">总成绩 = 期末考试成绩（60%）+平时成绩（40%） </w:t>
      </w:r>
    </w:p>
    <w:p>
      <w:pPr>
        <w:pStyle w:val="13"/>
        <w:spacing w:beforeAutospacing="0" w:afterAutospacing="0" w:line="480" w:lineRule="atLeast"/>
        <w:ind w:firstLine="480"/>
        <w:textAlignment w:val="baseline"/>
        <w:rPr>
          <w:color w:val="auto"/>
          <w:kern w:val="2"/>
          <w:highlight w:val="none"/>
        </w:rPr>
      </w:pPr>
      <w:r>
        <w:rPr>
          <w:color w:val="auto"/>
          <w:kern w:val="2"/>
          <w:highlight w:val="none"/>
        </w:rPr>
        <w:t>其中：期末考试采用开卷形式，严格按照各项考试规范进行。平时成绩的构成方式为：平时成绩=期中考试（50%）+平时作业（30%）+考勤（10%）+课堂表现（10%）</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（七）教学建议</w:t>
      </w:r>
    </w:p>
    <w:p>
      <w:pPr>
        <w:spacing w:line="360" w:lineRule="auto"/>
        <w:rPr>
          <w:rFonts w:ascii="宋体" w:hAnsi="宋体"/>
          <w:color w:val="auto"/>
          <w:sz w:val="24"/>
          <w:highlight w:val="none"/>
        </w:rPr>
      </w:pPr>
      <w:r>
        <w:rPr>
          <w:rFonts w:hint="eastAsia" w:ascii="宋体" w:hAnsi="宋体"/>
          <w:color w:val="auto"/>
          <w:sz w:val="24"/>
          <w:highlight w:val="none"/>
        </w:rPr>
        <w:t xml:space="preserve">    适当的运用现代化教学手段，激发学生的学习兴趣；重视网络教学资源；侧重理论联系实际的实践性环节和教学方式灵活、多样的教学改革和研究思想；建立教学资源库；重视对实验室的建设和投入，加强校内校外实训基地建设；积极利用数字图书馆、电子期刊、电子书籍，使教学内容更多元化，拓展学生的知识和能力。</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（八）选用教材标准及推荐教材和参考用书（或课程网站）</w:t>
      </w:r>
    </w:p>
    <w:p>
      <w:pPr>
        <w:spacing w:line="360" w:lineRule="auto"/>
        <w:ind w:firstLine="480" w:firstLineChars="200"/>
        <w:rPr>
          <w:rFonts w:ascii="宋体" w:hAnsi="宋体"/>
          <w:color w:val="auto"/>
          <w:sz w:val="24"/>
          <w:highlight w:val="none"/>
        </w:rPr>
      </w:pPr>
      <w:r>
        <w:rPr>
          <w:rFonts w:ascii="宋体" w:hAnsi="宋体"/>
          <w:color w:val="auto"/>
          <w:sz w:val="24"/>
          <w:highlight w:val="none"/>
        </w:rPr>
        <w:t>1.《化工安全技术》 刘景良 主编 化学工业出版社</w:t>
      </w:r>
      <w:r>
        <w:rPr>
          <w:rFonts w:ascii="宋体" w:hAnsi="宋体"/>
          <w:color w:val="auto"/>
          <w:sz w:val="24"/>
          <w:highlight w:val="none"/>
        </w:rPr>
        <w:br w:type="textWrapping"/>
      </w:r>
      <w:r>
        <w:rPr>
          <w:rFonts w:ascii="宋体" w:hAnsi="宋体"/>
          <w:color w:val="auto"/>
          <w:sz w:val="24"/>
          <w:highlight w:val="none"/>
        </w:rPr>
        <w:t>　　2.《化工安全工程概论》，许文编，化学工业出版社，2002年7月第1次印刷；</w:t>
      </w:r>
    </w:p>
    <w:p>
      <w:pPr>
        <w:spacing w:line="360" w:lineRule="auto"/>
        <w:ind w:firstLine="480" w:firstLineChars="200"/>
        <w:rPr>
          <w:rFonts w:ascii="宋体" w:hAnsi="宋体"/>
          <w:color w:val="auto"/>
          <w:sz w:val="24"/>
          <w:highlight w:val="none"/>
        </w:rPr>
      </w:pPr>
      <w:r>
        <w:rPr>
          <w:rFonts w:ascii="宋体" w:hAnsi="宋体"/>
          <w:color w:val="auto"/>
          <w:sz w:val="24"/>
          <w:highlight w:val="none"/>
        </w:rPr>
        <w:t>3.</w:t>
      </w:r>
      <w:r>
        <w:rPr>
          <w:rFonts w:hint="eastAsia" w:ascii="宋体" w:hAnsi="宋体"/>
          <w:color w:val="auto"/>
          <w:sz w:val="24"/>
          <w:highlight w:val="none"/>
        </w:rPr>
        <w:t>《</w:t>
      </w:r>
      <w:r>
        <w:rPr>
          <w:rFonts w:ascii="宋体" w:hAnsi="宋体"/>
          <w:color w:val="auto"/>
          <w:sz w:val="24"/>
          <w:highlight w:val="none"/>
        </w:rPr>
        <w:t>化工安全技术与管理》周忠元编 化学工业出版社</w:t>
      </w:r>
      <w:r>
        <w:rPr>
          <w:rFonts w:ascii="宋体" w:hAnsi="宋体"/>
          <w:color w:val="auto"/>
          <w:sz w:val="24"/>
          <w:highlight w:val="none"/>
        </w:rPr>
        <w:br w:type="textWrapping"/>
      </w:r>
      <w:r>
        <w:rPr>
          <w:rFonts w:ascii="宋体" w:hAnsi="宋体"/>
          <w:color w:val="auto"/>
          <w:sz w:val="24"/>
          <w:highlight w:val="none"/>
        </w:rPr>
        <w:t>　　4.《化工安全工程》，蔡凤英等编，科学出版社，2001年2月第1次印刷</w:t>
      </w:r>
      <w:r>
        <w:rPr>
          <w:rFonts w:ascii="宋体" w:hAnsi="宋体"/>
          <w:color w:val="auto"/>
          <w:sz w:val="24"/>
          <w:highlight w:val="none"/>
        </w:rPr>
        <w:br w:type="textWrapping"/>
      </w:r>
      <w:r>
        <w:rPr>
          <w:rFonts w:ascii="宋体" w:hAnsi="宋体"/>
          <w:color w:val="auto"/>
          <w:sz w:val="24"/>
          <w:highlight w:val="none"/>
        </w:rPr>
        <w:t>　　5.《化工厂系统安全工程》宋建池 范秀山等主编 化学工业出版社</w:t>
      </w:r>
    </w:p>
    <w:p>
      <w:pPr>
        <w:spacing w:line="360" w:lineRule="auto"/>
        <w:ind w:firstLine="480" w:firstLineChars="200"/>
        <w:rPr>
          <w:rFonts w:ascii="宋体" w:hAnsi="宋体"/>
          <w:color w:val="auto"/>
          <w:sz w:val="24"/>
          <w:highlight w:val="none"/>
        </w:rPr>
      </w:pPr>
      <w:r>
        <w:rPr>
          <w:rFonts w:ascii="宋体" w:hAnsi="宋体"/>
          <w:color w:val="auto"/>
          <w:sz w:val="24"/>
          <w:highlight w:val="none"/>
        </w:rPr>
        <w:t xml:space="preserve">化工论坛：http://www.ccebbs.com/ </w:t>
      </w:r>
    </w:p>
    <w:p>
      <w:pPr>
        <w:spacing w:line="360" w:lineRule="auto"/>
        <w:ind w:firstLine="480" w:firstLineChars="200"/>
        <w:rPr>
          <w:rFonts w:ascii="宋体" w:hAnsi="宋体"/>
          <w:color w:val="auto"/>
          <w:sz w:val="24"/>
          <w:highlight w:val="none"/>
        </w:rPr>
      </w:pPr>
      <w:r>
        <w:rPr>
          <w:rFonts w:ascii="宋体" w:hAnsi="宋体"/>
          <w:color w:val="auto"/>
          <w:sz w:val="24"/>
          <w:highlight w:val="none"/>
        </w:rPr>
        <w:t xml:space="preserve">中国高校化学化工课程网：http://chem.cncourse.com/ </w:t>
      </w:r>
    </w:p>
    <w:p>
      <w:pPr>
        <w:spacing w:line="360" w:lineRule="auto"/>
        <w:ind w:firstLine="480" w:firstLineChars="200"/>
        <w:rPr>
          <w:bCs/>
          <w:color w:val="auto"/>
          <w:highlight w:val="none"/>
        </w:rPr>
      </w:pPr>
      <w:r>
        <w:rPr>
          <w:rFonts w:ascii="宋体" w:hAnsi="宋体"/>
          <w:color w:val="auto"/>
          <w:sz w:val="24"/>
          <w:highlight w:val="none"/>
        </w:rPr>
        <w:t xml:space="preserve">石油大学《石油化工安全技术》网络课程：http://ycjy.jpu.edu.cn/aq/ </w:t>
      </w:r>
    </w:p>
    <w:p>
      <w:pPr>
        <w:pStyle w:val="3"/>
        <w:spacing w:before="0" w:after="0" w:line="360" w:lineRule="auto"/>
        <w:rPr>
          <w:b w:val="0"/>
          <w:bCs/>
          <w:color w:val="auto"/>
          <w:highlight w:val="none"/>
        </w:rPr>
      </w:pPr>
      <w:bookmarkStart w:id="87" w:name="_Toc17238588"/>
      <w:bookmarkStart w:id="88" w:name="_Toc7773"/>
      <w:r>
        <w:rPr>
          <w:rFonts w:hint="eastAsia"/>
          <w:b w:val="0"/>
          <w:bCs/>
          <w:color w:val="auto"/>
          <w:highlight w:val="none"/>
        </w:rPr>
        <w:t>四、《煤化学》核心课程标准</w:t>
      </w:r>
      <w:bookmarkEnd w:id="87"/>
      <w:bookmarkEnd w:id="88"/>
    </w:p>
    <w:tbl>
      <w:tblPr>
        <w:tblStyle w:val="14"/>
        <w:tblW w:w="8222"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3581"/>
        <w:gridCol w:w="1313"/>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课程编码</w:t>
            </w:r>
          </w:p>
        </w:tc>
        <w:tc>
          <w:tcPr>
            <w:tcW w:w="3581"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ascii="宋体" w:hAnsi="宋体"/>
                <w:color w:val="auto"/>
                <w:szCs w:val="21"/>
                <w:highlight w:val="none"/>
                <w:lang w:val="en-US" w:eastAsia="zh-CN"/>
              </w:rPr>
              <w:t>1003056</w:t>
            </w:r>
          </w:p>
        </w:tc>
        <w:tc>
          <w:tcPr>
            <w:tcW w:w="1313"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课程类别</w:t>
            </w:r>
          </w:p>
        </w:tc>
        <w:tc>
          <w:tcPr>
            <w:tcW w:w="199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专业学习领域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计划学时</w:t>
            </w:r>
          </w:p>
        </w:tc>
        <w:tc>
          <w:tcPr>
            <w:tcW w:w="3581"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color w:val="auto"/>
                <w:szCs w:val="21"/>
                <w:highlight w:val="none"/>
              </w:rPr>
              <w:t>72</w:t>
            </w:r>
          </w:p>
        </w:tc>
        <w:tc>
          <w:tcPr>
            <w:tcW w:w="1313"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课程类型</w:t>
            </w:r>
          </w:p>
        </w:tc>
        <w:tc>
          <w:tcPr>
            <w:tcW w:w="199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color w:val="auto"/>
                <w:szCs w:val="21"/>
                <w:highlight w:val="none"/>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适用专业</w:t>
            </w:r>
          </w:p>
        </w:tc>
        <w:tc>
          <w:tcPr>
            <w:tcW w:w="3581"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hint="default" w:eastAsiaTheme="minorEastAsia"/>
                <w:color w:val="auto"/>
                <w:szCs w:val="21"/>
                <w:highlight w:val="none"/>
                <w:lang w:val="en-US" w:eastAsia="zh-CN"/>
              </w:rPr>
            </w:pPr>
            <w:r>
              <w:rPr>
                <w:rFonts w:hint="eastAsia" w:hAnsi="宋体"/>
                <w:color w:val="auto"/>
                <w:szCs w:val="21"/>
                <w:highlight w:val="none"/>
              </w:rPr>
              <w:t>煤化工技术</w:t>
            </w:r>
          </w:p>
        </w:tc>
        <w:tc>
          <w:tcPr>
            <w:tcW w:w="1313"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课程性质</w:t>
            </w:r>
          </w:p>
        </w:tc>
        <w:tc>
          <w:tcPr>
            <w:tcW w:w="199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开课学期</w:t>
            </w:r>
          </w:p>
        </w:tc>
        <w:tc>
          <w:tcPr>
            <w:tcW w:w="3581"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第</w:t>
            </w:r>
            <w:r>
              <w:rPr>
                <w:rFonts w:hint="eastAsia"/>
                <w:color w:val="auto"/>
                <w:szCs w:val="21"/>
                <w:highlight w:val="none"/>
              </w:rPr>
              <w:t>3</w:t>
            </w:r>
            <w:r>
              <w:rPr>
                <w:rFonts w:hint="eastAsia" w:hAnsi="宋体"/>
                <w:color w:val="auto"/>
                <w:szCs w:val="21"/>
                <w:highlight w:val="none"/>
              </w:rPr>
              <w:t>学期</w:t>
            </w:r>
          </w:p>
        </w:tc>
        <w:tc>
          <w:tcPr>
            <w:tcW w:w="1313"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学分</w:t>
            </w:r>
          </w:p>
        </w:tc>
        <w:tc>
          <w:tcPr>
            <w:tcW w:w="199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color w:val="auto"/>
                <w:szCs w:val="21"/>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先行课程</w:t>
            </w:r>
          </w:p>
        </w:tc>
        <w:tc>
          <w:tcPr>
            <w:tcW w:w="3581" w:type="dxa"/>
            <w:tcBorders>
              <w:top w:val="single" w:color="auto" w:sz="4" w:space="0"/>
              <w:left w:val="single" w:color="auto" w:sz="4" w:space="0"/>
              <w:bottom w:val="single" w:color="auto" w:sz="4" w:space="0"/>
              <w:right w:val="single" w:color="auto" w:sz="4" w:space="0"/>
            </w:tcBorders>
            <w:noWrap/>
            <w:vAlign w:val="center"/>
          </w:tcPr>
          <w:p>
            <w:pPr>
              <w:spacing w:line="360" w:lineRule="auto"/>
              <w:rPr>
                <w:color w:val="auto"/>
                <w:szCs w:val="21"/>
                <w:highlight w:val="none"/>
              </w:rPr>
            </w:pPr>
            <w:r>
              <w:rPr>
                <w:rFonts w:hint="eastAsia" w:hAnsi="宋体"/>
                <w:color w:val="auto"/>
                <w:szCs w:val="21"/>
                <w:highlight w:val="none"/>
              </w:rPr>
              <w:t>基础化学、化工单元操作、化工仪表</w:t>
            </w:r>
          </w:p>
        </w:tc>
        <w:tc>
          <w:tcPr>
            <w:tcW w:w="1313"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开课单位</w:t>
            </w:r>
          </w:p>
        </w:tc>
        <w:tc>
          <w:tcPr>
            <w:tcW w:w="199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晋城职业技术学院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平行课程</w:t>
            </w:r>
          </w:p>
        </w:tc>
        <w:tc>
          <w:tcPr>
            <w:tcW w:w="3581" w:type="dxa"/>
            <w:tcBorders>
              <w:top w:val="single" w:color="auto" w:sz="4" w:space="0"/>
              <w:left w:val="single" w:color="auto" w:sz="4" w:space="0"/>
              <w:bottom w:val="single" w:color="auto" w:sz="4" w:space="0"/>
              <w:right w:val="single" w:color="auto" w:sz="4" w:space="0"/>
            </w:tcBorders>
            <w:noWrap/>
            <w:vAlign w:val="center"/>
          </w:tcPr>
          <w:p>
            <w:pPr>
              <w:widowControl/>
              <w:jc w:val="center"/>
              <w:rPr>
                <w:color w:val="auto"/>
                <w:szCs w:val="21"/>
                <w:highlight w:val="none"/>
              </w:rPr>
            </w:pPr>
            <w:r>
              <w:rPr>
                <w:rFonts w:hint="eastAsia"/>
                <w:color w:val="auto"/>
                <w:szCs w:val="21"/>
                <w:highlight w:val="none"/>
              </w:rPr>
              <w:t>煤质分析、</w:t>
            </w:r>
            <w:r>
              <w:rPr>
                <w:rFonts w:hint="eastAsia" w:hAnsi="宋体"/>
                <w:color w:val="auto"/>
                <w:szCs w:val="21"/>
                <w:highlight w:val="none"/>
              </w:rPr>
              <w:t>化工单元操作</w:t>
            </w:r>
          </w:p>
        </w:tc>
        <w:tc>
          <w:tcPr>
            <w:tcW w:w="1313"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考核类型</w:t>
            </w:r>
          </w:p>
        </w:tc>
        <w:tc>
          <w:tcPr>
            <w:tcW w:w="199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后继课程</w:t>
            </w:r>
          </w:p>
        </w:tc>
        <w:tc>
          <w:tcPr>
            <w:tcW w:w="6888" w:type="dxa"/>
            <w:gridSpan w:val="3"/>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color w:val="auto"/>
                <w:szCs w:val="21"/>
                <w:highlight w:val="none"/>
              </w:rPr>
              <w:t>现代煤化工技术、无机化工生产技术</w:t>
            </w:r>
          </w:p>
        </w:tc>
      </w:tr>
    </w:tbl>
    <w:p>
      <w:pPr>
        <w:tabs>
          <w:tab w:val="left" w:pos="567"/>
        </w:tabs>
        <w:spacing w:line="360" w:lineRule="auto"/>
        <w:ind w:left="480"/>
        <w:rPr>
          <w:rFonts w:ascii="宋体" w:hAnsi="宋体"/>
          <w:color w:val="auto"/>
          <w:sz w:val="24"/>
          <w:highlight w:val="none"/>
        </w:rPr>
      </w:pP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w:t>
      </w:r>
      <w:r>
        <w:rPr>
          <w:rFonts w:hint="eastAsia" w:ascii="黑体" w:hAnsi="黑体" w:eastAsia="黑体" w:cs="黑体"/>
          <w:bCs/>
          <w:color w:val="auto"/>
          <w:sz w:val="30"/>
          <w:szCs w:val="30"/>
          <w:highlight w:val="none"/>
          <w:lang w:val="en-US" w:eastAsia="zh-CN"/>
        </w:rPr>
        <w:t>一</w:t>
      </w:r>
      <w:r>
        <w:rPr>
          <w:rFonts w:hint="eastAsia" w:ascii="黑体" w:hAnsi="黑体" w:eastAsia="黑体" w:cs="黑体"/>
          <w:bCs/>
          <w:color w:val="auto"/>
          <w:sz w:val="30"/>
          <w:szCs w:val="30"/>
          <w:highlight w:val="none"/>
          <w:lang w:eastAsia="zh-CN"/>
        </w:rPr>
        <w:t>）课程性质与定位</w:t>
      </w:r>
    </w:p>
    <w:p>
      <w:pPr>
        <w:spacing w:line="360" w:lineRule="auto"/>
        <w:ind w:firstLine="424" w:firstLineChars="177"/>
        <w:rPr>
          <w:rFonts w:ascii="宋体" w:hAnsi="宋体"/>
          <w:color w:val="auto"/>
          <w:sz w:val="24"/>
          <w:highlight w:val="none"/>
        </w:rPr>
      </w:pPr>
      <w:r>
        <w:rPr>
          <w:rFonts w:hint="eastAsia" w:ascii="宋体" w:hAnsi="宋体"/>
          <w:color w:val="auto"/>
          <w:sz w:val="24"/>
          <w:highlight w:val="none"/>
        </w:rPr>
        <w:t>本课程为煤化工专业方向的技术基础课，其主要任务是使学生掌握煤的特征、生成、结构、分析和分类；煤的热解、煤的液化和气化等过程的机理及其理论基础；煤的各种加工产物的组成、性质和应用。目的在于深入了解煤的特性，解决煤炭利用中的各种问题，开发新的加工技术和开拓新的利用途径，使煤炭资源得到合理和有效的利用，同时为学习煤化学工程与工艺学、炼焦学、煤转化技术等课程打下扎实的理论基础。</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w:t>
      </w:r>
      <w:r>
        <w:rPr>
          <w:rFonts w:hint="eastAsia" w:ascii="黑体" w:hAnsi="黑体" w:eastAsia="黑体" w:cs="黑体"/>
          <w:bCs/>
          <w:color w:val="auto"/>
          <w:sz w:val="30"/>
          <w:szCs w:val="30"/>
          <w:highlight w:val="none"/>
          <w:lang w:val="en-US" w:eastAsia="zh-CN"/>
        </w:rPr>
        <w:t>二</w:t>
      </w:r>
      <w:r>
        <w:rPr>
          <w:rFonts w:hint="eastAsia" w:ascii="黑体" w:hAnsi="黑体" w:eastAsia="黑体" w:cs="黑体"/>
          <w:bCs/>
          <w:color w:val="auto"/>
          <w:sz w:val="30"/>
          <w:szCs w:val="30"/>
          <w:highlight w:val="none"/>
          <w:lang w:eastAsia="zh-CN"/>
        </w:rPr>
        <w:t>）课程设计理念</w:t>
      </w:r>
    </w:p>
    <w:p>
      <w:pPr>
        <w:pStyle w:val="13"/>
        <w:spacing w:beforeAutospacing="0" w:afterAutospacing="0" w:line="480" w:lineRule="atLeast"/>
        <w:ind w:firstLine="480" w:firstLineChars="200"/>
        <w:textAlignment w:val="baseline"/>
        <w:rPr>
          <w:color w:val="auto"/>
          <w:highlight w:val="none"/>
        </w:rPr>
      </w:pPr>
      <w:r>
        <w:rPr>
          <w:rFonts w:hint="eastAsia"/>
          <w:color w:val="auto"/>
          <w:highlight w:val="none"/>
        </w:rPr>
        <w:t xml:space="preserve">《煤化学》开设课程的目的是丰富学生的专业知识体系，提升学生的专业素养，为从事煤炭相关工作奠定基础。通过本课程的学习,明确煤化学在整个专业课中的地位及所学的全部内容，以煤的分子结构为主线，来对煤的生成、组成、性质及分析和利用进行系统学习，使学生能够运用煤化学的基本理论和方法, 分析评价煤的组成和性质, 并具有确定煤的合理加工利用途径的基本能力。不仅使学生具有扎实的专业理论知识，而且使学生具备了较强的实验动手能力。运用煤化学的理论知识，分析评价煤的组成和性质，并具有确定煤炭综合利用途径的基本能力。 </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w:t>
      </w:r>
      <w:r>
        <w:rPr>
          <w:rFonts w:hint="eastAsia" w:ascii="黑体" w:hAnsi="黑体" w:eastAsia="黑体" w:cs="黑体"/>
          <w:bCs/>
          <w:color w:val="auto"/>
          <w:sz w:val="30"/>
          <w:szCs w:val="30"/>
          <w:highlight w:val="none"/>
          <w:lang w:val="en-US" w:eastAsia="zh-CN"/>
        </w:rPr>
        <w:t>三</w:t>
      </w:r>
      <w:r>
        <w:rPr>
          <w:rFonts w:hint="eastAsia" w:ascii="黑体" w:hAnsi="黑体" w:eastAsia="黑体" w:cs="黑体"/>
          <w:bCs/>
          <w:color w:val="auto"/>
          <w:sz w:val="30"/>
          <w:szCs w:val="30"/>
          <w:highlight w:val="none"/>
          <w:lang w:eastAsia="zh-CN"/>
        </w:rPr>
        <w:t>）课程目标</w:t>
      </w:r>
    </w:p>
    <w:p>
      <w:pPr>
        <w:tabs>
          <w:tab w:val="left" w:pos="567"/>
        </w:tabs>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 xml:space="preserve">通过本门课程学习，掌握煤的生成过程及其对煤的性质的决定性影响；掌握利用煤岩学手段来分析和判断煤的可选性原理；熟练掌握煤的分子结构理论，并能够预测和分析煤的性质；熟练掌握煤的工业分析、元素分析、物理性质、化学性质、工艺性质等及其相互关系；掌握煤炭的分类以及常见煤类的基本性质及其应用途径。 </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w:t>
      </w:r>
      <w:r>
        <w:rPr>
          <w:rFonts w:hint="eastAsia" w:ascii="黑体" w:hAnsi="黑体" w:eastAsia="黑体" w:cs="黑体"/>
          <w:bCs/>
          <w:color w:val="auto"/>
          <w:sz w:val="30"/>
          <w:szCs w:val="30"/>
          <w:highlight w:val="none"/>
          <w:lang w:val="en-US" w:eastAsia="zh-CN"/>
        </w:rPr>
        <w:t>四</w:t>
      </w:r>
      <w:r>
        <w:rPr>
          <w:rFonts w:hint="eastAsia" w:ascii="黑体" w:hAnsi="黑体" w:eastAsia="黑体" w:cs="黑体"/>
          <w:bCs/>
          <w:color w:val="auto"/>
          <w:sz w:val="30"/>
          <w:szCs w:val="30"/>
          <w:highlight w:val="none"/>
          <w:lang w:eastAsia="zh-CN"/>
        </w:rPr>
        <w:t>）课程教学内容及学时分配（</w:t>
      </w:r>
      <w:r>
        <w:rPr>
          <w:rFonts w:hint="eastAsia" w:ascii="黑体" w:hAnsi="黑体" w:eastAsia="黑体" w:cs="黑体"/>
          <w:bCs/>
          <w:color w:val="auto"/>
          <w:sz w:val="30"/>
          <w:szCs w:val="30"/>
          <w:highlight w:val="none"/>
          <w:lang w:val="en-US" w:eastAsia="zh-CN"/>
        </w:rPr>
        <w:t>表4.6</w:t>
      </w:r>
      <w:r>
        <w:rPr>
          <w:rFonts w:hint="eastAsia" w:ascii="黑体" w:hAnsi="黑体" w:eastAsia="黑体" w:cs="黑体"/>
          <w:bCs/>
          <w:color w:val="auto"/>
          <w:sz w:val="30"/>
          <w:szCs w:val="30"/>
          <w:highlight w:val="none"/>
          <w:lang w:eastAsia="zh-CN"/>
        </w:rPr>
        <w:t>）</w:t>
      </w:r>
    </w:p>
    <w:p>
      <w:pPr>
        <w:spacing w:line="360" w:lineRule="auto"/>
        <w:ind w:left="480"/>
        <w:jc w:val="center"/>
        <w:rPr>
          <w:rFonts w:ascii="宋体" w:hAnsi="宋体"/>
          <w:color w:val="auto"/>
          <w:sz w:val="24"/>
          <w:highlight w:val="none"/>
        </w:rPr>
      </w:pPr>
      <w:r>
        <w:rPr>
          <w:rFonts w:hint="eastAsia" w:ascii="宋体" w:hAnsi="宋体"/>
          <w:color w:val="auto"/>
          <w:sz w:val="24"/>
          <w:highlight w:val="none"/>
          <w:lang w:val="en-US" w:eastAsia="zh-CN"/>
        </w:rPr>
        <w:t>表</w:t>
      </w:r>
      <w:r>
        <w:rPr>
          <w:rFonts w:hint="eastAsia" w:ascii="宋体" w:hAnsi="宋体"/>
          <w:color w:val="auto"/>
          <w:sz w:val="24"/>
          <w:highlight w:val="none"/>
        </w:rPr>
        <w:t>4.</w:t>
      </w:r>
      <w:r>
        <w:rPr>
          <w:rFonts w:ascii="宋体" w:hAnsi="宋体"/>
          <w:color w:val="auto"/>
          <w:sz w:val="24"/>
          <w:highlight w:val="none"/>
        </w:rPr>
        <w:t>6</w:t>
      </w:r>
      <w:r>
        <w:rPr>
          <w:rFonts w:hint="eastAsia" w:ascii="宋体" w:hAnsi="宋体"/>
          <w:color w:val="auto"/>
          <w:sz w:val="24"/>
          <w:highlight w:val="none"/>
          <w:lang w:val="en-US" w:eastAsia="zh-CN"/>
        </w:rPr>
        <w:t xml:space="preserve"> </w:t>
      </w:r>
      <w:r>
        <w:rPr>
          <w:rFonts w:hint="eastAsia" w:ascii="宋体" w:hAnsi="宋体"/>
          <w:color w:val="auto"/>
          <w:kern w:val="0"/>
          <w:sz w:val="24"/>
          <w:highlight w:val="none"/>
        </w:rPr>
        <w:t>《煤化学》</w:t>
      </w:r>
      <w:r>
        <w:rPr>
          <w:rFonts w:hAnsi="宋体"/>
          <w:color w:val="auto"/>
          <w:kern w:val="0"/>
          <w:sz w:val="24"/>
          <w:highlight w:val="none"/>
        </w:rPr>
        <w:t>课程教学内容及学时安排</w:t>
      </w:r>
    </w:p>
    <w:tbl>
      <w:tblPr>
        <w:tblStyle w:val="14"/>
        <w:tblW w:w="8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3079"/>
        <w:gridCol w:w="2983"/>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1250" w:type="dxa"/>
            <w:noWrap/>
            <w:vAlign w:val="center"/>
          </w:tcPr>
          <w:p>
            <w:pPr>
              <w:pStyle w:val="7"/>
              <w:snapToGrid w:val="0"/>
              <w:spacing w:line="440" w:lineRule="exact"/>
              <w:jc w:val="center"/>
              <w:rPr>
                <w:rFonts w:ascii="Times New Roman" w:hAnsi="Times New Roman" w:cs="Times New Roman"/>
                <w:b/>
                <w:color w:val="auto"/>
                <w:highlight w:val="none"/>
              </w:rPr>
            </w:pPr>
            <w:r>
              <w:rPr>
                <w:rFonts w:ascii="Times New Roman" w:hAnsi="宋体" w:cs="Times New Roman"/>
                <w:b/>
                <w:color w:val="auto"/>
                <w:highlight w:val="none"/>
              </w:rPr>
              <w:t>项目任务</w:t>
            </w:r>
          </w:p>
        </w:tc>
        <w:tc>
          <w:tcPr>
            <w:tcW w:w="3079" w:type="dxa"/>
            <w:noWrap/>
            <w:vAlign w:val="center"/>
          </w:tcPr>
          <w:p>
            <w:pPr>
              <w:pStyle w:val="7"/>
              <w:snapToGrid w:val="0"/>
              <w:spacing w:line="440" w:lineRule="exact"/>
              <w:jc w:val="center"/>
              <w:rPr>
                <w:rFonts w:ascii="Times New Roman" w:hAnsi="Times New Roman" w:cs="Times New Roman"/>
                <w:b/>
                <w:color w:val="auto"/>
                <w:highlight w:val="none"/>
              </w:rPr>
            </w:pPr>
            <w:r>
              <w:rPr>
                <w:rFonts w:ascii="Times New Roman" w:hAnsi="宋体" w:cs="Times New Roman"/>
                <w:b/>
                <w:color w:val="auto"/>
                <w:highlight w:val="none"/>
              </w:rPr>
              <w:t>学习情境描述及目标</w:t>
            </w:r>
          </w:p>
        </w:tc>
        <w:tc>
          <w:tcPr>
            <w:tcW w:w="2983" w:type="dxa"/>
            <w:noWrap/>
            <w:vAlign w:val="center"/>
          </w:tcPr>
          <w:p>
            <w:pPr>
              <w:pStyle w:val="7"/>
              <w:snapToGrid w:val="0"/>
              <w:spacing w:line="440" w:lineRule="exact"/>
              <w:jc w:val="center"/>
              <w:rPr>
                <w:rFonts w:ascii="Times New Roman" w:hAnsi="Times New Roman" w:cs="Times New Roman"/>
                <w:b/>
                <w:color w:val="auto"/>
                <w:highlight w:val="none"/>
              </w:rPr>
            </w:pPr>
            <w:r>
              <w:rPr>
                <w:rFonts w:ascii="Times New Roman" w:hAnsi="宋体" w:cs="Times New Roman"/>
                <w:b/>
                <w:color w:val="auto"/>
                <w:highlight w:val="none"/>
              </w:rPr>
              <w:t>学习内容</w:t>
            </w:r>
          </w:p>
        </w:tc>
        <w:tc>
          <w:tcPr>
            <w:tcW w:w="868" w:type="dxa"/>
            <w:noWrap/>
            <w:vAlign w:val="center"/>
          </w:tcPr>
          <w:p>
            <w:pPr>
              <w:pStyle w:val="7"/>
              <w:snapToGrid w:val="0"/>
              <w:spacing w:line="440" w:lineRule="exact"/>
              <w:jc w:val="center"/>
              <w:rPr>
                <w:rFonts w:ascii="Times New Roman" w:hAnsi="宋体" w:cs="Times New Roman"/>
                <w:b/>
                <w:color w:val="auto"/>
                <w:highlight w:val="none"/>
              </w:rPr>
            </w:pPr>
            <w:r>
              <w:rPr>
                <w:rFonts w:ascii="Times New Roman" w:hAnsi="宋体" w:cs="Times New Roman"/>
                <w:b/>
                <w:color w:val="auto"/>
                <w:highlight w:val="none"/>
              </w:rPr>
              <w:t>学时</w:t>
            </w:r>
          </w:p>
          <w:p>
            <w:pPr>
              <w:pStyle w:val="7"/>
              <w:snapToGrid w:val="0"/>
              <w:spacing w:line="440" w:lineRule="exact"/>
              <w:jc w:val="center"/>
              <w:rPr>
                <w:rFonts w:ascii="Times New Roman" w:hAnsi="Times New Roman" w:cs="Times New Roman"/>
                <w:b/>
                <w:color w:val="auto"/>
                <w:highlight w:val="none"/>
              </w:rPr>
            </w:pPr>
            <w:r>
              <w:rPr>
                <w:rFonts w:ascii="Times New Roman" w:hAnsi="宋体" w:cs="Times New Roman"/>
                <w:b/>
                <w:color w:val="auto"/>
                <w:highlight w:val="none"/>
              </w:rPr>
              <w:t>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pStyle w:val="7"/>
              <w:snapToGrid w:val="0"/>
              <w:spacing w:line="440" w:lineRule="exact"/>
              <w:jc w:val="center"/>
              <w:rPr>
                <w:rFonts w:ascii="Calibri" w:hAnsi="Calibri" w:cs="Times New Roman"/>
                <w:color w:val="auto"/>
                <w:highlight w:val="none"/>
              </w:rPr>
            </w:pPr>
            <w:r>
              <w:rPr>
                <w:rFonts w:hint="eastAsia" w:hAnsi="宋体"/>
                <w:color w:val="auto"/>
                <w:highlight w:val="none"/>
              </w:rPr>
              <w:t>绪论、煤的特征和生成</w:t>
            </w:r>
          </w:p>
        </w:tc>
        <w:tc>
          <w:tcPr>
            <w:tcW w:w="3079" w:type="dxa"/>
            <w:noWrap/>
            <w:vAlign w:val="center"/>
          </w:tcPr>
          <w:p>
            <w:pPr>
              <w:pStyle w:val="7"/>
              <w:snapToGrid w:val="0"/>
              <w:spacing w:line="440" w:lineRule="exact"/>
              <w:jc w:val="left"/>
              <w:rPr>
                <w:rFonts w:ascii="Calibri" w:hAnsi="Calibri" w:cs="Times New Roman"/>
                <w:color w:val="auto"/>
                <w:highlight w:val="none"/>
              </w:rPr>
            </w:pPr>
            <w:r>
              <w:rPr>
                <w:rFonts w:hint="eastAsia"/>
                <w:color w:val="auto"/>
                <w:highlight w:val="none"/>
              </w:rPr>
              <w:t>学习煤化学</w:t>
            </w:r>
            <w:r>
              <w:rPr>
                <w:color w:val="auto"/>
                <w:highlight w:val="none"/>
              </w:rPr>
              <w:t>应</w:t>
            </w:r>
            <w:r>
              <w:rPr>
                <w:rFonts w:hint="eastAsia"/>
                <w:color w:val="auto"/>
                <w:highlight w:val="none"/>
              </w:rPr>
              <w:t>先</w:t>
            </w:r>
            <w:r>
              <w:rPr>
                <w:color w:val="auto"/>
                <w:highlight w:val="none"/>
              </w:rPr>
              <w:t>了解煤的种类和外部特征，研究煤的原始物质、煤的生成对研究煤的性质、结构、利用有重要的作用，煤的显微特征已广泛用于煤质分析和煤岩配煤。</w:t>
            </w:r>
          </w:p>
        </w:tc>
        <w:tc>
          <w:tcPr>
            <w:tcW w:w="2983" w:type="dxa"/>
            <w:noWrap/>
            <w:vAlign w:val="center"/>
          </w:tcPr>
          <w:p>
            <w:pPr>
              <w:pStyle w:val="7"/>
              <w:snapToGrid w:val="0"/>
              <w:spacing w:line="440" w:lineRule="exact"/>
              <w:jc w:val="left"/>
              <w:rPr>
                <w:rFonts w:ascii="Calibri" w:hAnsi="Calibri" w:cs="Times New Roman"/>
                <w:color w:val="auto"/>
                <w:highlight w:val="none"/>
              </w:rPr>
            </w:pPr>
            <w:r>
              <w:rPr>
                <w:color w:val="auto"/>
                <w:highlight w:val="none"/>
              </w:rPr>
              <w:t>煤的种类和外部特征；成煤的原始物质、煤的生成和主要成煤期；煤的宏观和微观特征。</w:t>
            </w:r>
          </w:p>
        </w:tc>
        <w:tc>
          <w:tcPr>
            <w:tcW w:w="868" w:type="dxa"/>
            <w:noWrap/>
            <w:vAlign w:val="center"/>
          </w:tcPr>
          <w:p>
            <w:pPr>
              <w:pStyle w:val="7"/>
              <w:snapToGrid w:val="0"/>
              <w:spacing w:line="440" w:lineRule="exact"/>
              <w:jc w:val="center"/>
              <w:rPr>
                <w:rFonts w:ascii="Calibri" w:hAnsi="Calibri" w:cs="Times New Roman"/>
                <w:color w:val="auto"/>
                <w:highlight w:val="none"/>
              </w:rPr>
            </w:pPr>
            <w:r>
              <w:rPr>
                <w:rFonts w:hint="eastAsia" w:hAnsi="宋体"/>
                <w:color w:val="auto"/>
                <w:highlight w:val="none"/>
              </w:rPr>
              <w:t>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pStyle w:val="7"/>
              <w:snapToGrid w:val="0"/>
              <w:spacing w:line="440" w:lineRule="exact"/>
              <w:jc w:val="center"/>
              <w:rPr>
                <w:rFonts w:ascii="Calibri" w:hAnsi="Calibri" w:cs="Times New Roman"/>
                <w:color w:val="auto"/>
                <w:highlight w:val="none"/>
              </w:rPr>
            </w:pPr>
            <w:r>
              <w:rPr>
                <w:rFonts w:hint="eastAsia" w:hAnsi="宋体"/>
                <w:color w:val="auto"/>
                <w:highlight w:val="none"/>
              </w:rPr>
              <w:t>煤的一般性质</w:t>
            </w:r>
          </w:p>
        </w:tc>
        <w:tc>
          <w:tcPr>
            <w:tcW w:w="3079" w:type="dxa"/>
            <w:noWrap/>
            <w:vAlign w:val="center"/>
          </w:tcPr>
          <w:p>
            <w:pPr>
              <w:tabs>
                <w:tab w:val="left" w:pos="480"/>
              </w:tabs>
              <w:spacing w:line="360" w:lineRule="auto"/>
              <w:ind w:leftChars="-2" w:hanging="4" w:hangingChars="2"/>
              <w:rPr>
                <w:rFonts w:ascii="Calibri" w:hAnsi="Calibri"/>
                <w:color w:val="auto"/>
                <w:szCs w:val="21"/>
                <w:highlight w:val="none"/>
              </w:rPr>
            </w:pPr>
            <w:r>
              <w:rPr>
                <w:rFonts w:hint="eastAsia" w:ascii="宋体" w:hAnsi="宋体"/>
                <w:color w:val="auto"/>
                <w:szCs w:val="21"/>
                <w:highlight w:val="none"/>
              </w:rPr>
              <w:t>合理利用煤炭资源，通常先对大批量的煤进行采样和制备，获得代表性的煤样，然后进行煤的工业分析和元素分析，工业分析和元素分析的结果与煤的成因、煤化程度和煤岩组成等关系密切，加之对煤的物理性质、化学性质和工艺性质做进一步的研究，就可综合科学地评价煤质，确定各种煤的加工利用途径。</w:t>
            </w:r>
          </w:p>
        </w:tc>
        <w:tc>
          <w:tcPr>
            <w:tcW w:w="2983" w:type="dxa"/>
            <w:noWrap/>
            <w:vAlign w:val="center"/>
          </w:tcPr>
          <w:p>
            <w:pPr>
              <w:tabs>
                <w:tab w:val="left" w:pos="480"/>
              </w:tabs>
              <w:spacing w:line="360" w:lineRule="auto"/>
              <w:ind w:leftChars="-2" w:hanging="4" w:hangingChars="2"/>
              <w:rPr>
                <w:rFonts w:ascii="宋体" w:hAnsi="宋体"/>
                <w:color w:val="auto"/>
                <w:szCs w:val="21"/>
                <w:highlight w:val="none"/>
              </w:rPr>
            </w:pPr>
            <w:r>
              <w:rPr>
                <w:rFonts w:hint="eastAsia" w:ascii="宋体" w:hAnsi="宋体"/>
                <w:color w:val="auto"/>
                <w:szCs w:val="21"/>
                <w:highlight w:val="none"/>
              </w:rPr>
              <w:t xml:space="preserve">煤的物理性质；煤的化学反应；煤样的采集和制备方法；煤质分析中的常用基准和基准换算；煤质分析的符号表示；煤的水分、灰分、挥发分和固定碳的分析原理、方法和计算；煤的元素分析的原理、测定方法；煤的发热量的测定原理和方法。 </w:t>
            </w:r>
          </w:p>
          <w:p>
            <w:pPr>
              <w:pStyle w:val="7"/>
              <w:snapToGrid w:val="0"/>
              <w:spacing w:line="440" w:lineRule="exact"/>
              <w:jc w:val="left"/>
              <w:rPr>
                <w:rFonts w:ascii="Calibri" w:hAnsi="Calibri" w:cs="Times New Roman"/>
                <w:color w:val="auto"/>
                <w:highlight w:val="none"/>
              </w:rPr>
            </w:pPr>
          </w:p>
        </w:tc>
        <w:tc>
          <w:tcPr>
            <w:tcW w:w="868" w:type="dxa"/>
            <w:noWrap/>
            <w:vAlign w:val="center"/>
          </w:tcPr>
          <w:p>
            <w:pPr>
              <w:pStyle w:val="7"/>
              <w:snapToGrid w:val="0"/>
              <w:spacing w:line="440" w:lineRule="exact"/>
              <w:jc w:val="center"/>
              <w:rPr>
                <w:rFonts w:ascii="Calibri" w:hAnsi="Calibri" w:cs="Times New Roman"/>
                <w:color w:val="auto"/>
                <w:highlight w:val="none"/>
              </w:rPr>
            </w:pPr>
            <w:r>
              <w:rPr>
                <w:rFonts w:hint="eastAsia" w:hAnsi="宋体"/>
                <w:color w:val="auto"/>
                <w:highlight w:val="none"/>
              </w:rPr>
              <w:t>16学时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pStyle w:val="7"/>
              <w:snapToGrid w:val="0"/>
              <w:spacing w:line="440" w:lineRule="exact"/>
              <w:jc w:val="center"/>
              <w:rPr>
                <w:rFonts w:ascii="Calibri" w:hAnsi="Calibri" w:cs="Times New Roman"/>
                <w:color w:val="auto"/>
                <w:highlight w:val="none"/>
              </w:rPr>
            </w:pPr>
            <w:r>
              <w:rPr>
                <w:rFonts w:hint="eastAsia" w:hAnsi="宋体"/>
                <w:color w:val="auto"/>
                <w:highlight w:val="none"/>
              </w:rPr>
              <w:t>煤有机质的化学结构</w:t>
            </w:r>
          </w:p>
        </w:tc>
        <w:tc>
          <w:tcPr>
            <w:tcW w:w="3079" w:type="dxa"/>
            <w:noWrap/>
            <w:vAlign w:val="center"/>
          </w:tcPr>
          <w:p>
            <w:pPr>
              <w:pStyle w:val="7"/>
              <w:snapToGrid w:val="0"/>
              <w:spacing w:line="440" w:lineRule="exact"/>
              <w:jc w:val="left"/>
              <w:rPr>
                <w:rFonts w:ascii="Calibri" w:hAnsi="Calibri" w:cs="Times New Roman"/>
                <w:color w:val="auto"/>
                <w:highlight w:val="none"/>
              </w:rPr>
            </w:pPr>
            <w:r>
              <w:rPr>
                <w:rFonts w:hint="eastAsia" w:hAnsi="宋体"/>
                <w:color w:val="auto"/>
                <w:highlight w:val="none"/>
              </w:rPr>
              <w:t>对煤的化学结构的研究一直是煤化学学科的中心环节，受到了广泛的重视，煤的结构组成对煤的加工利用有着重要的作用。要合理利用煤炭，采用红外光谱、核磁共振、X射线衍射等方法测定煤的结构十分重要。</w:t>
            </w:r>
          </w:p>
        </w:tc>
        <w:tc>
          <w:tcPr>
            <w:tcW w:w="2983" w:type="dxa"/>
            <w:noWrap/>
            <w:vAlign w:val="center"/>
          </w:tcPr>
          <w:p>
            <w:pPr>
              <w:pStyle w:val="7"/>
              <w:snapToGrid w:val="0"/>
              <w:spacing w:line="440" w:lineRule="exact"/>
              <w:jc w:val="left"/>
              <w:rPr>
                <w:rFonts w:ascii="Calibri" w:hAnsi="Calibri" w:cs="Times New Roman"/>
                <w:color w:val="auto"/>
                <w:highlight w:val="none"/>
              </w:rPr>
            </w:pPr>
            <w:r>
              <w:rPr>
                <w:rFonts w:hint="eastAsia" w:hAnsi="宋体"/>
                <w:color w:val="auto"/>
                <w:highlight w:val="none"/>
              </w:rPr>
              <w:t>煤的结构单元核心部分和外围部分的结构；煤的结构模型；煤的分子结构的近代概念；煤的结构研究方法：物理研究法，物理化学研究法，化学研究法等。</w:t>
            </w:r>
          </w:p>
        </w:tc>
        <w:tc>
          <w:tcPr>
            <w:tcW w:w="868" w:type="dxa"/>
            <w:noWrap/>
            <w:vAlign w:val="center"/>
          </w:tcPr>
          <w:p>
            <w:pPr>
              <w:pStyle w:val="7"/>
              <w:snapToGrid w:val="0"/>
              <w:spacing w:line="440" w:lineRule="exact"/>
              <w:jc w:val="center"/>
              <w:rPr>
                <w:rFonts w:ascii="Calibri" w:hAnsi="Calibri" w:cs="Times New Roman"/>
                <w:color w:val="auto"/>
                <w:highlight w:val="none"/>
              </w:rPr>
            </w:pPr>
            <w:r>
              <w:rPr>
                <w:rFonts w:hint="eastAsia" w:hAnsi="宋体"/>
                <w:color w:val="auto"/>
                <w:highlight w:val="none"/>
              </w:rPr>
              <w:t>14学时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pStyle w:val="7"/>
              <w:snapToGrid w:val="0"/>
              <w:spacing w:line="440" w:lineRule="exact"/>
              <w:jc w:val="center"/>
              <w:rPr>
                <w:rFonts w:ascii="Calibri" w:hAnsi="Calibri" w:cs="Times New Roman"/>
                <w:color w:val="auto"/>
                <w:highlight w:val="none"/>
              </w:rPr>
            </w:pPr>
            <w:r>
              <w:rPr>
                <w:rFonts w:hint="eastAsia" w:hAnsi="宋体"/>
                <w:color w:val="auto"/>
                <w:highlight w:val="none"/>
              </w:rPr>
              <w:t>煤的热解化学</w:t>
            </w:r>
          </w:p>
        </w:tc>
        <w:tc>
          <w:tcPr>
            <w:tcW w:w="3079" w:type="dxa"/>
            <w:noWrap/>
            <w:vAlign w:val="center"/>
          </w:tcPr>
          <w:p>
            <w:pPr>
              <w:pStyle w:val="7"/>
              <w:snapToGrid w:val="0"/>
              <w:spacing w:line="440" w:lineRule="exact"/>
              <w:jc w:val="left"/>
              <w:rPr>
                <w:rFonts w:ascii="Calibri" w:hAnsi="Calibri" w:cs="Times New Roman"/>
                <w:color w:val="auto"/>
                <w:highlight w:val="none"/>
              </w:rPr>
            </w:pPr>
            <w:r>
              <w:rPr>
                <w:rFonts w:hint="eastAsia" w:ascii="Calibri" w:hAnsi="Calibri" w:cs="Times New Roman"/>
                <w:color w:val="auto"/>
                <w:highlight w:val="none"/>
              </w:rPr>
              <w:t>煤的热解是指煤在隔绝空气条件下加热发生的一系列转化过程，煤的热解是煤的加工过程中最主要的工艺性质。研究煤的热解过程和机理，就能正确的选择原料煤、解决加工工艺问题；研究煤的热解、黏结成焦对研究煤的形成过程和分子结构等理论具有重要意义。</w:t>
            </w:r>
          </w:p>
        </w:tc>
        <w:tc>
          <w:tcPr>
            <w:tcW w:w="2983" w:type="dxa"/>
            <w:noWrap/>
            <w:vAlign w:val="center"/>
          </w:tcPr>
          <w:p>
            <w:pPr>
              <w:pStyle w:val="7"/>
              <w:snapToGrid w:val="0"/>
              <w:spacing w:line="440" w:lineRule="exact"/>
              <w:jc w:val="left"/>
              <w:rPr>
                <w:rFonts w:ascii="Calibri" w:hAnsi="Calibri" w:cs="Times New Roman"/>
                <w:color w:val="auto"/>
                <w:highlight w:val="none"/>
              </w:rPr>
            </w:pPr>
            <w:r>
              <w:rPr>
                <w:rFonts w:hint="eastAsia" w:ascii="Calibri" w:hAnsi="Calibri" w:cs="Times New Roman"/>
                <w:color w:val="auto"/>
                <w:highlight w:val="none"/>
              </w:rPr>
              <w:t>煤的热解过程和发生的化学反应；煤热解的因素；煤黏结和成焦机理；煤的胶质层指数、黏结指数、罗加指数、奥亚膨胀度的测定原理和方法。</w:t>
            </w:r>
          </w:p>
        </w:tc>
        <w:tc>
          <w:tcPr>
            <w:tcW w:w="868" w:type="dxa"/>
            <w:noWrap/>
            <w:vAlign w:val="center"/>
          </w:tcPr>
          <w:p>
            <w:pPr>
              <w:pStyle w:val="7"/>
              <w:snapToGrid w:val="0"/>
              <w:spacing w:line="440" w:lineRule="exact"/>
              <w:jc w:val="center"/>
              <w:rPr>
                <w:rFonts w:ascii="Calibri" w:hAnsi="Calibri" w:cs="Times New Roman"/>
                <w:color w:val="auto"/>
                <w:highlight w:val="none"/>
              </w:rPr>
            </w:pPr>
            <w:r>
              <w:rPr>
                <w:rFonts w:hint="eastAsia" w:hAnsi="宋体"/>
                <w:color w:val="auto"/>
                <w:highlight w:val="none"/>
              </w:rPr>
              <w:t>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pStyle w:val="7"/>
              <w:snapToGrid w:val="0"/>
              <w:spacing w:line="440" w:lineRule="exact"/>
              <w:jc w:val="center"/>
              <w:rPr>
                <w:rFonts w:ascii="Calibri" w:hAnsi="Calibri" w:cs="Times New Roman"/>
                <w:color w:val="auto"/>
                <w:highlight w:val="none"/>
              </w:rPr>
            </w:pPr>
            <w:r>
              <w:rPr>
                <w:rFonts w:hint="eastAsia" w:hAnsi="宋体"/>
                <w:color w:val="auto"/>
                <w:highlight w:val="none"/>
              </w:rPr>
              <w:t>煤的气相氧化、燃烧、气化和液化化学</w:t>
            </w:r>
          </w:p>
        </w:tc>
        <w:tc>
          <w:tcPr>
            <w:tcW w:w="3079" w:type="dxa"/>
            <w:noWrap/>
            <w:vAlign w:val="center"/>
          </w:tcPr>
          <w:p>
            <w:pPr>
              <w:pStyle w:val="7"/>
              <w:snapToGrid w:val="0"/>
              <w:spacing w:line="440" w:lineRule="exact"/>
              <w:jc w:val="left"/>
              <w:rPr>
                <w:rFonts w:ascii="Calibri" w:hAnsi="Calibri" w:cs="Times New Roman"/>
                <w:color w:val="auto"/>
                <w:highlight w:val="none"/>
              </w:rPr>
            </w:pPr>
            <w:r>
              <w:rPr>
                <w:rFonts w:hint="eastAsia" w:hAnsi="宋体"/>
                <w:color w:val="auto"/>
                <w:highlight w:val="none"/>
              </w:rPr>
              <w:t>煤的转化技术的开发利用，可把煤转化为洁净的二次能源，减轻对大气的污染，同时提供更多的化工产品，煤的转化包括焦化、加氢液化、气化、氧化等过程。煤的气化制合成气，再由CO和H2合成更多的化学产品。煤的直接液化日益引起人们的关注。</w:t>
            </w:r>
          </w:p>
        </w:tc>
        <w:tc>
          <w:tcPr>
            <w:tcW w:w="2983" w:type="dxa"/>
            <w:noWrap/>
            <w:vAlign w:val="center"/>
          </w:tcPr>
          <w:p>
            <w:pPr>
              <w:pStyle w:val="7"/>
              <w:snapToGrid w:val="0"/>
              <w:spacing w:line="440" w:lineRule="exact"/>
              <w:jc w:val="left"/>
              <w:rPr>
                <w:rFonts w:ascii="Calibri" w:hAnsi="Calibri" w:cs="Times New Roman"/>
                <w:color w:val="auto"/>
                <w:highlight w:val="none"/>
              </w:rPr>
            </w:pPr>
            <w:r>
              <w:rPr>
                <w:rFonts w:hint="eastAsia" w:hAnsi="宋体"/>
                <w:color w:val="auto"/>
                <w:highlight w:val="none"/>
              </w:rPr>
              <w:t>煤的风化和自燃概念；煤的燃烧原理和煤灰的组成；煤的气化化学；煤的气化动力学和热力学；煤液化的问题和目的；煤液化的原理；煤液体的组成与性质。</w:t>
            </w:r>
          </w:p>
        </w:tc>
        <w:tc>
          <w:tcPr>
            <w:tcW w:w="868" w:type="dxa"/>
            <w:noWrap/>
            <w:vAlign w:val="center"/>
          </w:tcPr>
          <w:p>
            <w:pPr>
              <w:pStyle w:val="7"/>
              <w:snapToGrid w:val="0"/>
              <w:spacing w:line="440" w:lineRule="exact"/>
              <w:jc w:val="center"/>
              <w:rPr>
                <w:rFonts w:ascii="Calibri" w:hAnsi="Calibri" w:cs="Times New Roman"/>
                <w:color w:val="auto"/>
                <w:highlight w:val="none"/>
              </w:rPr>
            </w:pPr>
            <w:r>
              <w:rPr>
                <w:rFonts w:hint="eastAsia" w:hAnsi="宋体"/>
                <w:color w:val="auto"/>
                <w:highlight w:val="none"/>
              </w:rPr>
              <w:t>16学时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pStyle w:val="7"/>
              <w:snapToGrid w:val="0"/>
              <w:spacing w:line="440" w:lineRule="exact"/>
              <w:jc w:val="center"/>
              <w:rPr>
                <w:rFonts w:ascii="Calibri" w:hAnsi="Calibri" w:cs="Times New Roman"/>
                <w:color w:val="auto"/>
                <w:highlight w:val="none"/>
              </w:rPr>
            </w:pPr>
            <w:r>
              <w:rPr>
                <w:rFonts w:hint="eastAsia" w:hAnsi="宋体"/>
                <w:color w:val="auto"/>
                <w:highlight w:val="none"/>
              </w:rPr>
              <w:t>煤的分类及煤质评价</w:t>
            </w:r>
          </w:p>
        </w:tc>
        <w:tc>
          <w:tcPr>
            <w:tcW w:w="3079" w:type="dxa"/>
            <w:noWrap/>
            <w:vAlign w:val="center"/>
          </w:tcPr>
          <w:p>
            <w:pPr>
              <w:pStyle w:val="7"/>
              <w:snapToGrid w:val="0"/>
              <w:spacing w:line="440" w:lineRule="exact"/>
              <w:jc w:val="left"/>
              <w:rPr>
                <w:rFonts w:ascii="Calibri" w:hAnsi="Calibri" w:cs="Times New Roman"/>
                <w:color w:val="auto"/>
                <w:highlight w:val="none"/>
              </w:rPr>
            </w:pPr>
            <w:r>
              <w:rPr>
                <w:rFonts w:hint="eastAsia" w:hAnsi="宋体"/>
                <w:color w:val="auto"/>
                <w:highlight w:val="none"/>
              </w:rPr>
              <w:t>煤是重要的能源和化工原料，煤的组成和性质不同，各种工业用煤对煤的种类和质量都有不同的要求。为了使中国的煤炭资源得到充分的利用，制订合理、科学的煤炭分类方法具有十分重要的意义。</w:t>
            </w:r>
          </w:p>
        </w:tc>
        <w:tc>
          <w:tcPr>
            <w:tcW w:w="2983" w:type="dxa"/>
            <w:noWrap/>
            <w:vAlign w:val="center"/>
          </w:tcPr>
          <w:p>
            <w:pPr>
              <w:pStyle w:val="7"/>
              <w:snapToGrid w:val="0"/>
              <w:spacing w:line="440" w:lineRule="exact"/>
              <w:jc w:val="left"/>
              <w:rPr>
                <w:rFonts w:ascii="Calibri" w:hAnsi="Calibri" w:cs="Times New Roman"/>
                <w:color w:val="auto"/>
                <w:highlight w:val="none"/>
              </w:rPr>
            </w:pPr>
            <w:r>
              <w:rPr>
                <w:rFonts w:hint="eastAsia" w:hAnsi="宋体"/>
                <w:color w:val="auto"/>
                <w:highlight w:val="none"/>
              </w:rPr>
              <w:t>煤的分类方法；煤的数码表示；无烟煤、烟煤、褐煤的分类指标；各种煤的特性和用途；煤质评价方法。</w:t>
            </w:r>
          </w:p>
        </w:tc>
        <w:tc>
          <w:tcPr>
            <w:tcW w:w="868" w:type="dxa"/>
            <w:noWrap/>
            <w:vAlign w:val="center"/>
          </w:tcPr>
          <w:p>
            <w:pPr>
              <w:pStyle w:val="7"/>
              <w:snapToGrid w:val="0"/>
              <w:spacing w:line="440" w:lineRule="exact"/>
              <w:jc w:val="center"/>
              <w:rPr>
                <w:rFonts w:ascii="Calibri" w:hAnsi="Calibri" w:cs="Times New Roman"/>
                <w:color w:val="auto"/>
                <w:highlight w:val="none"/>
              </w:rPr>
            </w:pPr>
            <w:r>
              <w:rPr>
                <w:rFonts w:hint="eastAsia" w:hAnsi="宋体"/>
                <w:color w:val="auto"/>
                <w:highlight w:val="none"/>
              </w:rPr>
              <w:t>10学时</w:t>
            </w:r>
          </w:p>
        </w:tc>
      </w:tr>
    </w:tbl>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w:t>
      </w:r>
      <w:r>
        <w:rPr>
          <w:rFonts w:hint="eastAsia" w:ascii="黑体" w:hAnsi="黑体" w:eastAsia="黑体" w:cs="黑体"/>
          <w:bCs/>
          <w:color w:val="auto"/>
          <w:sz w:val="30"/>
          <w:szCs w:val="30"/>
          <w:highlight w:val="none"/>
          <w:lang w:val="en-US" w:eastAsia="zh-CN"/>
        </w:rPr>
        <w:t>五</w:t>
      </w:r>
      <w:r>
        <w:rPr>
          <w:rFonts w:hint="eastAsia" w:ascii="黑体" w:hAnsi="黑体" w:eastAsia="黑体" w:cs="黑体"/>
          <w:bCs/>
          <w:color w:val="auto"/>
          <w:sz w:val="30"/>
          <w:szCs w:val="30"/>
          <w:highlight w:val="none"/>
          <w:lang w:eastAsia="zh-CN"/>
        </w:rPr>
        <w:t>）教学组织与教学方法</w:t>
      </w:r>
    </w:p>
    <w:p>
      <w:pPr>
        <w:tabs>
          <w:tab w:val="left" w:pos="480"/>
        </w:tabs>
        <w:spacing w:line="360" w:lineRule="auto"/>
        <w:ind w:left="1" w:firstLine="424" w:firstLineChars="177"/>
        <w:rPr>
          <w:rFonts w:ascii="宋体" w:hAnsi="宋体"/>
          <w:color w:val="auto"/>
          <w:sz w:val="24"/>
          <w:highlight w:val="none"/>
        </w:rPr>
      </w:pPr>
      <w:r>
        <w:rPr>
          <w:rFonts w:hint="eastAsia" w:ascii="宋体" w:hAnsi="宋体"/>
          <w:color w:val="auto"/>
          <w:sz w:val="24"/>
          <w:highlight w:val="none"/>
        </w:rPr>
        <w:t>本课程的教学内容由课堂讲授和实验教学两部分构成，在课堂教学中，我们可将教学大纲中规定的教学内容进行梳理，突破教材原有章节次序，将煤化学的知识体系划分为五个具有内在联系的部分：煤的生成、煤的结构、煤的组成（含煤岩组成、化学组成）、煤的性质（含各种性质）和煤的分类。这样搭建煤化学的知识结构，可以很好地将各章节内容以煤分子结构理论联系在一起成为整体，使学生在学习、教师在授课时，脑海中呈现的是煤化学的整体知识，有利于提高教学效果，促进学生全方位把握煤化学的精髓。</w:t>
      </w:r>
    </w:p>
    <w:p>
      <w:pPr>
        <w:tabs>
          <w:tab w:val="left" w:pos="480"/>
        </w:tabs>
        <w:spacing w:line="360" w:lineRule="auto"/>
        <w:ind w:left="1" w:firstLine="424" w:firstLineChars="177"/>
        <w:rPr>
          <w:rFonts w:ascii="宋体" w:hAnsi="宋体"/>
          <w:color w:val="auto"/>
          <w:sz w:val="24"/>
          <w:highlight w:val="none"/>
        </w:rPr>
      </w:pPr>
      <w:r>
        <w:rPr>
          <w:rFonts w:hint="eastAsia" w:ascii="宋体" w:hAnsi="宋体"/>
          <w:color w:val="auto"/>
          <w:sz w:val="24"/>
          <w:highlight w:val="none"/>
        </w:rPr>
        <w:t>煤化学实验是煤化学课程内容的重要组成部分，煤化学实验不仅是对煤化学理论知识的深化和验证，更主要的是通过实验使学生能够更加全面完整地接受煤化学知识，培养学生的动手能力、科学严谨的治学态度，并且能够将煤化学理论知识与煤炭加工转化的实际应用紧密联系起来，为学生将来能够独立地开展煤炭加工转化相关的科学研究奠定基础。 在实验教学设计上，从以下三个方面入手：（1）突出动手能力的培养，坚持让学生自己组装连接实验装置；（2）要求将实验过程与煤化学知识紧密相连；（3）利用实验结果，进行煤质评价，预测煤炭加工利用的途径和方法，写出实验报告。 通过这样的实验设计，使学生接受煤质分析与煤质评价的系统训练，掌握煤化学知识在实践中的应用，将煤化学知识变成可以灵活应用的知识，对他们从事相关工作能力的培养具有很好的效果。</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w:t>
      </w:r>
      <w:r>
        <w:rPr>
          <w:rFonts w:hint="eastAsia" w:ascii="黑体" w:hAnsi="黑体" w:eastAsia="黑体" w:cs="黑体"/>
          <w:bCs/>
          <w:color w:val="auto"/>
          <w:sz w:val="30"/>
          <w:szCs w:val="30"/>
          <w:highlight w:val="none"/>
          <w:lang w:val="en-US" w:eastAsia="zh-CN"/>
        </w:rPr>
        <w:t>六</w:t>
      </w:r>
      <w:r>
        <w:rPr>
          <w:rFonts w:hint="eastAsia" w:ascii="黑体" w:hAnsi="黑体" w:eastAsia="黑体" w:cs="黑体"/>
          <w:bCs/>
          <w:color w:val="auto"/>
          <w:sz w:val="30"/>
          <w:szCs w:val="30"/>
          <w:highlight w:val="none"/>
          <w:lang w:eastAsia="zh-CN"/>
        </w:rPr>
        <w:t>）考核标准与成绩评定方法</w:t>
      </w:r>
    </w:p>
    <w:p>
      <w:pPr>
        <w:spacing w:line="360" w:lineRule="auto"/>
        <w:ind w:left="1" w:firstLine="564" w:firstLineChars="235"/>
        <w:rPr>
          <w:rFonts w:ascii="宋体" w:hAnsi="宋体"/>
          <w:color w:val="auto"/>
          <w:sz w:val="24"/>
          <w:highlight w:val="none"/>
        </w:rPr>
      </w:pPr>
      <w:r>
        <w:rPr>
          <w:rFonts w:hint="eastAsia" w:ascii="宋体" w:hAnsi="宋体"/>
          <w:color w:val="auto"/>
          <w:sz w:val="24"/>
          <w:highlight w:val="none"/>
        </w:rPr>
        <w:t xml:space="preserve">本门课程测试考生对煤化学课程主要内容的理解及掌握程度。考查学生是否理解了煤的结构、组成与性质之间的关系，是否熟悉煤的各种性质及其规律，要求考生掌握煤化学的基础知识并能妥善运用到综合题目的处理中，培养学生分析问题和解决问题的能力。此外，对于煤的形成过程、煤的分类的内容，考生也要掌握。 </w:t>
      </w:r>
    </w:p>
    <w:p>
      <w:pPr>
        <w:spacing w:line="360" w:lineRule="auto"/>
        <w:ind w:left="1" w:firstLine="564" w:firstLineChars="235"/>
        <w:rPr>
          <w:rFonts w:ascii="宋体" w:hAnsi="宋体"/>
          <w:color w:val="auto"/>
          <w:sz w:val="24"/>
          <w:highlight w:val="none"/>
        </w:rPr>
      </w:pPr>
      <w:r>
        <w:rPr>
          <w:rFonts w:hint="eastAsia" w:ascii="宋体" w:hAnsi="宋体"/>
          <w:color w:val="auto"/>
          <w:sz w:val="24"/>
          <w:highlight w:val="none"/>
        </w:rPr>
        <w:t>（1）本门课程是一门考试课，评价依据是本课程标准规定的课程目标、教学内容和要求。</w:t>
      </w:r>
    </w:p>
    <w:p>
      <w:pPr>
        <w:spacing w:line="360" w:lineRule="auto"/>
        <w:ind w:left="1" w:firstLine="564" w:firstLineChars="235"/>
        <w:rPr>
          <w:rFonts w:ascii="宋体" w:hAnsi="宋体"/>
          <w:color w:val="auto"/>
          <w:sz w:val="24"/>
          <w:highlight w:val="none"/>
        </w:rPr>
      </w:pPr>
      <w:r>
        <w:rPr>
          <w:rFonts w:hint="eastAsia" w:ascii="宋体" w:hAnsi="宋体"/>
          <w:color w:val="auto"/>
          <w:sz w:val="24"/>
          <w:highlight w:val="none"/>
        </w:rPr>
        <w:t>（2）考试时间：90分钟（理论考核90分钟）。</w:t>
      </w:r>
    </w:p>
    <w:p>
      <w:pPr>
        <w:spacing w:line="360" w:lineRule="auto"/>
        <w:ind w:left="1" w:firstLine="564" w:firstLineChars="235"/>
        <w:rPr>
          <w:rFonts w:ascii="宋体" w:hAnsi="宋体"/>
          <w:color w:val="auto"/>
          <w:sz w:val="24"/>
          <w:highlight w:val="none"/>
        </w:rPr>
      </w:pPr>
      <w:r>
        <w:rPr>
          <w:rFonts w:hint="eastAsia" w:ascii="宋体" w:hAnsi="宋体"/>
          <w:color w:val="auto"/>
          <w:sz w:val="24"/>
          <w:highlight w:val="none"/>
        </w:rPr>
        <w:t xml:space="preserve">（3）考试方式、分制与解释 </w:t>
      </w:r>
    </w:p>
    <w:p>
      <w:pPr>
        <w:spacing w:line="360" w:lineRule="auto"/>
        <w:ind w:left="1" w:firstLine="564" w:firstLineChars="235"/>
        <w:rPr>
          <w:rFonts w:ascii="宋体" w:hAnsi="宋体"/>
          <w:color w:val="auto"/>
          <w:sz w:val="24"/>
          <w:highlight w:val="none"/>
        </w:rPr>
      </w:pPr>
      <w:r>
        <w:rPr>
          <w:rFonts w:hint="eastAsia" w:ascii="宋体" w:hAnsi="宋体"/>
          <w:color w:val="auto"/>
          <w:sz w:val="24"/>
          <w:highlight w:val="none"/>
        </w:rPr>
        <w:t xml:space="preserve">a.理论成绩的综合评价 采用闭卷、笔试的方式，以百分制评分，满分为100分，占总评成绩的70～80%。 </w:t>
      </w:r>
    </w:p>
    <w:p>
      <w:pPr>
        <w:spacing w:line="360" w:lineRule="auto"/>
        <w:ind w:left="1" w:firstLine="564" w:firstLineChars="235"/>
        <w:rPr>
          <w:rFonts w:ascii="宋体" w:hAnsi="宋体"/>
          <w:color w:val="auto"/>
          <w:sz w:val="24"/>
          <w:highlight w:val="none"/>
        </w:rPr>
      </w:pPr>
      <w:r>
        <w:rPr>
          <w:rFonts w:hint="eastAsia" w:ascii="宋体" w:hAnsi="宋体"/>
          <w:color w:val="auto"/>
          <w:sz w:val="24"/>
          <w:highlight w:val="none"/>
        </w:rPr>
        <w:t>b.实验成绩的综合评价 实验成绩由实验现场表现和实验报告成绩两部分组成。实验成绩占总评成绩的20～30%。</w:t>
      </w:r>
    </w:p>
    <w:p>
      <w:pPr>
        <w:spacing w:line="360" w:lineRule="auto"/>
        <w:ind w:left="1" w:firstLine="564" w:firstLineChars="235"/>
        <w:rPr>
          <w:rFonts w:ascii="宋体" w:hAnsi="宋体"/>
          <w:color w:val="auto"/>
          <w:sz w:val="24"/>
          <w:highlight w:val="none"/>
        </w:rPr>
      </w:pPr>
      <w:r>
        <w:rPr>
          <w:rFonts w:hint="eastAsia" w:ascii="宋体" w:hAnsi="宋体"/>
          <w:color w:val="auto"/>
          <w:sz w:val="24"/>
          <w:highlight w:val="none"/>
        </w:rPr>
        <w:t xml:space="preserve">（4）试题类型及权重 </w:t>
      </w:r>
    </w:p>
    <w:p>
      <w:pPr>
        <w:tabs>
          <w:tab w:val="left" w:pos="480"/>
        </w:tabs>
        <w:spacing w:line="360" w:lineRule="auto"/>
        <w:ind w:left="1" w:firstLine="564" w:firstLineChars="235"/>
        <w:rPr>
          <w:rFonts w:ascii="宋体" w:hAnsi="宋体"/>
          <w:color w:val="auto"/>
          <w:sz w:val="24"/>
          <w:highlight w:val="none"/>
        </w:rPr>
      </w:pPr>
      <w:r>
        <w:rPr>
          <w:rFonts w:hint="eastAsia" w:ascii="宋体" w:hAnsi="宋体"/>
          <w:color w:val="auto"/>
          <w:sz w:val="24"/>
          <w:highlight w:val="none"/>
        </w:rPr>
        <w:t>选择题15%～30%、判断题10～20%、填空题10～25%、简答题(包括完成并配平反应式)10～20%、计算题10～30%。</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w:t>
      </w:r>
      <w:r>
        <w:rPr>
          <w:rFonts w:hint="eastAsia" w:ascii="黑体" w:hAnsi="黑体" w:eastAsia="黑体" w:cs="黑体"/>
          <w:bCs/>
          <w:color w:val="auto"/>
          <w:sz w:val="30"/>
          <w:szCs w:val="30"/>
          <w:highlight w:val="none"/>
          <w:lang w:val="en-US" w:eastAsia="zh-CN"/>
        </w:rPr>
        <w:t>七</w:t>
      </w:r>
      <w:r>
        <w:rPr>
          <w:rFonts w:hint="eastAsia" w:ascii="黑体" w:hAnsi="黑体" w:eastAsia="黑体" w:cs="黑体"/>
          <w:bCs/>
          <w:color w:val="auto"/>
          <w:sz w:val="30"/>
          <w:szCs w:val="30"/>
          <w:highlight w:val="none"/>
          <w:lang w:eastAsia="zh-CN"/>
        </w:rPr>
        <w:t>）教学建议</w:t>
      </w:r>
    </w:p>
    <w:p>
      <w:pPr>
        <w:tabs>
          <w:tab w:val="left" w:pos="567"/>
        </w:tabs>
        <w:spacing w:line="360" w:lineRule="auto"/>
        <w:ind w:firstLine="480" w:firstLineChars="200"/>
        <w:rPr>
          <w:rFonts w:ascii="宋体" w:hAnsi="宋体"/>
          <w:color w:val="auto"/>
          <w:sz w:val="24"/>
          <w:highlight w:val="none"/>
        </w:rPr>
      </w:pPr>
      <w:r>
        <w:rPr>
          <w:rFonts w:hint="eastAsia" w:ascii="宋体" w:hAnsi="宋体"/>
          <w:color w:val="auto"/>
          <w:sz w:val="24"/>
          <w:highlight w:val="none"/>
        </w:rPr>
        <w:t>课堂教学中，全部使用电子教案（PowerPoint）授课，采用多媒体课件和黑板板书相结合，配合网络网站。在教学中，我们注意充分利用现代计算机技术带来的便利条件，增强教学效果。主要是利用多媒体的图形、照片等增强学生的理解。</w:t>
      </w:r>
    </w:p>
    <w:p>
      <w:pPr>
        <w:tabs>
          <w:tab w:val="left" w:pos="567"/>
        </w:tabs>
        <w:spacing w:line="360" w:lineRule="auto"/>
        <w:ind w:firstLine="480" w:firstLineChars="200"/>
        <w:rPr>
          <w:rFonts w:ascii="宋体" w:hAnsi="宋体"/>
          <w:color w:val="auto"/>
          <w:sz w:val="24"/>
          <w:highlight w:val="none"/>
        </w:rPr>
      </w:pPr>
      <w:r>
        <w:rPr>
          <w:rFonts w:hint="eastAsia" w:ascii="宋体" w:hAnsi="宋体"/>
          <w:color w:val="auto"/>
          <w:sz w:val="24"/>
          <w:highlight w:val="none"/>
        </w:rPr>
        <w:t>在教学过程中采用启发式教学为主，辅以讨论式、问答式等方式，特别强调讲课过程中紧密联系前后章节内容，强化理解，有助于学生加强记忆和理解，并能将各部分知识最终连接成为一个整体。</w:t>
      </w:r>
    </w:p>
    <w:p>
      <w:pPr>
        <w:tabs>
          <w:tab w:val="left" w:pos="567"/>
        </w:tabs>
        <w:spacing w:line="360" w:lineRule="auto"/>
        <w:ind w:firstLine="480" w:firstLineChars="200"/>
        <w:rPr>
          <w:rFonts w:ascii="宋体" w:hAnsi="宋体"/>
          <w:color w:val="auto"/>
          <w:sz w:val="24"/>
          <w:highlight w:val="none"/>
        </w:rPr>
      </w:pPr>
      <w:r>
        <w:rPr>
          <w:rFonts w:hint="eastAsia" w:ascii="宋体" w:hAnsi="宋体"/>
          <w:color w:val="auto"/>
          <w:sz w:val="24"/>
          <w:highlight w:val="none"/>
        </w:rPr>
        <w:t>本课程配套的实践教学内容主要是煤质分析实验和评价，含煤的组成分析测定、煤的发热量测定、煤的粘结性测定、煤灰性质测定、煤的物理性质测定等几个方面，根据教学需求，选做其中的部分项目。</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w:t>
      </w:r>
      <w:r>
        <w:rPr>
          <w:rFonts w:hint="eastAsia" w:ascii="黑体" w:hAnsi="黑体" w:eastAsia="黑体" w:cs="黑体"/>
          <w:bCs/>
          <w:color w:val="auto"/>
          <w:sz w:val="30"/>
          <w:szCs w:val="30"/>
          <w:highlight w:val="none"/>
          <w:lang w:val="en-US" w:eastAsia="zh-CN"/>
        </w:rPr>
        <w:t>八</w:t>
      </w:r>
      <w:r>
        <w:rPr>
          <w:rFonts w:hint="eastAsia" w:ascii="黑体" w:hAnsi="黑体" w:eastAsia="黑体" w:cs="黑体"/>
          <w:bCs/>
          <w:color w:val="auto"/>
          <w:sz w:val="30"/>
          <w:szCs w:val="30"/>
          <w:highlight w:val="none"/>
          <w:lang w:eastAsia="zh-CN"/>
        </w:rPr>
        <w:t>）选用教材标及推荐教材和参考用书（或课程网站）</w:t>
      </w:r>
    </w:p>
    <w:p>
      <w:pPr>
        <w:tabs>
          <w:tab w:val="left" w:pos="567"/>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《煤化学》，编者：朱银惠，化学工业出版社</w:t>
      </w:r>
    </w:p>
    <w:p>
      <w:pPr>
        <w:tabs>
          <w:tab w:val="left" w:pos="567"/>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《煤化学》，编者：张双全、吴国光、周敏等人，中国矿业大学出版社</w:t>
      </w:r>
    </w:p>
    <w:p>
      <w:pPr>
        <w:tabs>
          <w:tab w:val="left" w:pos="567"/>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《煤化学》，编者：何选明，治金工业出版社出版</w:t>
      </w:r>
    </w:p>
    <w:p>
      <w:pPr>
        <w:tabs>
          <w:tab w:val="left" w:pos="567"/>
        </w:tabs>
        <w:spacing w:line="360" w:lineRule="auto"/>
        <w:ind w:firstLine="480" w:firstLineChars="200"/>
        <w:rPr>
          <w:color w:val="auto"/>
          <w:kern w:val="2"/>
          <w:highlight w:val="none"/>
        </w:rPr>
      </w:pPr>
      <w:r>
        <w:rPr>
          <w:rFonts w:hint="eastAsia" w:ascii="宋体" w:hAnsi="宋体"/>
          <w:color w:val="auto"/>
          <w:sz w:val="24"/>
          <w:highlight w:val="none"/>
        </w:rPr>
        <w:t>《煤化学》，编者：郭崇涛，化学工业出版社</w:t>
      </w:r>
    </w:p>
    <w:p>
      <w:pPr>
        <w:pStyle w:val="24"/>
        <w:ind w:firstLine="0" w:firstLineChars="0"/>
        <w:rPr>
          <w:color w:val="auto"/>
          <w:highlight w:val="none"/>
        </w:rPr>
      </w:pPr>
      <w:bookmarkStart w:id="89" w:name="_Toc17238589"/>
      <w:bookmarkStart w:id="90" w:name="_Toc15353"/>
      <w:r>
        <w:rPr>
          <w:rFonts w:hint="eastAsia"/>
          <w:color w:val="auto"/>
          <w:highlight w:val="none"/>
        </w:rPr>
        <w:t>五</w:t>
      </w:r>
      <w:bookmarkStart w:id="91" w:name="_Hlt17150339"/>
      <w:bookmarkEnd w:id="91"/>
      <w:r>
        <w:rPr>
          <w:rFonts w:hint="eastAsia"/>
          <w:color w:val="auto"/>
          <w:highlight w:val="none"/>
        </w:rPr>
        <w:t>、《现代煤化工技术》核心课程标准</w:t>
      </w:r>
      <w:bookmarkEnd w:id="89"/>
      <w:bookmarkEnd w:id="90"/>
    </w:p>
    <w:tbl>
      <w:tblPr>
        <w:tblStyle w:val="14"/>
        <w:tblW w:w="8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3274"/>
        <w:gridCol w:w="1620"/>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课程编码</w:t>
            </w:r>
          </w:p>
        </w:tc>
        <w:tc>
          <w:tcPr>
            <w:tcW w:w="3274" w:type="dxa"/>
            <w:noWrap/>
            <w:vAlign w:val="center"/>
          </w:tcPr>
          <w:p>
            <w:pPr>
              <w:spacing w:line="360" w:lineRule="auto"/>
              <w:jc w:val="center"/>
              <w:rPr>
                <w:color w:val="auto"/>
                <w:szCs w:val="21"/>
                <w:highlight w:val="none"/>
              </w:rPr>
            </w:pPr>
            <w:r>
              <w:rPr>
                <w:rFonts w:hint="eastAsia" w:ascii="宋体" w:hAnsi="宋体"/>
                <w:color w:val="auto"/>
                <w:szCs w:val="21"/>
                <w:highlight w:val="none"/>
              </w:rPr>
              <w:t>10030</w:t>
            </w:r>
            <w:r>
              <w:rPr>
                <w:rFonts w:hint="eastAsia" w:ascii="宋体" w:hAnsi="宋体"/>
                <w:color w:val="auto"/>
                <w:szCs w:val="21"/>
                <w:highlight w:val="none"/>
                <w:lang w:val="en-US" w:eastAsia="zh-CN"/>
              </w:rPr>
              <w:t>72</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课程类别</w:t>
            </w:r>
          </w:p>
        </w:tc>
        <w:tc>
          <w:tcPr>
            <w:tcW w:w="1994" w:type="dxa"/>
            <w:noWrap/>
            <w:vAlign w:val="center"/>
          </w:tcPr>
          <w:p>
            <w:pPr>
              <w:spacing w:line="360" w:lineRule="auto"/>
              <w:jc w:val="center"/>
              <w:rPr>
                <w:color w:val="auto"/>
                <w:szCs w:val="21"/>
                <w:highlight w:val="none"/>
              </w:rPr>
            </w:pPr>
            <w:r>
              <w:rPr>
                <w:rFonts w:hAnsi="宋体"/>
                <w:color w:val="auto"/>
                <w:szCs w:val="21"/>
                <w:highlight w:val="none"/>
              </w:rPr>
              <w:t>专业学习领域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计划学时</w:t>
            </w:r>
          </w:p>
        </w:tc>
        <w:tc>
          <w:tcPr>
            <w:tcW w:w="3274" w:type="dxa"/>
            <w:noWrap/>
            <w:vAlign w:val="center"/>
          </w:tcPr>
          <w:p>
            <w:pPr>
              <w:spacing w:line="360" w:lineRule="auto"/>
              <w:jc w:val="center"/>
              <w:rPr>
                <w:color w:val="auto"/>
                <w:szCs w:val="21"/>
                <w:highlight w:val="none"/>
              </w:rPr>
            </w:pPr>
            <w:r>
              <w:rPr>
                <w:rFonts w:hint="eastAsia"/>
                <w:color w:val="auto"/>
                <w:szCs w:val="21"/>
                <w:highlight w:val="none"/>
              </w:rPr>
              <w:t>72</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课程类型</w:t>
            </w:r>
          </w:p>
        </w:tc>
        <w:tc>
          <w:tcPr>
            <w:tcW w:w="1994" w:type="dxa"/>
            <w:noWrap/>
            <w:vAlign w:val="center"/>
          </w:tcPr>
          <w:p>
            <w:pPr>
              <w:spacing w:line="360" w:lineRule="auto"/>
              <w:jc w:val="center"/>
              <w:rPr>
                <w:color w:val="auto"/>
                <w:szCs w:val="21"/>
                <w:highlight w:val="none"/>
              </w:rPr>
            </w:pPr>
            <w:r>
              <w:rPr>
                <w:color w:val="auto"/>
                <w:szCs w:val="21"/>
                <w:highlight w:val="none"/>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适用专业</w:t>
            </w:r>
          </w:p>
        </w:tc>
        <w:tc>
          <w:tcPr>
            <w:tcW w:w="3274" w:type="dxa"/>
            <w:noWrap/>
            <w:vAlign w:val="center"/>
          </w:tcPr>
          <w:p>
            <w:pPr>
              <w:spacing w:line="360" w:lineRule="auto"/>
              <w:jc w:val="center"/>
              <w:rPr>
                <w:rFonts w:hint="default" w:eastAsiaTheme="minorEastAsia"/>
                <w:color w:val="auto"/>
                <w:szCs w:val="21"/>
                <w:highlight w:val="none"/>
                <w:lang w:val="en-US" w:eastAsia="zh-CN"/>
              </w:rPr>
            </w:pPr>
            <w:r>
              <w:rPr>
                <w:rFonts w:hAnsi="宋体"/>
                <w:color w:val="auto"/>
                <w:szCs w:val="21"/>
                <w:highlight w:val="none"/>
              </w:rPr>
              <w:t>煤化工技术</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课程性质</w:t>
            </w:r>
          </w:p>
        </w:tc>
        <w:tc>
          <w:tcPr>
            <w:tcW w:w="1994" w:type="dxa"/>
            <w:noWrap/>
            <w:vAlign w:val="center"/>
          </w:tcPr>
          <w:p>
            <w:pPr>
              <w:spacing w:line="360" w:lineRule="auto"/>
              <w:jc w:val="center"/>
              <w:rPr>
                <w:color w:val="auto"/>
                <w:szCs w:val="21"/>
                <w:highlight w:val="none"/>
              </w:rPr>
            </w:pPr>
            <w:r>
              <w:rPr>
                <w:rFonts w:hAnsi="宋体"/>
                <w:color w:val="auto"/>
                <w:szCs w:val="21"/>
                <w:highlight w:val="none"/>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开课学期</w:t>
            </w:r>
          </w:p>
        </w:tc>
        <w:tc>
          <w:tcPr>
            <w:tcW w:w="3274" w:type="dxa"/>
            <w:noWrap/>
            <w:vAlign w:val="center"/>
          </w:tcPr>
          <w:p>
            <w:pPr>
              <w:spacing w:line="360" w:lineRule="auto"/>
              <w:jc w:val="center"/>
              <w:rPr>
                <w:color w:val="auto"/>
                <w:szCs w:val="21"/>
                <w:highlight w:val="none"/>
              </w:rPr>
            </w:pPr>
            <w:r>
              <w:rPr>
                <w:rFonts w:hAnsi="宋体"/>
                <w:color w:val="auto"/>
                <w:szCs w:val="21"/>
                <w:highlight w:val="none"/>
              </w:rPr>
              <w:t>第</w:t>
            </w:r>
            <w:r>
              <w:rPr>
                <w:rFonts w:hint="eastAsia"/>
                <w:color w:val="auto"/>
                <w:szCs w:val="21"/>
                <w:highlight w:val="none"/>
              </w:rPr>
              <w:t>4</w:t>
            </w:r>
            <w:r>
              <w:rPr>
                <w:rFonts w:hAnsi="宋体"/>
                <w:color w:val="auto"/>
                <w:szCs w:val="21"/>
                <w:highlight w:val="none"/>
              </w:rPr>
              <w:t>学期</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学分</w:t>
            </w:r>
          </w:p>
        </w:tc>
        <w:tc>
          <w:tcPr>
            <w:tcW w:w="1994" w:type="dxa"/>
            <w:noWrap/>
            <w:vAlign w:val="center"/>
          </w:tcPr>
          <w:p>
            <w:pPr>
              <w:spacing w:line="360" w:lineRule="auto"/>
              <w:jc w:val="center"/>
              <w:rPr>
                <w:color w:val="auto"/>
                <w:szCs w:val="21"/>
                <w:highlight w:val="none"/>
              </w:rPr>
            </w:pPr>
            <w:r>
              <w:rPr>
                <w:rFonts w:hint="eastAsia"/>
                <w:color w:val="auto"/>
                <w:szCs w:val="21"/>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先行课程</w:t>
            </w:r>
          </w:p>
        </w:tc>
        <w:tc>
          <w:tcPr>
            <w:tcW w:w="3274" w:type="dxa"/>
            <w:noWrap/>
            <w:vAlign w:val="center"/>
          </w:tcPr>
          <w:p>
            <w:pPr>
              <w:spacing w:line="360" w:lineRule="auto"/>
              <w:jc w:val="center"/>
              <w:rPr>
                <w:color w:val="auto"/>
                <w:szCs w:val="21"/>
                <w:highlight w:val="none"/>
              </w:rPr>
            </w:pPr>
            <w:r>
              <w:rPr>
                <w:rFonts w:hAnsi="宋体"/>
                <w:color w:val="auto"/>
                <w:szCs w:val="21"/>
                <w:highlight w:val="none"/>
              </w:rPr>
              <w:t>基础化学，</w:t>
            </w:r>
            <w:r>
              <w:rPr>
                <w:rFonts w:hint="eastAsia" w:hAnsi="宋体"/>
                <w:color w:val="auto"/>
                <w:szCs w:val="21"/>
                <w:highlight w:val="none"/>
              </w:rPr>
              <w:t>化工单元操作，煤化学</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开课单位</w:t>
            </w:r>
          </w:p>
        </w:tc>
        <w:tc>
          <w:tcPr>
            <w:tcW w:w="1994" w:type="dxa"/>
            <w:noWrap/>
            <w:vAlign w:val="center"/>
          </w:tcPr>
          <w:p>
            <w:pPr>
              <w:spacing w:line="360" w:lineRule="auto"/>
              <w:jc w:val="center"/>
              <w:rPr>
                <w:color w:val="auto"/>
                <w:szCs w:val="21"/>
                <w:highlight w:val="none"/>
              </w:rPr>
            </w:pPr>
            <w:r>
              <w:rPr>
                <w:rFonts w:hint="eastAsia" w:hAnsi="宋体"/>
                <w:color w:val="auto"/>
                <w:szCs w:val="21"/>
                <w:highlight w:val="none"/>
              </w:rPr>
              <w:t>晋城职业技术学院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平行课程</w:t>
            </w:r>
          </w:p>
        </w:tc>
        <w:tc>
          <w:tcPr>
            <w:tcW w:w="3274" w:type="dxa"/>
            <w:noWrap/>
            <w:vAlign w:val="center"/>
          </w:tcPr>
          <w:p>
            <w:pPr>
              <w:widowControl/>
              <w:jc w:val="center"/>
              <w:rPr>
                <w:color w:val="auto"/>
                <w:szCs w:val="21"/>
                <w:highlight w:val="none"/>
              </w:rPr>
            </w:pPr>
            <w:r>
              <w:rPr>
                <w:rFonts w:hint="eastAsia"/>
                <w:color w:val="auto"/>
                <w:szCs w:val="21"/>
                <w:highlight w:val="none"/>
              </w:rPr>
              <w:t>煤质分析、无机化工生产技术</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考核类型</w:t>
            </w:r>
          </w:p>
        </w:tc>
        <w:tc>
          <w:tcPr>
            <w:tcW w:w="1994" w:type="dxa"/>
            <w:noWrap/>
            <w:vAlign w:val="center"/>
          </w:tcPr>
          <w:p>
            <w:pPr>
              <w:spacing w:line="360" w:lineRule="auto"/>
              <w:jc w:val="center"/>
              <w:rPr>
                <w:color w:val="auto"/>
                <w:szCs w:val="21"/>
                <w:highlight w:val="none"/>
              </w:rPr>
            </w:pPr>
            <w:r>
              <w:rPr>
                <w:rFonts w:hAnsi="宋体"/>
                <w:color w:val="auto"/>
                <w:szCs w:val="21"/>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后继课程</w:t>
            </w:r>
          </w:p>
        </w:tc>
        <w:tc>
          <w:tcPr>
            <w:tcW w:w="6888" w:type="dxa"/>
            <w:gridSpan w:val="3"/>
            <w:noWrap/>
            <w:vAlign w:val="center"/>
          </w:tcPr>
          <w:p>
            <w:pPr>
              <w:spacing w:line="360" w:lineRule="auto"/>
              <w:jc w:val="center"/>
              <w:rPr>
                <w:color w:val="auto"/>
                <w:szCs w:val="21"/>
                <w:highlight w:val="none"/>
              </w:rPr>
            </w:pPr>
            <w:r>
              <w:rPr>
                <w:rFonts w:hint="eastAsia"/>
                <w:color w:val="auto"/>
                <w:szCs w:val="21"/>
                <w:highlight w:val="none"/>
              </w:rPr>
              <w:t>跟岗实习、顶岗实习</w:t>
            </w:r>
          </w:p>
        </w:tc>
      </w:tr>
    </w:tbl>
    <w:p>
      <w:pPr>
        <w:spacing w:line="360" w:lineRule="auto"/>
        <w:ind w:firstLine="480" w:firstLineChars="200"/>
        <w:rPr>
          <w:rFonts w:ascii="宋体" w:hAnsi="宋体"/>
          <w:color w:val="auto"/>
          <w:sz w:val="24"/>
          <w:highlight w:val="none"/>
        </w:rPr>
      </w:pP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（一）课程性质与定位</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本课程是</w:t>
      </w:r>
      <w:r>
        <w:rPr>
          <w:rFonts w:hint="eastAsia" w:cs="宋体"/>
          <w:color w:val="auto"/>
          <w:sz w:val="24"/>
          <w:highlight w:val="none"/>
        </w:rPr>
        <w:t>煤化工类</w:t>
      </w:r>
      <w:r>
        <w:rPr>
          <w:rFonts w:hint="eastAsia" w:ascii="宋体" w:hAnsi="宋体" w:cs="宋体"/>
          <w:color w:val="auto"/>
          <w:sz w:val="24"/>
          <w:highlight w:val="none"/>
        </w:rPr>
        <w:t>专业的一门必修课。本课的任务是使学生掌握煤化工生产的基本概念，了解煤化工安全生产方面的知识，深化空气深冷液化分离、煤气化、煤液化、甲醇生产技术及煤化学产品加工工艺等方面知识；培养学生的煤化工生产操作方面的专业能力，如正确地确定生产的工艺条件的能力，在煤化工安全生产操作规程下解决生产过程中一般工艺技术问题的能力以及正确操作煤化工的重要设备等；同时注重培养学生的社会能力和方法能力。本课程是在学生完成化工原理、物理化学、有机化学、无机化学、煤化学等基础课的学习后开设的，并通过专业实训与仿真实训强化学生的专业技能。</w:t>
      </w:r>
    </w:p>
    <w:p>
      <w:pPr>
        <w:spacing w:line="360" w:lineRule="auto"/>
        <w:ind w:firstLine="300" w:firstLineChars="100"/>
        <w:rPr>
          <w:rFonts w:hint="eastAsia" w:ascii="黑体" w:hAnsi="黑体" w:eastAsia="黑体" w:cs="黑体"/>
          <w:bCs/>
          <w:color w:val="auto"/>
          <w:sz w:val="30"/>
          <w:szCs w:val="30"/>
          <w:highlight w:val="none"/>
          <w:lang w:eastAsia="zh-CN"/>
        </w:rPr>
      </w:pPr>
      <w:bookmarkStart w:id="92" w:name="_Hlk17145693"/>
      <w:r>
        <w:rPr>
          <w:rFonts w:hint="eastAsia" w:ascii="黑体" w:hAnsi="黑体" w:eastAsia="黑体" w:cs="黑体"/>
          <w:bCs/>
          <w:color w:val="auto"/>
          <w:sz w:val="30"/>
          <w:szCs w:val="30"/>
          <w:highlight w:val="none"/>
          <w:lang w:eastAsia="zh-CN"/>
        </w:rPr>
        <w:t>（二）课程设计理念</w:t>
      </w:r>
    </w:p>
    <w:bookmarkEnd w:id="92"/>
    <w:p>
      <w:pPr>
        <w:pStyle w:val="13"/>
        <w:spacing w:beforeAutospacing="0" w:afterAutospacing="0" w:line="480" w:lineRule="atLeast"/>
        <w:ind w:firstLine="480"/>
        <w:textAlignment w:val="baseline"/>
        <w:rPr>
          <w:color w:val="auto"/>
          <w:highlight w:val="none"/>
        </w:rPr>
      </w:pPr>
      <w:r>
        <w:rPr>
          <w:rFonts w:ascii="&amp;quot" w:hAnsi="&amp;quot" w:eastAsia="&amp;quot" w:cs="&amp;quot"/>
          <w:color w:val="auto"/>
          <w:highlight w:val="none"/>
        </w:rPr>
        <w:t>《</w:t>
      </w:r>
      <w:r>
        <w:rPr>
          <w:rFonts w:hint="eastAsia" w:ascii="&amp;quot" w:hAnsi="&amp;quot" w:eastAsia="宋体" w:cs="&amp;quot"/>
          <w:color w:val="auto"/>
          <w:highlight w:val="none"/>
        </w:rPr>
        <w:t>现代</w:t>
      </w:r>
      <w:r>
        <w:rPr>
          <w:rFonts w:ascii="&amp;quot" w:hAnsi="&amp;quot" w:eastAsia="&amp;quot" w:cs="&amp;quot"/>
          <w:color w:val="auto"/>
          <w:highlight w:val="none"/>
        </w:rPr>
        <w:t>煤化工技术》是以对企业技术骨干和管理人员关于工作任务的调查分析为依据，确立课程教学目标和内容；以培养就业能力为导向，课程内容与职业资格取证要求融通；以典型工作任务分析为基础，构建总体能力目标、具体能力目标和知识目标 。煤化工生产技术专业是以就业为导向、职业能力培养为目标，培养具有较强实践动手能力，具备必须的文化基础知识、煤化工工艺基本理论和从事煤化工生产操作、工艺运</w:t>
      </w:r>
      <w:r>
        <w:rPr>
          <w:rFonts w:hint="eastAsia"/>
          <w:color w:val="auto"/>
          <w:highlight w:val="none"/>
        </w:rPr>
        <w:t xml:space="preserve">行、技术管理等工作的职业能力和综合素质，在生产、建设、管理、服务等一线工作精工艺、懂设备、懂管理的高素质技能型专门人才。 </w:t>
      </w:r>
    </w:p>
    <w:p>
      <w:pPr>
        <w:pStyle w:val="13"/>
        <w:spacing w:beforeAutospacing="0" w:afterAutospacing="0" w:line="480" w:lineRule="atLeast"/>
        <w:ind w:firstLine="480"/>
        <w:textAlignment w:val="baseline"/>
        <w:rPr>
          <w:rFonts w:ascii="&amp;quot" w:hAnsi="&amp;quot" w:eastAsia="&amp;quot" w:cs="&amp;quot"/>
          <w:color w:val="auto"/>
          <w:highlight w:val="none"/>
        </w:rPr>
      </w:pPr>
      <w:r>
        <w:rPr>
          <w:rFonts w:hint="eastAsia"/>
          <w:color w:val="auto"/>
          <w:highlight w:val="none"/>
        </w:rPr>
        <w:t>按工作任务工作岗位进行任务分解，形成6个学习情景：空气深冷液化分离；煤焦化技术；煤气化技术；煤液化技术；合成气合成天然气与甲醇技术；甲醇合成其他化学产品技术。对工作过程的实施以工学结合方式实现。在教学安排上，按周数进行。采用教师授课、实训室实习、下厂参观及及顶岗操作，便于原理讲授与操作训练相结合。每个学习情境内选取典型的工作任务，在教师指导下，课堂传授专业知识、课下掌</w:t>
      </w:r>
      <w:r>
        <w:rPr>
          <w:rFonts w:ascii="&amp;quot" w:hAnsi="&amp;quot" w:eastAsia="&amp;quot" w:cs="&amp;quot"/>
          <w:color w:val="auto"/>
          <w:highlight w:val="none"/>
        </w:rPr>
        <w:t>握专业技能，把教师的教学过程与学生的学习过程、企业生产与工作过程联系起来，使学习内容充分体现企业实际需要，让学生在生产任务实施中训练操作技能、团队合作和沟通技能、工作能力和方法能力，体验企业工作过程和氛围，构建知识。在教学过程中，教师起指导、咨询作用，让学生有充分的机会自行处理项目实施中出现的各种问题。</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（三）课程目标</w:t>
      </w:r>
    </w:p>
    <w:p>
      <w:pPr>
        <w:spacing w:line="360" w:lineRule="auto"/>
        <w:ind w:firstLine="480" w:firstLineChars="200"/>
        <w:rPr>
          <w:rFonts w:ascii="Calibri" w:hAnsi="Calibri"/>
          <w:color w:val="auto"/>
          <w:sz w:val="24"/>
          <w:highlight w:val="none"/>
        </w:rPr>
      </w:pPr>
      <w:r>
        <w:rPr>
          <w:rFonts w:hint="eastAsia" w:ascii="Calibri" w:hAnsi="Calibri"/>
          <w:color w:val="auto"/>
          <w:sz w:val="24"/>
          <w:highlight w:val="none"/>
        </w:rPr>
        <w:t>本课程的目标是：使学生具备高素质的煤化工技术专门人才所必需的无机化工生产技术基础知识、基本原理及生产技术。能够进行正常岗位操作、开停车操作等生产操作。通过课程学习，培养学生的专业能力、方法能力和社会能力。</w:t>
      </w:r>
    </w:p>
    <w:p>
      <w:pPr>
        <w:spacing w:line="360" w:lineRule="auto"/>
        <w:ind w:firstLine="480" w:firstLineChars="200"/>
        <w:rPr>
          <w:rFonts w:ascii="Calibri" w:hAnsi="Calibri"/>
          <w:color w:val="auto"/>
          <w:sz w:val="24"/>
          <w:highlight w:val="none"/>
        </w:rPr>
      </w:pPr>
      <w:r>
        <w:rPr>
          <w:rFonts w:hint="eastAsia" w:ascii="Calibri" w:hAnsi="Calibri"/>
          <w:color w:val="auto"/>
          <w:sz w:val="24"/>
          <w:highlight w:val="none"/>
        </w:rPr>
        <w:t>1</w:t>
      </w:r>
      <w:r>
        <w:rPr>
          <w:rFonts w:hint="eastAsia" w:ascii="Calibri" w:hAnsi="Calibri"/>
          <w:color w:val="auto"/>
          <w:sz w:val="24"/>
          <w:highlight w:val="none"/>
          <w:lang w:eastAsia="zh-CN"/>
        </w:rPr>
        <w:t>.</w:t>
      </w:r>
      <w:r>
        <w:rPr>
          <w:rFonts w:hint="eastAsia" w:ascii="Calibri" w:hAnsi="Calibri"/>
          <w:color w:val="auto"/>
          <w:sz w:val="24"/>
          <w:highlight w:val="none"/>
        </w:rPr>
        <w:t>专业知识目标</w:t>
      </w:r>
    </w:p>
    <w:p>
      <w:pPr>
        <w:pStyle w:val="13"/>
        <w:spacing w:beforeAutospacing="0" w:afterAutospacing="0" w:line="480" w:lineRule="atLeast"/>
        <w:ind w:firstLine="480"/>
        <w:textAlignment w:val="baseline"/>
        <w:rPr>
          <w:rFonts w:ascii="Calibri" w:hAnsi="Calibri"/>
          <w:color w:val="auto"/>
          <w:kern w:val="2"/>
          <w:highlight w:val="none"/>
        </w:rPr>
      </w:pPr>
      <w:r>
        <w:rPr>
          <w:rFonts w:ascii="Calibri" w:hAnsi="Calibri"/>
          <w:color w:val="auto"/>
          <w:kern w:val="2"/>
          <w:highlight w:val="none"/>
        </w:rPr>
        <w:t>(1)掌握典型煤化工产品生产工艺和原理；</w:t>
      </w:r>
    </w:p>
    <w:p>
      <w:pPr>
        <w:pStyle w:val="13"/>
        <w:spacing w:beforeAutospacing="0" w:afterAutospacing="0" w:line="480" w:lineRule="atLeast"/>
        <w:ind w:firstLine="480"/>
        <w:textAlignment w:val="baseline"/>
        <w:rPr>
          <w:rFonts w:ascii="Calibri" w:hAnsi="Calibri"/>
          <w:color w:val="auto"/>
          <w:kern w:val="2"/>
          <w:highlight w:val="none"/>
        </w:rPr>
      </w:pPr>
      <w:r>
        <w:rPr>
          <w:rFonts w:ascii="Calibri" w:hAnsi="Calibri"/>
          <w:color w:val="auto"/>
          <w:kern w:val="2"/>
          <w:highlight w:val="none"/>
        </w:rPr>
        <w:t>(2)熟悉工艺参数对生产操作过程的影响；</w:t>
      </w:r>
    </w:p>
    <w:p>
      <w:pPr>
        <w:pStyle w:val="13"/>
        <w:spacing w:beforeAutospacing="0" w:afterAutospacing="0" w:line="480" w:lineRule="atLeast"/>
        <w:ind w:firstLine="480"/>
        <w:textAlignment w:val="baseline"/>
        <w:rPr>
          <w:rFonts w:ascii="Calibri" w:hAnsi="Calibri"/>
          <w:color w:val="auto"/>
          <w:kern w:val="2"/>
          <w:highlight w:val="none"/>
        </w:rPr>
      </w:pPr>
      <w:r>
        <w:rPr>
          <w:rFonts w:ascii="Calibri" w:hAnsi="Calibri"/>
          <w:color w:val="auto"/>
          <w:kern w:val="2"/>
          <w:highlight w:val="none"/>
        </w:rPr>
        <w:t>(3)熟知煤化工设备的结构组成与操作原理；</w:t>
      </w:r>
    </w:p>
    <w:p>
      <w:pPr>
        <w:pStyle w:val="13"/>
        <w:spacing w:beforeAutospacing="0" w:afterAutospacing="0" w:line="480" w:lineRule="atLeast"/>
        <w:ind w:firstLine="480"/>
        <w:textAlignment w:val="baseline"/>
        <w:rPr>
          <w:rFonts w:ascii="Calibri" w:hAnsi="Calibri"/>
          <w:color w:val="auto"/>
          <w:kern w:val="2"/>
          <w:highlight w:val="none"/>
        </w:rPr>
      </w:pPr>
      <w:r>
        <w:rPr>
          <w:rFonts w:ascii="Calibri" w:hAnsi="Calibri"/>
          <w:color w:val="auto"/>
          <w:kern w:val="2"/>
          <w:highlight w:val="none"/>
        </w:rPr>
        <w:t xml:space="preserve">(4)掌握煤加工的工艺流程； </w:t>
      </w:r>
    </w:p>
    <w:p>
      <w:pPr>
        <w:pStyle w:val="13"/>
        <w:spacing w:beforeAutospacing="0" w:afterAutospacing="0" w:line="480" w:lineRule="atLeast"/>
        <w:ind w:firstLine="480"/>
        <w:textAlignment w:val="baseline"/>
        <w:rPr>
          <w:rFonts w:ascii="Calibri" w:hAnsi="Calibri"/>
          <w:color w:val="auto"/>
          <w:kern w:val="2"/>
          <w:highlight w:val="none"/>
        </w:rPr>
      </w:pPr>
      <w:r>
        <w:rPr>
          <w:rFonts w:ascii="Calibri" w:hAnsi="Calibri"/>
          <w:color w:val="auto"/>
          <w:kern w:val="2"/>
          <w:highlight w:val="none"/>
        </w:rPr>
        <w:t>(5)了解典型煤化工产品的性质组成；</w:t>
      </w:r>
    </w:p>
    <w:p>
      <w:pPr>
        <w:spacing w:line="360" w:lineRule="auto"/>
        <w:ind w:firstLine="480" w:firstLineChars="200"/>
        <w:rPr>
          <w:rFonts w:ascii="Calibri" w:hAnsi="Calibri"/>
          <w:color w:val="auto"/>
          <w:sz w:val="24"/>
          <w:highlight w:val="none"/>
        </w:rPr>
      </w:pPr>
      <w:r>
        <w:rPr>
          <w:rFonts w:hint="eastAsia" w:ascii="Calibri" w:hAnsi="Calibri"/>
          <w:color w:val="auto"/>
          <w:sz w:val="24"/>
          <w:highlight w:val="none"/>
        </w:rPr>
        <w:t>2</w:t>
      </w:r>
      <w:r>
        <w:rPr>
          <w:rFonts w:hint="eastAsia" w:ascii="Calibri" w:hAnsi="Calibri"/>
          <w:color w:val="auto"/>
          <w:sz w:val="24"/>
          <w:highlight w:val="none"/>
          <w:lang w:eastAsia="zh-CN"/>
        </w:rPr>
        <w:t>.</w:t>
      </w:r>
      <w:r>
        <w:rPr>
          <w:rFonts w:hint="eastAsia" w:ascii="Calibri" w:hAnsi="Calibri"/>
          <w:color w:val="auto"/>
          <w:sz w:val="24"/>
          <w:highlight w:val="none"/>
        </w:rPr>
        <w:t>方法能力目标</w:t>
      </w:r>
    </w:p>
    <w:p>
      <w:pPr>
        <w:pStyle w:val="13"/>
        <w:spacing w:beforeAutospacing="0" w:afterAutospacing="0" w:line="480" w:lineRule="atLeast"/>
        <w:ind w:firstLine="480"/>
        <w:textAlignment w:val="baseline"/>
        <w:rPr>
          <w:rFonts w:ascii="Calibri" w:hAnsi="Calibri"/>
          <w:color w:val="auto"/>
          <w:kern w:val="2"/>
          <w:highlight w:val="none"/>
        </w:rPr>
      </w:pPr>
      <w:r>
        <w:rPr>
          <w:rFonts w:ascii="Calibri" w:hAnsi="Calibri"/>
          <w:color w:val="auto"/>
          <w:kern w:val="2"/>
          <w:highlight w:val="none"/>
        </w:rPr>
        <w:t>(1)能掌握典型产品生产的开车、正常运行、停车的操作方法；</w:t>
      </w:r>
    </w:p>
    <w:p>
      <w:pPr>
        <w:pStyle w:val="13"/>
        <w:spacing w:beforeAutospacing="0" w:afterAutospacing="0" w:line="480" w:lineRule="atLeast"/>
        <w:ind w:firstLine="480"/>
        <w:textAlignment w:val="baseline"/>
        <w:rPr>
          <w:rFonts w:ascii="Calibri" w:hAnsi="Calibri"/>
          <w:color w:val="auto"/>
          <w:kern w:val="2"/>
          <w:highlight w:val="none"/>
        </w:rPr>
      </w:pPr>
      <w:r>
        <w:rPr>
          <w:rFonts w:ascii="Calibri" w:hAnsi="Calibri"/>
          <w:color w:val="auto"/>
          <w:kern w:val="2"/>
          <w:highlight w:val="none"/>
        </w:rPr>
        <w:t>(2)能具备操作过程中工艺参数的调节能力；</w:t>
      </w:r>
    </w:p>
    <w:p>
      <w:pPr>
        <w:pStyle w:val="13"/>
        <w:spacing w:beforeAutospacing="0" w:afterAutospacing="0" w:line="480" w:lineRule="atLeast"/>
        <w:ind w:firstLine="480"/>
        <w:textAlignment w:val="baseline"/>
        <w:rPr>
          <w:rFonts w:ascii="Calibri" w:hAnsi="Calibri"/>
          <w:color w:val="auto"/>
          <w:kern w:val="2"/>
          <w:highlight w:val="none"/>
        </w:rPr>
      </w:pPr>
      <w:r>
        <w:rPr>
          <w:rFonts w:ascii="Calibri" w:hAnsi="Calibri"/>
          <w:color w:val="auto"/>
          <w:kern w:val="2"/>
          <w:highlight w:val="none"/>
        </w:rPr>
        <w:t>(3)能按生产自动控制运行规程操作；</w:t>
      </w:r>
    </w:p>
    <w:p>
      <w:pPr>
        <w:pStyle w:val="13"/>
        <w:spacing w:beforeAutospacing="0" w:afterAutospacing="0" w:line="480" w:lineRule="atLeast"/>
        <w:ind w:firstLine="480"/>
        <w:textAlignment w:val="baseline"/>
        <w:rPr>
          <w:rFonts w:ascii="Calibri" w:hAnsi="Calibri"/>
          <w:color w:val="auto"/>
          <w:kern w:val="2"/>
          <w:highlight w:val="none"/>
        </w:rPr>
      </w:pPr>
      <w:r>
        <w:rPr>
          <w:rFonts w:ascii="Calibri" w:hAnsi="Calibri"/>
          <w:color w:val="auto"/>
          <w:kern w:val="2"/>
          <w:highlight w:val="none"/>
        </w:rPr>
        <w:t>(4)能进行事故判断与处理的技能；</w:t>
      </w:r>
    </w:p>
    <w:p>
      <w:pPr>
        <w:pStyle w:val="13"/>
        <w:spacing w:beforeAutospacing="0" w:afterAutospacing="0" w:line="480" w:lineRule="atLeast"/>
        <w:ind w:firstLine="480"/>
        <w:textAlignment w:val="baseline"/>
        <w:rPr>
          <w:rFonts w:ascii="Calibri" w:hAnsi="Calibri"/>
          <w:color w:val="auto"/>
          <w:kern w:val="2"/>
          <w:highlight w:val="none"/>
        </w:rPr>
      </w:pPr>
      <w:r>
        <w:rPr>
          <w:rFonts w:ascii="Calibri" w:hAnsi="Calibri"/>
          <w:color w:val="auto"/>
          <w:kern w:val="2"/>
          <w:highlight w:val="none"/>
        </w:rPr>
        <w:t xml:space="preserve">(5)能读取和绘制生产工艺流程图； </w:t>
      </w:r>
    </w:p>
    <w:p>
      <w:pPr>
        <w:pStyle w:val="13"/>
        <w:spacing w:beforeAutospacing="0" w:afterAutospacing="0" w:line="480" w:lineRule="atLeast"/>
        <w:ind w:firstLine="480"/>
        <w:textAlignment w:val="baseline"/>
        <w:rPr>
          <w:rFonts w:ascii="Calibri" w:hAnsi="Calibri"/>
          <w:color w:val="auto"/>
          <w:kern w:val="2"/>
          <w:highlight w:val="none"/>
        </w:rPr>
      </w:pPr>
      <w:r>
        <w:rPr>
          <w:rFonts w:ascii="Calibri" w:hAnsi="Calibri"/>
          <w:color w:val="auto"/>
          <w:kern w:val="2"/>
          <w:highlight w:val="none"/>
        </w:rPr>
        <w:t>(6)能检验产品质量并对结果进行分析评价；</w:t>
      </w:r>
    </w:p>
    <w:p>
      <w:pPr>
        <w:pStyle w:val="13"/>
        <w:spacing w:beforeAutospacing="0" w:afterAutospacing="0" w:line="480" w:lineRule="atLeast"/>
        <w:ind w:firstLine="480"/>
        <w:textAlignment w:val="baseline"/>
        <w:rPr>
          <w:rFonts w:ascii="Calibri" w:hAnsi="Calibri"/>
          <w:color w:val="auto"/>
          <w:kern w:val="2"/>
          <w:highlight w:val="none"/>
        </w:rPr>
      </w:pPr>
      <w:r>
        <w:rPr>
          <w:rFonts w:ascii="Calibri" w:hAnsi="Calibri"/>
          <w:color w:val="auto"/>
          <w:kern w:val="2"/>
          <w:highlight w:val="none"/>
        </w:rPr>
        <w:t xml:space="preserve">(7)能正确处理实验数据及准确报告实验结果； </w:t>
      </w:r>
    </w:p>
    <w:p>
      <w:pPr>
        <w:pStyle w:val="13"/>
        <w:spacing w:beforeAutospacing="0" w:afterAutospacing="0" w:line="480" w:lineRule="atLeast"/>
        <w:ind w:firstLine="480"/>
        <w:textAlignment w:val="baseline"/>
        <w:rPr>
          <w:rFonts w:ascii="Calibri" w:hAnsi="Calibri"/>
          <w:color w:val="auto"/>
          <w:kern w:val="2"/>
          <w:highlight w:val="none"/>
        </w:rPr>
      </w:pPr>
      <w:r>
        <w:rPr>
          <w:rFonts w:ascii="Calibri" w:hAnsi="Calibri"/>
          <w:color w:val="auto"/>
          <w:kern w:val="2"/>
          <w:highlight w:val="none"/>
        </w:rPr>
        <w:t>(8)能遵守实验室各项安全守则，安全、环保地进行实验操作。</w:t>
      </w:r>
    </w:p>
    <w:p>
      <w:pPr>
        <w:pStyle w:val="13"/>
        <w:spacing w:beforeAutospacing="0" w:afterAutospacing="0" w:line="480" w:lineRule="atLeast"/>
        <w:ind w:firstLine="480"/>
        <w:textAlignment w:val="baseline"/>
        <w:rPr>
          <w:rFonts w:ascii="Calibri" w:hAnsi="Calibri"/>
          <w:color w:val="auto"/>
          <w:kern w:val="2"/>
          <w:highlight w:val="none"/>
        </w:rPr>
      </w:pPr>
      <w:r>
        <w:rPr>
          <w:rFonts w:hint="eastAsia" w:ascii="Calibri" w:hAnsi="Calibri"/>
          <w:color w:val="auto"/>
          <w:kern w:val="2"/>
          <w:highlight w:val="none"/>
        </w:rPr>
        <w:t>3</w:t>
      </w:r>
      <w:r>
        <w:rPr>
          <w:rFonts w:hint="eastAsia" w:ascii="Calibri" w:hAnsi="Calibri"/>
          <w:color w:val="auto"/>
          <w:kern w:val="2"/>
          <w:highlight w:val="none"/>
          <w:lang w:eastAsia="zh-CN"/>
        </w:rPr>
        <w:t>.</w:t>
      </w:r>
      <w:r>
        <w:rPr>
          <w:rFonts w:hint="eastAsia" w:ascii="Calibri" w:hAnsi="Calibri"/>
          <w:color w:val="auto"/>
          <w:kern w:val="2"/>
          <w:highlight w:val="none"/>
        </w:rPr>
        <w:t>社会能力目标</w:t>
      </w:r>
    </w:p>
    <w:p>
      <w:pPr>
        <w:pStyle w:val="13"/>
        <w:spacing w:beforeAutospacing="0" w:afterAutospacing="0" w:line="480" w:lineRule="atLeast"/>
        <w:ind w:firstLine="480"/>
        <w:textAlignment w:val="baseline"/>
        <w:rPr>
          <w:rFonts w:ascii="Calibri" w:hAnsi="Calibri"/>
          <w:color w:val="auto"/>
          <w:kern w:val="2"/>
          <w:highlight w:val="none"/>
        </w:rPr>
      </w:pPr>
      <w:r>
        <w:rPr>
          <w:rFonts w:hint="eastAsia" w:ascii="Calibri" w:hAnsi="Calibri"/>
          <w:color w:val="auto"/>
          <w:kern w:val="2"/>
          <w:highlight w:val="none"/>
        </w:rPr>
        <w:t>（1）具有较好的人际沟通能力，能主动、热情、认真地进行工作交接；</w:t>
      </w:r>
    </w:p>
    <w:p>
      <w:pPr>
        <w:pStyle w:val="13"/>
        <w:spacing w:beforeAutospacing="0" w:afterAutospacing="0" w:line="480" w:lineRule="atLeast"/>
        <w:ind w:firstLine="480"/>
        <w:textAlignment w:val="baseline"/>
        <w:rPr>
          <w:rFonts w:ascii="Calibri" w:hAnsi="Calibri"/>
          <w:color w:val="auto"/>
          <w:kern w:val="2"/>
          <w:highlight w:val="none"/>
        </w:rPr>
      </w:pPr>
      <w:r>
        <w:rPr>
          <w:rFonts w:hint="eastAsia" w:ascii="Calibri" w:hAnsi="Calibri"/>
          <w:color w:val="auto"/>
          <w:kern w:val="2"/>
          <w:highlight w:val="none"/>
        </w:rPr>
        <w:t>（2）具有“爱国、创业、求实、奉献”的大庆精神；</w:t>
      </w:r>
    </w:p>
    <w:p>
      <w:pPr>
        <w:pStyle w:val="13"/>
        <w:spacing w:beforeAutospacing="0" w:afterAutospacing="0" w:line="480" w:lineRule="atLeast"/>
        <w:ind w:firstLine="480"/>
        <w:textAlignment w:val="baseline"/>
        <w:rPr>
          <w:rFonts w:ascii="Calibri" w:hAnsi="Calibri"/>
          <w:color w:val="auto"/>
          <w:kern w:val="2"/>
          <w:highlight w:val="none"/>
        </w:rPr>
      </w:pPr>
      <w:r>
        <w:rPr>
          <w:rFonts w:hint="eastAsia" w:ascii="Calibri" w:hAnsi="Calibri"/>
          <w:color w:val="auto"/>
          <w:kern w:val="2"/>
          <w:highlight w:val="none"/>
        </w:rPr>
        <w:t>（3）具有严谨的工作作风和实事求是的工作态度；</w:t>
      </w:r>
    </w:p>
    <w:p>
      <w:pPr>
        <w:pStyle w:val="13"/>
        <w:spacing w:beforeAutospacing="0" w:afterAutospacing="0" w:line="480" w:lineRule="atLeast"/>
        <w:ind w:firstLine="480"/>
        <w:textAlignment w:val="baseline"/>
        <w:rPr>
          <w:rFonts w:ascii="Calibri" w:hAnsi="Calibri"/>
          <w:color w:val="auto"/>
          <w:kern w:val="2"/>
          <w:highlight w:val="none"/>
        </w:rPr>
      </w:pPr>
      <w:r>
        <w:rPr>
          <w:rFonts w:hint="eastAsia" w:ascii="Calibri" w:hAnsi="Calibri"/>
          <w:color w:val="auto"/>
          <w:kern w:val="2"/>
          <w:highlight w:val="none"/>
        </w:rPr>
        <w:t>（4）具有一定的组织管理能力和团队协作能力。</w:t>
      </w:r>
    </w:p>
    <w:p>
      <w:pPr>
        <w:spacing w:line="360" w:lineRule="auto"/>
        <w:ind w:firstLine="300" w:firstLineChars="100"/>
        <w:rPr>
          <w:rFonts w:hint="default" w:ascii="黑体" w:hAnsi="黑体" w:eastAsia="黑体" w:cs="黑体"/>
          <w:bCs/>
          <w:color w:val="auto"/>
          <w:sz w:val="30"/>
          <w:szCs w:val="30"/>
          <w:highlight w:val="none"/>
          <w:lang w:val="en-US" w:eastAsia="zh-CN"/>
        </w:rPr>
      </w:pPr>
      <w:r>
        <w:rPr>
          <w:rFonts w:hint="eastAsia" w:ascii="黑体" w:hAnsi="黑体" w:eastAsia="黑体" w:cs="黑体"/>
          <w:bCs/>
          <w:color w:val="auto"/>
          <w:sz w:val="30"/>
          <w:szCs w:val="30"/>
          <w:highlight w:val="none"/>
          <w:lang w:eastAsia="zh-CN"/>
        </w:rPr>
        <w:t>（四）课程教学内容及学时分配</w:t>
      </w:r>
    </w:p>
    <w:p>
      <w:pPr>
        <w:spacing w:line="360" w:lineRule="auto"/>
        <w:jc w:val="center"/>
        <w:rPr>
          <w:rFonts w:ascii="宋体" w:hAnsi="宋体"/>
          <w:color w:val="auto"/>
          <w:sz w:val="24"/>
          <w:highlight w:val="none"/>
        </w:rPr>
      </w:pPr>
      <w:r>
        <w:rPr>
          <w:rFonts w:hint="eastAsia" w:ascii="宋体" w:hAnsi="宋体"/>
          <w:color w:val="auto"/>
          <w:sz w:val="24"/>
          <w:highlight w:val="none"/>
        </w:rPr>
        <w:t>4.</w:t>
      </w:r>
      <w:r>
        <w:rPr>
          <w:rFonts w:ascii="宋体" w:hAnsi="宋体"/>
          <w:color w:val="auto"/>
          <w:sz w:val="24"/>
          <w:highlight w:val="none"/>
        </w:rPr>
        <w:t>7</w:t>
      </w:r>
      <w:r>
        <w:rPr>
          <w:rFonts w:hint="eastAsia" w:ascii="宋体" w:hAnsi="宋体"/>
          <w:color w:val="auto"/>
          <w:sz w:val="24"/>
          <w:highlight w:val="none"/>
        </w:rPr>
        <w:t xml:space="preserve"> </w:t>
      </w:r>
      <w:r>
        <w:rPr>
          <w:rFonts w:hint="eastAsia" w:ascii="宋体" w:hAnsi="宋体"/>
          <w:color w:val="auto"/>
          <w:kern w:val="0"/>
          <w:sz w:val="24"/>
          <w:highlight w:val="none"/>
        </w:rPr>
        <w:t>《现在</w:t>
      </w:r>
      <w:r>
        <w:rPr>
          <w:rFonts w:ascii="&amp;quot" w:hAnsi="&amp;quot" w:eastAsia="&amp;quot" w:cs="&amp;quot"/>
          <w:color w:val="auto"/>
          <w:sz w:val="24"/>
          <w:highlight w:val="none"/>
        </w:rPr>
        <w:t>煤化工技术</w:t>
      </w:r>
      <w:r>
        <w:rPr>
          <w:rFonts w:hint="eastAsia" w:ascii="宋体" w:hAnsi="宋体"/>
          <w:color w:val="auto"/>
          <w:kern w:val="0"/>
          <w:sz w:val="24"/>
          <w:highlight w:val="none"/>
        </w:rPr>
        <w:t>》</w:t>
      </w:r>
      <w:r>
        <w:rPr>
          <w:rFonts w:hAnsi="宋体"/>
          <w:color w:val="auto"/>
          <w:kern w:val="0"/>
          <w:sz w:val="24"/>
          <w:highlight w:val="none"/>
        </w:rPr>
        <w:t>课程教学内容及学时安排</w:t>
      </w:r>
    </w:p>
    <w:tbl>
      <w:tblPr>
        <w:tblStyle w:val="14"/>
        <w:tblW w:w="8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3461"/>
        <w:gridCol w:w="2601"/>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1250" w:type="dxa"/>
            <w:noWrap/>
            <w:vAlign w:val="center"/>
          </w:tcPr>
          <w:p>
            <w:pPr>
              <w:pStyle w:val="7"/>
              <w:snapToGrid w:val="0"/>
              <w:spacing w:line="360" w:lineRule="auto"/>
              <w:jc w:val="center"/>
              <w:rPr>
                <w:rFonts w:ascii="Times New Roman" w:hAnsi="Times New Roman" w:cs="Times New Roman"/>
                <w:b/>
                <w:color w:val="auto"/>
                <w:highlight w:val="none"/>
              </w:rPr>
            </w:pPr>
            <w:r>
              <w:rPr>
                <w:rFonts w:ascii="Times New Roman" w:hAnsi="宋体" w:cs="Times New Roman"/>
                <w:b/>
                <w:color w:val="auto"/>
                <w:highlight w:val="none"/>
              </w:rPr>
              <w:t>项目任务</w:t>
            </w:r>
          </w:p>
        </w:tc>
        <w:tc>
          <w:tcPr>
            <w:tcW w:w="3461" w:type="dxa"/>
            <w:noWrap/>
            <w:vAlign w:val="center"/>
          </w:tcPr>
          <w:p>
            <w:pPr>
              <w:pStyle w:val="7"/>
              <w:snapToGrid w:val="0"/>
              <w:spacing w:line="360" w:lineRule="auto"/>
              <w:jc w:val="center"/>
              <w:rPr>
                <w:rFonts w:ascii="Times New Roman" w:hAnsi="Times New Roman" w:cs="Times New Roman"/>
                <w:b/>
                <w:color w:val="auto"/>
                <w:highlight w:val="none"/>
              </w:rPr>
            </w:pPr>
            <w:r>
              <w:rPr>
                <w:rFonts w:ascii="Times New Roman" w:hAnsi="宋体" w:cs="Times New Roman"/>
                <w:b/>
                <w:color w:val="auto"/>
                <w:highlight w:val="none"/>
              </w:rPr>
              <w:t>学习情境描述及目标</w:t>
            </w:r>
          </w:p>
        </w:tc>
        <w:tc>
          <w:tcPr>
            <w:tcW w:w="2601" w:type="dxa"/>
            <w:noWrap/>
            <w:vAlign w:val="center"/>
          </w:tcPr>
          <w:p>
            <w:pPr>
              <w:pStyle w:val="7"/>
              <w:snapToGrid w:val="0"/>
              <w:spacing w:line="360" w:lineRule="auto"/>
              <w:jc w:val="center"/>
              <w:rPr>
                <w:rFonts w:ascii="Times New Roman" w:hAnsi="Times New Roman" w:cs="Times New Roman"/>
                <w:b/>
                <w:color w:val="auto"/>
                <w:highlight w:val="none"/>
              </w:rPr>
            </w:pPr>
            <w:r>
              <w:rPr>
                <w:rFonts w:ascii="Times New Roman" w:hAnsi="宋体" w:cs="Times New Roman"/>
                <w:b/>
                <w:color w:val="auto"/>
                <w:highlight w:val="none"/>
              </w:rPr>
              <w:t>学习内容</w:t>
            </w:r>
          </w:p>
        </w:tc>
        <w:tc>
          <w:tcPr>
            <w:tcW w:w="868" w:type="dxa"/>
            <w:noWrap/>
            <w:vAlign w:val="center"/>
          </w:tcPr>
          <w:p>
            <w:pPr>
              <w:pStyle w:val="7"/>
              <w:snapToGrid w:val="0"/>
              <w:spacing w:line="360" w:lineRule="auto"/>
              <w:jc w:val="center"/>
              <w:rPr>
                <w:rFonts w:ascii="Times New Roman" w:hAnsi="Times New Roman" w:cs="Times New Roman"/>
                <w:b/>
                <w:color w:val="auto"/>
                <w:highlight w:val="none"/>
              </w:rPr>
            </w:pPr>
            <w:r>
              <w:rPr>
                <w:rFonts w:ascii="Times New Roman" w:hAnsi="宋体" w:cs="Times New Roman"/>
                <w:b/>
                <w:color w:val="auto"/>
                <w:highlight w:val="none"/>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pStyle w:val="7"/>
              <w:snapToGrid w:val="0"/>
              <w:spacing w:line="360" w:lineRule="auto"/>
              <w:jc w:val="center"/>
              <w:rPr>
                <w:rFonts w:ascii="Calibri" w:hAnsi="Calibri" w:cs="Times New Roman"/>
                <w:color w:val="auto"/>
                <w:highlight w:val="none"/>
              </w:rPr>
            </w:pPr>
            <w:r>
              <w:rPr>
                <w:rFonts w:hint="eastAsia" w:ascii="Calibri" w:hAnsi="Calibri" w:cs="Times New Roman"/>
                <w:color w:val="auto"/>
                <w:highlight w:val="none"/>
              </w:rPr>
              <w:t>绪论</w:t>
            </w:r>
          </w:p>
        </w:tc>
        <w:tc>
          <w:tcPr>
            <w:tcW w:w="3461" w:type="dxa"/>
            <w:noWrap/>
            <w:vAlign w:val="center"/>
          </w:tcPr>
          <w:p>
            <w:pPr>
              <w:pStyle w:val="7"/>
              <w:snapToGrid w:val="0"/>
              <w:spacing w:line="360" w:lineRule="auto"/>
              <w:jc w:val="left"/>
              <w:rPr>
                <w:rFonts w:ascii="Calibri" w:hAnsi="Calibri" w:cs="Times New Roman"/>
                <w:color w:val="auto"/>
                <w:highlight w:val="none"/>
              </w:rPr>
            </w:pPr>
            <w:r>
              <w:rPr>
                <w:rFonts w:hint="eastAsia" w:ascii="Calibri" w:hAnsi="Calibri" w:cs="Times New Roman"/>
                <w:color w:val="auto"/>
                <w:highlight w:val="none"/>
              </w:rPr>
              <w:t>了解煤化工工业发展历史、煤化工工业在国民经济中的地位，煤化工发展趋势。掌握化学加工工业的基本概况、特点，掌握石油、煤、天然气等能源概况。</w:t>
            </w:r>
          </w:p>
        </w:tc>
        <w:tc>
          <w:tcPr>
            <w:tcW w:w="2601" w:type="dxa"/>
            <w:noWrap/>
            <w:vAlign w:val="center"/>
          </w:tcPr>
          <w:p>
            <w:pPr>
              <w:pStyle w:val="7"/>
              <w:snapToGrid w:val="0"/>
              <w:spacing w:line="360" w:lineRule="auto"/>
              <w:jc w:val="left"/>
              <w:rPr>
                <w:rFonts w:ascii="Calibri" w:hAnsi="Calibri" w:cs="Times New Roman"/>
                <w:color w:val="auto"/>
                <w:highlight w:val="none"/>
              </w:rPr>
            </w:pPr>
            <w:r>
              <w:rPr>
                <w:rFonts w:hint="eastAsia" w:ascii="Calibri" w:hAnsi="Calibri" w:cs="Times New Roman"/>
                <w:color w:val="auto"/>
                <w:highlight w:val="none"/>
              </w:rPr>
              <w:t>煤炭资源，煤化工发展简史， 煤化工的范畴</w:t>
            </w:r>
          </w:p>
        </w:tc>
        <w:tc>
          <w:tcPr>
            <w:tcW w:w="868" w:type="dxa"/>
            <w:noWrap/>
            <w:vAlign w:val="center"/>
          </w:tcPr>
          <w:p>
            <w:pPr>
              <w:pStyle w:val="7"/>
              <w:snapToGrid w:val="0"/>
              <w:spacing w:line="360" w:lineRule="auto"/>
              <w:jc w:val="center"/>
              <w:rPr>
                <w:rFonts w:ascii="Calibri" w:hAnsi="Calibri" w:cs="Times New Roman"/>
                <w:color w:val="auto"/>
                <w:highlight w:val="none"/>
              </w:rPr>
            </w:pPr>
            <w:r>
              <w:rPr>
                <w:rFonts w:hint="eastAsia" w:ascii="Calibri" w:hAnsi="Calibri" w:cs="Times New Roman"/>
                <w:color w:val="auto"/>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pStyle w:val="7"/>
              <w:snapToGrid w:val="0"/>
              <w:spacing w:line="360" w:lineRule="auto"/>
              <w:jc w:val="center"/>
              <w:rPr>
                <w:rFonts w:ascii="Calibri" w:hAnsi="Calibri" w:cs="Times New Roman"/>
                <w:color w:val="auto"/>
                <w:highlight w:val="none"/>
              </w:rPr>
            </w:pPr>
            <w:r>
              <w:rPr>
                <w:rFonts w:hint="eastAsia" w:ascii="Calibri" w:hAnsi="Calibri" w:cs="Times New Roman"/>
                <w:color w:val="auto"/>
                <w:highlight w:val="none"/>
              </w:rPr>
              <w:t>煤的低温干馏</w:t>
            </w:r>
          </w:p>
        </w:tc>
        <w:tc>
          <w:tcPr>
            <w:tcW w:w="3461" w:type="dxa"/>
            <w:noWrap/>
            <w:vAlign w:val="center"/>
          </w:tcPr>
          <w:p>
            <w:pPr>
              <w:pStyle w:val="7"/>
              <w:snapToGrid w:val="0"/>
              <w:spacing w:line="360" w:lineRule="auto"/>
              <w:jc w:val="left"/>
              <w:rPr>
                <w:rFonts w:ascii="Calibri" w:hAnsi="Calibri" w:cs="Times New Roman"/>
                <w:color w:val="auto"/>
                <w:highlight w:val="none"/>
              </w:rPr>
            </w:pPr>
            <w:r>
              <w:rPr>
                <w:rFonts w:hint="eastAsia" w:ascii="Calibri" w:hAnsi="Calibri" w:cs="Times New Roman"/>
                <w:color w:val="auto"/>
                <w:highlight w:val="none"/>
              </w:rPr>
              <w:t>理解煤的热解基本规律和特点。</w:t>
            </w:r>
            <w:r>
              <w:rPr>
                <w:rFonts w:hint="eastAsia" w:ascii="Calibri" w:hAnsi="Calibri" w:cs="Times New Roman"/>
                <w:color w:val="auto"/>
                <w:highlight w:val="none"/>
              </w:rPr>
              <w:br w:type="textWrapping"/>
            </w:r>
            <w:r>
              <w:rPr>
                <w:rFonts w:hint="eastAsia" w:ascii="Calibri" w:hAnsi="Calibri" w:cs="Times New Roman"/>
                <w:color w:val="auto"/>
                <w:highlight w:val="none"/>
              </w:rPr>
              <w:t>掌握低温干馏产品的种类，低温干馏主要炉型，影响干馏产品的因素，固体热载体干馏工艺。</w:t>
            </w:r>
          </w:p>
        </w:tc>
        <w:tc>
          <w:tcPr>
            <w:tcW w:w="2601" w:type="dxa"/>
            <w:noWrap/>
            <w:vAlign w:val="center"/>
          </w:tcPr>
          <w:p>
            <w:pPr>
              <w:pStyle w:val="7"/>
              <w:snapToGrid w:val="0"/>
              <w:spacing w:line="360" w:lineRule="auto"/>
              <w:jc w:val="left"/>
              <w:rPr>
                <w:rFonts w:ascii="Calibri" w:hAnsi="Calibri" w:cs="Times New Roman"/>
                <w:color w:val="auto"/>
                <w:highlight w:val="none"/>
              </w:rPr>
            </w:pPr>
            <w:r>
              <w:rPr>
                <w:rFonts w:hint="eastAsia" w:ascii="Calibri" w:hAnsi="Calibri" w:cs="Times New Roman"/>
                <w:color w:val="auto"/>
                <w:highlight w:val="none"/>
              </w:rPr>
              <w:t>低温干馏主要炉型，影响干馏产品的因素，固体热载体干馏工艺流程</w:t>
            </w:r>
          </w:p>
        </w:tc>
        <w:tc>
          <w:tcPr>
            <w:tcW w:w="868" w:type="dxa"/>
            <w:noWrap/>
            <w:vAlign w:val="center"/>
          </w:tcPr>
          <w:p>
            <w:pPr>
              <w:pStyle w:val="7"/>
              <w:snapToGrid w:val="0"/>
              <w:spacing w:line="360" w:lineRule="auto"/>
              <w:jc w:val="center"/>
              <w:rPr>
                <w:rFonts w:ascii="Calibri" w:hAnsi="Calibri" w:cs="Times New Roman"/>
                <w:color w:val="auto"/>
                <w:highlight w:val="none"/>
              </w:rPr>
            </w:pPr>
            <w:r>
              <w:rPr>
                <w:rFonts w:hint="eastAsia" w:ascii="Calibri" w:hAnsi="Calibri" w:cs="Times New Roman"/>
                <w:color w:val="auto"/>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pStyle w:val="7"/>
              <w:snapToGrid w:val="0"/>
              <w:spacing w:line="360" w:lineRule="auto"/>
              <w:jc w:val="center"/>
              <w:rPr>
                <w:rFonts w:ascii="Calibri" w:hAnsi="Calibri" w:cs="Times New Roman"/>
                <w:color w:val="auto"/>
                <w:highlight w:val="none"/>
              </w:rPr>
            </w:pPr>
            <w:r>
              <w:rPr>
                <w:rFonts w:hint="eastAsia" w:ascii="Calibri" w:hAnsi="Calibri" w:cs="Times New Roman"/>
                <w:color w:val="auto"/>
                <w:highlight w:val="none"/>
              </w:rPr>
              <w:t>炼焦</w:t>
            </w:r>
          </w:p>
        </w:tc>
        <w:tc>
          <w:tcPr>
            <w:tcW w:w="3461" w:type="dxa"/>
            <w:noWrap/>
            <w:vAlign w:val="center"/>
          </w:tcPr>
          <w:p>
            <w:pPr>
              <w:pStyle w:val="7"/>
              <w:snapToGrid w:val="0"/>
              <w:spacing w:line="360" w:lineRule="auto"/>
              <w:jc w:val="left"/>
              <w:rPr>
                <w:rFonts w:ascii="Calibri" w:hAnsi="Calibri" w:cs="Times New Roman"/>
                <w:color w:val="auto"/>
                <w:highlight w:val="none"/>
              </w:rPr>
            </w:pPr>
            <w:r>
              <w:rPr>
                <w:rFonts w:hint="eastAsia" w:ascii="Calibri" w:hAnsi="Calibri" w:cs="Times New Roman"/>
                <w:color w:val="auto"/>
                <w:highlight w:val="none"/>
              </w:rPr>
              <w:t>了解焦炉耐火砖、砌筑和烘炉，型焦。</w:t>
            </w:r>
            <w:r>
              <w:rPr>
                <w:rFonts w:hint="eastAsia" w:ascii="Calibri" w:hAnsi="Calibri" w:cs="Times New Roman"/>
                <w:color w:val="auto"/>
                <w:highlight w:val="none"/>
              </w:rPr>
              <w:br w:type="textWrapping"/>
            </w:r>
            <w:r>
              <w:rPr>
                <w:rFonts w:hint="eastAsia" w:ascii="Calibri" w:hAnsi="Calibri" w:cs="Times New Roman"/>
                <w:color w:val="auto"/>
                <w:highlight w:val="none"/>
              </w:rPr>
              <w:t>理解煤的成焦过程，配煤对焦炭质量的影响，煤气燃烧和焦炉热平衡，焦炉传热基础，焦炉流体力学基础。</w:t>
            </w:r>
            <w:r>
              <w:rPr>
                <w:rFonts w:hint="eastAsia" w:ascii="Calibri" w:hAnsi="Calibri" w:cs="Times New Roman"/>
                <w:color w:val="auto"/>
                <w:highlight w:val="none"/>
              </w:rPr>
              <w:br w:type="textWrapping"/>
            </w:r>
            <w:r>
              <w:rPr>
                <w:rFonts w:hint="eastAsia" w:ascii="Calibri" w:hAnsi="Calibri" w:cs="Times New Roman"/>
                <w:color w:val="auto"/>
                <w:highlight w:val="none"/>
              </w:rPr>
              <w:t>掌握现代焦炉炼焦的特点、炼焦新技术</w:t>
            </w:r>
          </w:p>
        </w:tc>
        <w:tc>
          <w:tcPr>
            <w:tcW w:w="2601" w:type="dxa"/>
            <w:noWrap/>
            <w:vAlign w:val="center"/>
          </w:tcPr>
          <w:p>
            <w:pPr>
              <w:pStyle w:val="7"/>
              <w:snapToGrid w:val="0"/>
              <w:spacing w:line="360" w:lineRule="auto"/>
              <w:jc w:val="left"/>
              <w:rPr>
                <w:rFonts w:ascii="Calibri" w:hAnsi="Calibri" w:cs="Times New Roman"/>
                <w:color w:val="auto"/>
                <w:highlight w:val="none"/>
              </w:rPr>
            </w:pPr>
            <w:r>
              <w:rPr>
                <w:rFonts w:hint="eastAsia" w:ascii="Calibri" w:hAnsi="Calibri" w:cs="Times New Roman"/>
                <w:color w:val="auto"/>
                <w:highlight w:val="none"/>
              </w:rPr>
              <w:t>炼焦原料煤、焦炉、炼焦新技术。</w:t>
            </w:r>
          </w:p>
        </w:tc>
        <w:tc>
          <w:tcPr>
            <w:tcW w:w="868" w:type="dxa"/>
            <w:noWrap/>
            <w:vAlign w:val="center"/>
          </w:tcPr>
          <w:p>
            <w:pPr>
              <w:pStyle w:val="7"/>
              <w:snapToGrid w:val="0"/>
              <w:spacing w:line="360" w:lineRule="auto"/>
              <w:jc w:val="center"/>
              <w:rPr>
                <w:rFonts w:ascii="Calibri" w:hAnsi="Calibri" w:cs="Times New Roman"/>
                <w:color w:val="auto"/>
                <w:highlight w:val="none"/>
              </w:rPr>
            </w:pPr>
            <w:r>
              <w:rPr>
                <w:rFonts w:hint="eastAsia" w:ascii="Calibri" w:hAnsi="Calibri" w:cs="Times New Roman"/>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pStyle w:val="7"/>
              <w:snapToGrid w:val="0"/>
              <w:spacing w:line="360" w:lineRule="auto"/>
              <w:jc w:val="center"/>
              <w:rPr>
                <w:rFonts w:ascii="Calibri" w:hAnsi="Calibri" w:cs="Times New Roman"/>
                <w:color w:val="auto"/>
                <w:highlight w:val="none"/>
              </w:rPr>
            </w:pPr>
            <w:r>
              <w:rPr>
                <w:rFonts w:hint="eastAsia" w:ascii="Calibri" w:hAnsi="Calibri" w:cs="Times New Roman"/>
                <w:color w:val="auto"/>
                <w:highlight w:val="none"/>
              </w:rPr>
              <w:t>炼焦化学产品的回收与精制</w:t>
            </w:r>
          </w:p>
        </w:tc>
        <w:tc>
          <w:tcPr>
            <w:tcW w:w="3461" w:type="dxa"/>
            <w:noWrap/>
            <w:vAlign w:val="center"/>
          </w:tcPr>
          <w:p>
            <w:pPr>
              <w:pStyle w:val="7"/>
              <w:snapToGrid w:val="0"/>
              <w:spacing w:line="360" w:lineRule="auto"/>
              <w:jc w:val="left"/>
              <w:rPr>
                <w:rFonts w:ascii="Calibri" w:hAnsi="Calibri" w:cs="Times New Roman"/>
                <w:color w:val="auto"/>
                <w:highlight w:val="none"/>
              </w:rPr>
            </w:pPr>
            <w:r>
              <w:rPr>
                <w:rFonts w:hint="eastAsia" w:ascii="Calibri" w:hAnsi="Calibri" w:cs="Times New Roman"/>
                <w:color w:val="auto"/>
                <w:highlight w:val="none"/>
              </w:rPr>
              <w:t>了解：粗煤气分离的方法以及相关设备，氨和吡啶的回收和粗苯回收的方法以及相关设备，粗苯精制的方法以及相关设备。。</w:t>
            </w:r>
            <w:r>
              <w:rPr>
                <w:rFonts w:hint="eastAsia" w:ascii="Calibri" w:hAnsi="Calibri" w:cs="Times New Roman"/>
                <w:color w:val="auto"/>
                <w:highlight w:val="none"/>
              </w:rPr>
              <w:br w:type="textWrapping"/>
            </w:r>
            <w:r>
              <w:rPr>
                <w:rFonts w:hint="eastAsia" w:ascii="Calibri" w:hAnsi="Calibri" w:cs="Times New Roman"/>
                <w:color w:val="auto"/>
                <w:highlight w:val="none"/>
              </w:rPr>
              <w:t>掌握：氨和吡啶的回收和粗苯回收的原理和流程、粗苯精制的原理和流程。</w:t>
            </w:r>
          </w:p>
        </w:tc>
        <w:tc>
          <w:tcPr>
            <w:tcW w:w="2601" w:type="dxa"/>
            <w:noWrap/>
            <w:vAlign w:val="center"/>
          </w:tcPr>
          <w:p>
            <w:pPr>
              <w:pStyle w:val="7"/>
              <w:snapToGrid w:val="0"/>
              <w:spacing w:line="360" w:lineRule="auto"/>
              <w:jc w:val="left"/>
              <w:rPr>
                <w:rFonts w:ascii="Calibri" w:hAnsi="Calibri" w:cs="Times New Roman"/>
                <w:color w:val="auto"/>
                <w:highlight w:val="none"/>
              </w:rPr>
            </w:pPr>
            <w:r>
              <w:rPr>
                <w:rFonts w:hint="eastAsia" w:ascii="Calibri" w:hAnsi="Calibri" w:cs="Times New Roman"/>
                <w:color w:val="auto"/>
                <w:highlight w:val="none"/>
              </w:rPr>
              <w:t>氨和吡啶的回收和粗苯回收的流程、粗苯精制的流程。</w:t>
            </w:r>
          </w:p>
        </w:tc>
        <w:tc>
          <w:tcPr>
            <w:tcW w:w="868" w:type="dxa"/>
            <w:noWrap/>
            <w:vAlign w:val="center"/>
          </w:tcPr>
          <w:p>
            <w:pPr>
              <w:pStyle w:val="7"/>
              <w:snapToGrid w:val="0"/>
              <w:spacing w:line="360" w:lineRule="auto"/>
              <w:jc w:val="center"/>
              <w:rPr>
                <w:rFonts w:ascii="Calibri" w:hAnsi="Calibri" w:cs="Times New Roman"/>
                <w:color w:val="auto"/>
                <w:highlight w:val="none"/>
              </w:rPr>
            </w:pPr>
            <w:r>
              <w:rPr>
                <w:rFonts w:hint="eastAsia" w:ascii="Calibri" w:hAnsi="Calibri" w:cs="Times New Roman"/>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pStyle w:val="7"/>
              <w:snapToGrid w:val="0"/>
              <w:spacing w:line="360" w:lineRule="auto"/>
              <w:jc w:val="center"/>
              <w:rPr>
                <w:rFonts w:ascii="Calibri" w:hAnsi="Calibri" w:cs="Times New Roman"/>
                <w:color w:val="auto"/>
                <w:highlight w:val="none"/>
              </w:rPr>
            </w:pPr>
            <w:r>
              <w:rPr>
                <w:rFonts w:hint="eastAsia" w:ascii="Calibri" w:hAnsi="Calibri" w:cs="Times New Roman"/>
                <w:color w:val="auto"/>
                <w:highlight w:val="none"/>
              </w:rPr>
              <w:t>煤的气化</w:t>
            </w:r>
          </w:p>
        </w:tc>
        <w:tc>
          <w:tcPr>
            <w:tcW w:w="3461" w:type="dxa"/>
            <w:noWrap/>
            <w:vAlign w:val="center"/>
          </w:tcPr>
          <w:p>
            <w:pPr>
              <w:pStyle w:val="7"/>
              <w:snapToGrid w:val="0"/>
              <w:spacing w:line="360" w:lineRule="auto"/>
              <w:jc w:val="left"/>
              <w:rPr>
                <w:rFonts w:ascii="Calibri" w:hAnsi="Calibri" w:cs="Times New Roman"/>
                <w:color w:val="auto"/>
                <w:highlight w:val="none"/>
              </w:rPr>
            </w:pPr>
            <w:r>
              <w:rPr>
                <w:rFonts w:hint="eastAsia" w:ascii="Calibri" w:hAnsi="Calibri" w:cs="Times New Roman"/>
                <w:color w:val="auto"/>
                <w:highlight w:val="none"/>
              </w:rPr>
              <w:t>理解：煤气化的基本规律、计算理论和方法。</w:t>
            </w:r>
            <w:r>
              <w:rPr>
                <w:rFonts w:hint="eastAsia" w:ascii="Calibri" w:hAnsi="Calibri" w:cs="Times New Roman"/>
                <w:color w:val="auto"/>
                <w:highlight w:val="none"/>
              </w:rPr>
              <w:br w:type="textWrapping"/>
            </w:r>
            <w:r>
              <w:rPr>
                <w:rFonts w:hint="eastAsia" w:ascii="Calibri" w:hAnsi="Calibri" w:cs="Times New Roman"/>
                <w:color w:val="auto"/>
                <w:highlight w:val="none"/>
              </w:rPr>
              <w:t>掌握：煤气化的基本原理，实际生产工艺与设备。</w:t>
            </w:r>
          </w:p>
        </w:tc>
        <w:tc>
          <w:tcPr>
            <w:tcW w:w="2601" w:type="dxa"/>
            <w:noWrap/>
            <w:vAlign w:val="center"/>
          </w:tcPr>
          <w:p>
            <w:pPr>
              <w:pStyle w:val="7"/>
              <w:snapToGrid w:val="0"/>
              <w:spacing w:line="360" w:lineRule="auto"/>
              <w:jc w:val="left"/>
              <w:rPr>
                <w:rFonts w:ascii="Calibri" w:hAnsi="Calibri" w:cs="Times New Roman"/>
                <w:color w:val="auto"/>
                <w:highlight w:val="none"/>
              </w:rPr>
            </w:pPr>
            <w:r>
              <w:rPr>
                <w:rFonts w:hint="eastAsia" w:ascii="Calibri" w:hAnsi="Calibri" w:cs="Times New Roman"/>
                <w:color w:val="auto"/>
                <w:highlight w:val="none"/>
              </w:rPr>
              <w:t>煤气化的基本原理、气化炉的基本原理、流化床气化法、固定(移动)床气化法、气流床气化法、煤气的净化</w:t>
            </w:r>
          </w:p>
        </w:tc>
        <w:tc>
          <w:tcPr>
            <w:tcW w:w="868" w:type="dxa"/>
            <w:noWrap/>
            <w:vAlign w:val="center"/>
          </w:tcPr>
          <w:p>
            <w:pPr>
              <w:pStyle w:val="7"/>
              <w:snapToGrid w:val="0"/>
              <w:spacing w:line="360" w:lineRule="auto"/>
              <w:jc w:val="center"/>
              <w:rPr>
                <w:rFonts w:ascii="Calibri" w:hAnsi="Calibri" w:cs="Times New Roman"/>
                <w:color w:val="auto"/>
                <w:highlight w:val="none"/>
              </w:rPr>
            </w:pPr>
            <w:r>
              <w:rPr>
                <w:rFonts w:hint="eastAsia" w:ascii="Calibri" w:hAnsi="Calibri" w:cs="Times New Roman"/>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pStyle w:val="7"/>
              <w:snapToGrid w:val="0"/>
              <w:spacing w:line="360" w:lineRule="auto"/>
              <w:jc w:val="center"/>
              <w:rPr>
                <w:rFonts w:ascii="Calibri" w:hAnsi="Calibri" w:cs="Times New Roman"/>
                <w:color w:val="auto"/>
                <w:highlight w:val="none"/>
              </w:rPr>
            </w:pPr>
            <w:r>
              <w:rPr>
                <w:rFonts w:hint="eastAsia" w:ascii="Calibri" w:hAnsi="Calibri" w:cs="Times New Roman"/>
                <w:color w:val="auto"/>
                <w:highlight w:val="none"/>
              </w:rPr>
              <w:t>煤间接液化</w:t>
            </w:r>
          </w:p>
        </w:tc>
        <w:tc>
          <w:tcPr>
            <w:tcW w:w="3461" w:type="dxa"/>
            <w:noWrap/>
            <w:vAlign w:val="center"/>
          </w:tcPr>
          <w:p>
            <w:pPr>
              <w:pStyle w:val="7"/>
              <w:snapToGrid w:val="0"/>
              <w:spacing w:line="360" w:lineRule="auto"/>
              <w:jc w:val="left"/>
              <w:rPr>
                <w:rFonts w:ascii="Calibri" w:hAnsi="Calibri" w:cs="Times New Roman"/>
                <w:color w:val="auto"/>
                <w:highlight w:val="none"/>
              </w:rPr>
            </w:pPr>
            <w:r>
              <w:rPr>
                <w:rFonts w:hint="eastAsia" w:ascii="Calibri" w:hAnsi="Calibri" w:cs="Times New Roman"/>
                <w:color w:val="auto"/>
                <w:highlight w:val="none"/>
              </w:rPr>
              <w:t>了解：费托合成反应器类型、合成甲醇反应器、甲醇利用进展</w:t>
            </w:r>
            <w:r>
              <w:rPr>
                <w:rFonts w:hint="eastAsia" w:ascii="Calibri" w:hAnsi="Calibri" w:cs="Times New Roman"/>
                <w:color w:val="auto"/>
                <w:highlight w:val="none"/>
              </w:rPr>
              <w:br w:type="textWrapping"/>
            </w:r>
            <w:r>
              <w:rPr>
                <w:rFonts w:hint="eastAsia" w:ascii="Calibri" w:hAnsi="Calibri" w:cs="Times New Roman"/>
                <w:color w:val="auto"/>
                <w:highlight w:val="none"/>
              </w:rPr>
              <w:t>理解：费托合成原理、合成甲醇的工艺流程、甲醇转化成汽油的工艺流程、煤制乙酐、合成气两段直接合成汽油。</w:t>
            </w:r>
            <w:r>
              <w:rPr>
                <w:rFonts w:hint="eastAsia" w:ascii="Calibri" w:hAnsi="Calibri" w:cs="Times New Roman"/>
                <w:color w:val="auto"/>
                <w:highlight w:val="none"/>
              </w:rPr>
              <w:br w:type="textWrapping"/>
            </w:r>
            <w:r>
              <w:rPr>
                <w:rFonts w:hint="eastAsia" w:ascii="Calibri" w:hAnsi="Calibri" w:cs="Times New Roman"/>
                <w:color w:val="auto"/>
                <w:highlight w:val="none"/>
              </w:rPr>
              <w:t>掌握：合成甲醇原理和工艺流程、甲醇转化成汽油的工艺流程、费托合成原理</w:t>
            </w:r>
            <w:r>
              <w:rPr>
                <w:rFonts w:hint="eastAsia" w:ascii="Calibri" w:hAnsi="Calibri" w:cs="Times New Roman"/>
                <w:color w:val="auto"/>
                <w:highlight w:val="none"/>
              </w:rPr>
              <w:br w:type="textWrapping"/>
            </w:r>
          </w:p>
        </w:tc>
        <w:tc>
          <w:tcPr>
            <w:tcW w:w="2601" w:type="dxa"/>
            <w:noWrap/>
            <w:vAlign w:val="center"/>
          </w:tcPr>
          <w:p>
            <w:pPr>
              <w:pStyle w:val="7"/>
              <w:snapToGrid w:val="0"/>
              <w:spacing w:line="360" w:lineRule="auto"/>
              <w:jc w:val="left"/>
              <w:rPr>
                <w:rFonts w:ascii="Calibri" w:hAnsi="Calibri" w:cs="Times New Roman"/>
                <w:color w:val="auto"/>
                <w:highlight w:val="none"/>
              </w:rPr>
            </w:pPr>
            <w:r>
              <w:rPr>
                <w:rFonts w:hint="eastAsia" w:ascii="Calibri" w:hAnsi="Calibri" w:cs="Times New Roman"/>
                <w:color w:val="auto"/>
                <w:highlight w:val="none"/>
              </w:rPr>
              <w:t>合成甲醇的工艺流程、甲醇转化成汽油的工艺流程、费托合成原理</w:t>
            </w:r>
          </w:p>
        </w:tc>
        <w:tc>
          <w:tcPr>
            <w:tcW w:w="868" w:type="dxa"/>
            <w:noWrap/>
            <w:vAlign w:val="center"/>
          </w:tcPr>
          <w:p>
            <w:pPr>
              <w:pStyle w:val="7"/>
              <w:snapToGrid w:val="0"/>
              <w:spacing w:line="360" w:lineRule="auto"/>
              <w:jc w:val="center"/>
              <w:rPr>
                <w:rFonts w:ascii="Calibri" w:hAnsi="Calibri" w:cs="Times New Roman"/>
                <w:color w:val="auto"/>
                <w:highlight w:val="none"/>
              </w:rPr>
            </w:pPr>
            <w:r>
              <w:rPr>
                <w:rFonts w:hint="eastAsia" w:ascii="Calibri" w:hAnsi="Calibri" w:cs="Times New Roman"/>
                <w:color w:val="auto"/>
                <w:highlight w:val="none"/>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250" w:type="dxa"/>
            <w:noWrap/>
            <w:vAlign w:val="center"/>
          </w:tcPr>
          <w:p>
            <w:pPr>
              <w:pStyle w:val="7"/>
              <w:snapToGrid w:val="0"/>
              <w:spacing w:line="360" w:lineRule="auto"/>
              <w:jc w:val="center"/>
              <w:rPr>
                <w:rFonts w:ascii="Calibri" w:hAnsi="Calibri" w:cs="Times New Roman"/>
                <w:color w:val="auto"/>
                <w:highlight w:val="none"/>
              </w:rPr>
            </w:pPr>
            <w:r>
              <w:rPr>
                <w:rFonts w:hint="eastAsia" w:ascii="Calibri" w:hAnsi="Calibri" w:cs="Times New Roman"/>
                <w:color w:val="auto"/>
                <w:highlight w:val="none"/>
              </w:rPr>
              <w:t>煤直接液化</w:t>
            </w:r>
          </w:p>
        </w:tc>
        <w:tc>
          <w:tcPr>
            <w:tcW w:w="3461" w:type="dxa"/>
            <w:noWrap/>
            <w:vAlign w:val="center"/>
          </w:tcPr>
          <w:p>
            <w:pPr>
              <w:pStyle w:val="7"/>
              <w:snapToGrid w:val="0"/>
              <w:spacing w:line="360" w:lineRule="auto"/>
              <w:jc w:val="left"/>
              <w:rPr>
                <w:rFonts w:ascii="Calibri" w:hAnsi="Calibri" w:cs="Times New Roman"/>
                <w:color w:val="auto"/>
                <w:highlight w:val="none"/>
              </w:rPr>
            </w:pPr>
            <w:r>
              <w:rPr>
                <w:rFonts w:hint="eastAsia" w:ascii="Calibri" w:hAnsi="Calibri" w:cs="Times New Roman"/>
                <w:color w:val="auto"/>
                <w:highlight w:val="none"/>
              </w:rPr>
              <w:t>了解：煤直接液化的意义和发展概况、煤直接液化的发展前景</w:t>
            </w:r>
            <w:r>
              <w:rPr>
                <w:rFonts w:hint="eastAsia" w:ascii="Calibri" w:hAnsi="Calibri" w:cs="Times New Roman"/>
                <w:color w:val="auto"/>
                <w:highlight w:val="none"/>
              </w:rPr>
              <w:br w:type="textWrapping"/>
            </w:r>
            <w:r>
              <w:rPr>
                <w:rFonts w:hint="eastAsia" w:ascii="Calibri" w:hAnsi="Calibri" w:cs="Times New Roman"/>
                <w:color w:val="auto"/>
                <w:highlight w:val="none"/>
              </w:rPr>
              <w:t>理解：煤加氢液化原理</w:t>
            </w:r>
            <w:r>
              <w:rPr>
                <w:rFonts w:hint="eastAsia" w:ascii="Calibri" w:hAnsi="Calibri" w:cs="Times New Roman"/>
                <w:color w:val="auto"/>
                <w:highlight w:val="none"/>
              </w:rPr>
              <w:br w:type="textWrapping"/>
            </w:r>
            <w:r>
              <w:rPr>
                <w:rFonts w:hint="eastAsia" w:ascii="Calibri" w:hAnsi="Calibri" w:cs="Times New Roman"/>
                <w:color w:val="auto"/>
                <w:highlight w:val="none"/>
              </w:rPr>
              <w:t>掌握：德国煤直接液化工艺、美国煤加氢液化的中间试验、煤直接液化技术开发中的若干重要问题</w:t>
            </w:r>
          </w:p>
        </w:tc>
        <w:tc>
          <w:tcPr>
            <w:tcW w:w="2601" w:type="dxa"/>
            <w:noWrap/>
            <w:vAlign w:val="center"/>
          </w:tcPr>
          <w:p>
            <w:pPr>
              <w:pStyle w:val="7"/>
              <w:snapToGrid w:val="0"/>
              <w:spacing w:line="360" w:lineRule="auto"/>
              <w:jc w:val="left"/>
              <w:rPr>
                <w:rFonts w:ascii="Calibri" w:hAnsi="Calibri" w:cs="Times New Roman"/>
                <w:color w:val="auto"/>
                <w:highlight w:val="none"/>
              </w:rPr>
            </w:pPr>
            <w:r>
              <w:rPr>
                <w:rFonts w:hint="eastAsia" w:ascii="Calibri" w:hAnsi="Calibri" w:cs="Times New Roman"/>
                <w:color w:val="auto"/>
                <w:highlight w:val="none"/>
              </w:rPr>
              <w:t>煤加氢液化原理，煤直接液化技术开发中的若干重要问题，煤直接液化新技术的开发</w:t>
            </w:r>
          </w:p>
        </w:tc>
        <w:tc>
          <w:tcPr>
            <w:tcW w:w="868" w:type="dxa"/>
            <w:noWrap/>
            <w:vAlign w:val="center"/>
          </w:tcPr>
          <w:p>
            <w:pPr>
              <w:pStyle w:val="7"/>
              <w:snapToGrid w:val="0"/>
              <w:spacing w:line="360" w:lineRule="auto"/>
              <w:jc w:val="center"/>
              <w:rPr>
                <w:rFonts w:ascii="Calibri" w:hAnsi="Calibri" w:cs="Times New Roman"/>
                <w:color w:val="auto"/>
                <w:highlight w:val="none"/>
              </w:rPr>
            </w:pPr>
            <w:r>
              <w:rPr>
                <w:rFonts w:hint="eastAsia" w:ascii="Calibri" w:hAnsi="Calibri" w:cs="Times New Roman"/>
                <w:color w:val="auto"/>
                <w:highlight w:val="none"/>
              </w:rPr>
              <w:t>8</w:t>
            </w:r>
          </w:p>
        </w:tc>
      </w:tr>
    </w:tbl>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（五）教学组织与教学方法</w:t>
      </w:r>
    </w:p>
    <w:p>
      <w:pPr>
        <w:pStyle w:val="13"/>
        <w:spacing w:beforeAutospacing="0" w:afterAutospacing="0" w:line="360" w:lineRule="auto"/>
        <w:ind w:firstLine="480" w:firstLineChars="200"/>
        <w:rPr>
          <w:color w:val="auto"/>
          <w:highlight w:val="none"/>
        </w:rPr>
      </w:pPr>
      <w:r>
        <w:rPr>
          <w:rFonts w:hint="eastAsia"/>
          <w:color w:val="auto"/>
          <w:highlight w:val="none"/>
        </w:rPr>
        <w:t xml:space="preserve">本门课程通过具体煤炭化工产品生产讲解煤化工生产工艺知识，教学实施过程中要注意在煤化工产品生产过程中理论应用，同时要注重培养学生的应用所学知识分析问题，并提出解决实际问题方法。在教学过程中加强职业素质培养。 </w:t>
      </w:r>
    </w:p>
    <w:p>
      <w:pPr>
        <w:pStyle w:val="13"/>
        <w:spacing w:beforeAutospacing="0" w:afterAutospacing="0" w:line="480" w:lineRule="atLeast"/>
        <w:ind w:firstLine="480"/>
        <w:textAlignment w:val="baseline"/>
        <w:rPr>
          <w:color w:val="auto"/>
          <w:highlight w:val="none"/>
        </w:rPr>
      </w:pPr>
      <w:r>
        <w:rPr>
          <w:rFonts w:hint="eastAsia"/>
          <w:color w:val="auto"/>
          <w:highlight w:val="none"/>
        </w:rPr>
        <w:t>本门教学中应注意理论与实践的结合，适当安排指导性自习，加强课前、课后的答疑辅导，注意学生能力的培养，使学生通过对无机化学相关知识的理解，树立整体观念，进而总结归纳元素或化合物化学性质、化学反应一些深层次的基本规律。</w:t>
      </w:r>
    </w:p>
    <w:p>
      <w:pPr>
        <w:pStyle w:val="13"/>
        <w:spacing w:beforeAutospacing="0" w:afterAutospacing="0" w:line="480" w:lineRule="atLeast"/>
        <w:ind w:firstLine="480"/>
        <w:textAlignment w:val="baseline"/>
        <w:rPr>
          <w:color w:val="auto"/>
          <w:highlight w:val="none"/>
        </w:rPr>
      </w:pPr>
      <w:r>
        <w:rPr>
          <w:rFonts w:hint="eastAsia"/>
          <w:color w:val="auto"/>
          <w:highlight w:val="none"/>
        </w:rPr>
        <w:t xml:space="preserve">（1）开展课堂讨论式教学法 </w:t>
      </w:r>
    </w:p>
    <w:p>
      <w:pPr>
        <w:pStyle w:val="13"/>
        <w:spacing w:beforeAutospacing="0" w:afterAutospacing="0" w:line="480" w:lineRule="atLeast"/>
        <w:ind w:firstLine="480"/>
        <w:textAlignment w:val="baseline"/>
        <w:rPr>
          <w:color w:val="auto"/>
          <w:highlight w:val="none"/>
        </w:rPr>
      </w:pPr>
      <w:r>
        <w:rPr>
          <w:rFonts w:hint="eastAsia"/>
          <w:color w:val="auto"/>
          <w:highlight w:val="none"/>
        </w:rPr>
        <w:t xml:space="preserve">建议可在部分章节采用以事例为引导的课堂讨论式教学，通过事例引导和教师指导下的课堂讨论、资料查询、自学等方式启发学生分析、讨论有关煤化工生产问题，学习煤化工生产的知识。这些章节包括空气深冷液化分离、催化剂与催化作用、干煤粉气化等内容。 </w:t>
      </w:r>
    </w:p>
    <w:p>
      <w:pPr>
        <w:pStyle w:val="13"/>
        <w:spacing w:beforeAutospacing="0" w:afterAutospacing="0" w:line="480" w:lineRule="atLeast"/>
        <w:ind w:firstLine="480"/>
        <w:textAlignment w:val="baseline"/>
        <w:rPr>
          <w:color w:val="auto"/>
          <w:highlight w:val="none"/>
        </w:rPr>
      </w:pPr>
      <w:r>
        <w:rPr>
          <w:rFonts w:hint="eastAsia"/>
          <w:color w:val="auto"/>
          <w:highlight w:val="none"/>
        </w:rPr>
        <w:t xml:space="preserve">（2）倡导以问题为中心的教学方式 </w:t>
      </w:r>
    </w:p>
    <w:p>
      <w:pPr>
        <w:pStyle w:val="13"/>
        <w:spacing w:beforeAutospacing="0" w:afterAutospacing="0" w:line="480" w:lineRule="atLeast"/>
        <w:ind w:firstLine="480"/>
        <w:textAlignment w:val="baseline"/>
        <w:rPr>
          <w:rFonts w:ascii="宋体" w:hAnsi="宋体"/>
          <w:b/>
          <w:bCs/>
          <w:color w:val="auto"/>
          <w:sz w:val="24"/>
          <w:highlight w:val="none"/>
        </w:rPr>
      </w:pPr>
      <w:r>
        <w:rPr>
          <w:rFonts w:hint="eastAsia"/>
          <w:color w:val="auto"/>
          <w:highlight w:val="none"/>
        </w:rPr>
        <w:t>以学生为主体的小组讨论式的方法，强调从提出问题人手，激发学生学习的兴趣，让学生有针对性地去探索并运用理论知识，以提高分析和解决问题的能力。</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（六）考核标准与成绩评定方法</w:t>
      </w:r>
    </w:p>
    <w:p>
      <w:pPr>
        <w:pStyle w:val="13"/>
        <w:spacing w:beforeAutospacing="0" w:afterAutospacing="0" w:line="480" w:lineRule="atLeast"/>
        <w:ind w:firstLine="480"/>
        <w:textAlignment w:val="baseline"/>
        <w:rPr>
          <w:color w:val="auto"/>
          <w:kern w:val="2"/>
          <w:highlight w:val="none"/>
        </w:rPr>
      </w:pPr>
      <w:r>
        <w:rPr>
          <w:color w:val="auto"/>
          <w:kern w:val="2"/>
          <w:highlight w:val="none"/>
        </w:rPr>
        <w:t>（1）本门课程是一门考试课，评价依据是本课程标准规定的课程目标、教学内容和要求。</w:t>
      </w:r>
    </w:p>
    <w:p>
      <w:pPr>
        <w:pStyle w:val="13"/>
        <w:spacing w:beforeAutospacing="0" w:afterAutospacing="0" w:line="480" w:lineRule="atLeast"/>
        <w:ind w:firstLine="480"/>
        <w:textAlignment w:val="baseline"/>
        <w:rPr>
          <w:color w:val="auto"/>
          <w:kern w:val="2"/>
          <w:highlight w:val="none"/>
        </w:rPr>
      </w:pPr>
      <w:r>
        <w:rPr>
          <w:color w:val="auto"/>
          <w:kern w:val="2"/>
          <w:highlight w:val="none"/>
        </w:rPr>
        <w:t>（2）考试时间：90分钟（理论考核90分钟）。</w:t>
      </w:r>
    </w:p>
    <w:p>
      <w:pPr>
        <w:pStyle w:val="13"/>
        <w:spacing w:beforeAutospacing="0" w:afterAutospacing="0" w:line="480" w:lineRule="atLeast"/>
        <w:ind w:firstLine="480"/>
        <w:textAlignment w:val="baseline"/>
        <w:rPr>
          <w:color w:val="auto"/>
          <w:kern w:val="2"/>
          <w:highlight w:val="none"/>
        </w:rPr>
      </w:pPr>
      <w:r>
        <w:rPr>
          <w:color w:val="auto"/>
          <w:kern w:val="2"/>
          <w:highlight w:val="none"/>
        </w:rPr>
        <w:t xml:space="preserve">（3）考试方式、分制与解释 </w:t>
      </w:r>
    </w:p>
    <w:p>
      <w:pPr>
        <w:pStyle w:val="13"/>
        <w:spacing w:beforeAutospacing="0" w:afterAutospacing="0" w:line="480" w:lineRule="atLeast"/>
        <w:ind w:firstLine="480"/>
        <w:textAlignment w:val="baseline"/>
        <w:rPr>
          <w:color w:val="auto"/>
          <w:kern w:val="2"/>
          <w:highlight w:val="none"/>
        </w:rPr>
      </w:pPr>
      <w:r>
        <w:rPr>
          <w:color w:val="auto"/>
          <w:kern w:val="2"/>
          <w:highlight w:val="none"/>
        </w:rPr>
        <w:t xml:space="preserve">a.理论成绩的综合评价 采用闭卷、笔试的方式，以百分制评分，满分为100分，占总评成绩的70~80%。 </w:t>
      </w:r>
    </w:p>
    <w:p>
      <w:pPr>
        <w:pStyle w:val="13"/>
        <w:spacing w:beforeAutospacing="0" w:afterAutospacing="0" w:line="480" w:lineRule="atLeast"/>
        <w:ind w:firstLine="480"/>
        <w:textAlignment w:val="baseline"/>
        <w:rPr>
          <w:color w:val="auto"/>
          <w:kern w:val="2"/>
          <w:highlight w:val="none"/>
        </w:rPr>
      </w:pPr>
      <w:r>
        <w:rPr>
          <w:color w:val="auto"/>
          <w:kern w:val="2"/>
          <w:highlight w:val="none"/>
        </w:rPr>
        <w:t>b.实验成绩的综合评价 实验成绩由实验现场表现和实验报告成绩两部分组成。实验成绩占总评成绩的20~30%。</w:t>
      </w:r>
    </w:p>
    <w:p>
      <w:pPr>
        <w:pStyle w:val="13"/>
        <w:spacing w:beforeAutospacing="0" w:afterAutospacing="0" w:line="480" w:lineRule="atLeast"/>
        <w:ind w:firstLine="480"/>
        <w:textAlignment w:val="baseline"/>
        <w:rPr>
          <w:color w:val="auto"/>
          <w:kern w:val="2"/>
          <w:highlight w:val="none"/>
        </w:rPr>
      </w:pPr>
      <w:r>
        <w:rPr>
          <w:color w:val="auto"/>
          <w:kern w:val="2"/>
          <w:highlight w:val="none"/>
        </w:rPr>
        <w:t xml:space="preserve">（4）试题类型及权重 </w:t>
      </w:r>
    </w:p>
    <w:p>
      <w:pPr>
        <w:pStyle w:val="13"/>
        <w:spacing w:beforeAutospacing="0" w:afterAutospacing="0" w:line="480" w:lineRule="atLeast"/>
        <w:ind w:firstLine="480"/>
        <w:textAlignment w:val="baseline"/>
        <w:rPr>
          <w:color w:val="auto"/>
          <w:kern w:val="2"/>
          <w:highlight w:val="none"/>
        </w:rPr>
      </w:pPr>
      <w:r>
        <w:rPr>
          <w:color w:val="auto"/>
          <w:kern w:val="2"/>
          <w:highlight w:val="none"/>
        </w:rPr>
        <w:t xml:space="preserve">选择题15%～30%、判断题10～20%、填空题10～25%、简答题(包括完成并配平反应式)10～20%、计算题10～30%。 </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（七）教学建议</w:t>
      </w:r>
    </w:p>
    <w:p>
      <w:pPr>
        <w:spacing w:line="360" w:lineRule="auto"/>
        <w:ind w:firstLine="480"/>
        <w:rPr>
          <w:rFonts w:ascii="宋体" w:hAnsi="宋体"/>
          <w:color w:val="auto"/>
          <w:sz w:val="24"/>
          <w:highlight w:val="none"/>
        </w:rPr>
      </w:pPr>
      <w:r>
        <w:rPr>
          <w:rFonts w:hint="eastAsia" w:ascii="宋体" w:hAnsi="宋体"/>
          <w:color w:val="auto"/>
          <w:sz w:val="24"/>
          <w:highlight w:val="none"/>
        </w:rPr>
        <w:t>重视基础知识，加强学的动手能力，借助现代化的教学手段，激发学生的学习兴趣，重视在教学过程中，激发和训练学生的创新思维，尽量与社会、生产生活相联系，培养学生的综合能力。</w:t>
      </w:r>
    </w:p>
    <w:p>
      <w:pPr>
        <w:spacing w:line="360" w:lineRule="auto"/>
        <w:ind w:firstLine="480"/>
        <w:rPr>
          <w:rFonts w:ascii="宋体" w:hAnsi="宋体"/>
          <w:color w:val="auto"/>
          <w:sz w:val="24"/>
          <w:highlight w:val="none"/>
        </w:rPr>
      </w:pPr>
      <w:r>
        <w:rPr>
          <w:rFonts w:hint="eastAsia" w:ascii="宋体" w:hAnsi="宋体"/>
          <w:color w:val="auto"/>
          <w:sz w:val="24"/>
          <w:highlight w:val="none"/>
        </w:rPr>
        <w:t>特色教材的编写过程依据本课程人才培养目标的要求，与项目组成员中的企业人员进行讨论，分析，确定切合生产实际的教材内容。教材编写中注重教材的实用性和技能性，以任务驱动，实践导向设计的思路。</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（八）选用教材标及推荐教材和参考用书（或课程网站）</w:t>
      </w:r>
    </w:p>
    <w:p>
      <w:pPr>
        <w:pStyle w:val="13"/>
        <w:spacing w:beforeAutospacing="0" w:afterAutospacing="0" w:line="480" w:lineRule="atLeast"/>
        <w:ind w:firstLine="480"/>
        <w:textAlignment w:val="baseline"/>
        <w:rPr>
          <w:color w:val="auto"/>
          <w:kern w:val="2"/>
          <w:highlight w:val="none"/>
        </w:rPr>
      </w:pPr>
      <w:r>
        <w:rPr>
          <w:color w:val="auto"/>
          <w:kern w:val="2"/>
          <w:highlight w:val="none"/>
        </w:rPr>
        <w:t xml:space="preserve">《煤化工工艺学》，编者：郭树才，化学工业出版社 </w:t>
      </w:r>
    </w:p>
    <w:p>
      <w:pPr>
        <w:pStyle w:val="13"/>
        <w:spacing w:beforeAutospacing="0" w:afterAutospacing="0" w:line="480" w:lineRule="atLeast"/>
        <w:ind w:firstLine="480"/>
        <w:textAlignment w:val="baseline"/>
        <w:rPr>
          <w:color w:val="auto"/>
          <w:kern w:val="2"/>
          <w:highlight w:val="none"/>
        </w:rPr>
      </w:pPr>
      <w:r>
        <w:rPr>
          <w:color w:val="auto"/>
          <w:kern w:val="2"/>
          <w:highlight w:val="none"/>
        </w:rPr>
        <w:t>《现代煤化工生产技术》编者：</w:t>
      </w:r>
      <w:r>
        <w:rPr>
          <w:rFonts w:hint="eastAsia"/>
          <w:color w:val="auto"/>
          <w:kern w:val="2"/>
          <w:highlight w:val="none"/>
        </w:rPr>
        <w:t>付长亮，</w:t>
      </w:r>
      <w:r>
        <w:rPr>
          <w:color w:val="auto"/>
          <w:kern w:val="2"/>
          <w:highlight w:val="none"/>
        </w:rPr>
        <w:t>化学工业出版社</w:t>
      </w:r>
    </w:p>
    <w:p>
      <w:pPr>
        <w:pStyle w:val="13"/>
        <w:spacing w:beforeAutospacing="0" w:afterAutospacing="0" w:line="480" w:lineRule="atLeast"/>
        <w:ind w:firstLine="480"/>
        <w:textAlignment w:val="baseline"/>
        <w:rPr>
          <w:color w:val="auto"/>
          <w:kern w:val="2"/>
          <w:highlight w:val="none"/>
        </w:rPr>
      </w:pPr>
      <w:r>
        <w:rPr>
          <w:rFonts w:hint="eastAsia"/>
          <w:color w:val="auto"/>
          <w:kern w:val="2"/>
          <w:highlight w:val="none"/>
        </w:rPr>
        <w:t>《煤化工生产技术》，</w:t>
      </w:r>
      <w:r>
        <w:rPr>
          <w:color w:val="auto"/>
          <w:kern w:val="2"/>
          <w:highlight w:val="none"/>
        </w:rPr>
        <w:t>编者：</w:t>
      </w:r>
      <w:r>
        <w:rPr>
          <w:rFonts w:hint="eastAsia"/>
          <w:color w:val="auto"/>
          <w:kern w:val="2"/>
          <w:highlight w:val="none"/>
        </w:rPr>
        <w:t>侯霞，中国石化出版社</w:t>
      </w:r>
    </w:p>
    <w:p>
      <w:pPr>
        <w:pStyle w:val="13"/>
        <w:spacing w:beforeAutospacing="0" w:afterAutospacing="0" w:line="480" w:lineRule="atLeast"/>
        <w:ind w:firstLine="480"/>
        <w:textAlignment w:val="baseline"/>
        <w:rPr>
          <w:color w:val="auto"/>
          <w:kern w:val="2"/>
          <w:highlight w:val="none"/>
        </w:rPr>
      </w:pPr>
      <w:r>
        <w:rPr>
          <w:color w:val="auto"/>
          <w:kern w:val="2"/>
          <w:highlight w:val="none"/>
        </w:rPr>
        <w:t>《煤化工基础》，编者：李玉林、胡瑞生、白雅琴，化学工业出版社</w:t>
      </w:r>
    </w:p>
    <w:p>
      <w:pPr>
        <w:pStyle w:val="13"/>
        <w:spacing w:beforeAutospacing="0" w:afterAutospacing="0" w:line="480" w:lineRule="atLeast"/>
        <w:ind w:firstLine="480"/>
        <w:textAlignment w:val="baseline"/>
        <w:rPr>
          <w:color w:val="auto"/>
          <w:kern w:val="2"/>
          <w:highlight w:val="none"/>
        </w:rPr>
      </w:pPr>
      <w:r>
        <w:rPr>
          <w:color w:val="auto"/>
          <w:kern w:val="2"/>
          <w:highlight w:val="none"/>
        </w:rPr>
        <w:t>《煤化学》，编者：朱银惠，化学工业出版社。</w:t>
      </w:r>
    </w:p>
    <w:p>
      <w:pPr>
        <w:pStyle w:val="13"/>
        <w:spacing w:beforeAutospacing="0" w:afterAutospacing="0" w:line="480" w:lineRule="atLeast"/>
        <w:textAlignment w:val="baseline"/>
        <w:rPr>
          <w:color w:val="auto"/>
          <w:kern w:val="2"/>
          <w:highlight w:val="none"/>
        </w:rPr>
      </w:pPr>
    </w:p>
    <w:p>
      <w:pPr>
        <w:pStyle w:val="3"/>
        <w:spacing w:before="0" w:after="0" w:line="360" w:lineRule="auto"/>
        <w:rPr>
          <w:b w:val="0"/>
          <w:bCs/>
          <w:color w:val="auto"/>
          <w:highlight w:val="none"/>
        </w:rPr>
      </w:pPr>
      <w:bookmarkStart w:id="93" w:name="_Toc17238590"/>
      <w:bookmarkStart w:id="94" w:name="_Toc17992"/>
      <w:r>
        <w:rPr>
          <w:rFonts w:hint="eastAsia"/>
          <w:b w:val="0"/>
          <w:bCs/>
          <w:color w:val="auto"/>
          <w:highlight w:val="none"/>
        </w:rPr>
        <w:t>六、《煤气化工艺》核心课程标准</w:t>
      </w:r>
      <w:bookmarkEnd w:id="93"/>
      <w:bookmarkEnd w:id="94"/>
    </w:p>
    <w:tbl>
      <w:tblPr>
        <w:tblStyle w:val="14"/>
        <w:tblW w:w="8222"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3274"/>
        <w:gridCol w:w="1620"/>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课程编码</w:t>
            </w:r>
          </w:p>
        </w:tc>
        <w:tc>
          <w:tcPr>
            <w:tcW w:w="327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hint="default" w:eastAsiaTheme="minorEastAsia"/>
                <w:color w:val="auto"/>
                <w:szCs w:val="21"/>
                <w:highlight w:val="none"/>
                <w:lang w:val="en-US" w:eastAsia="zh-CN"/>
              </w:rPr>
            </w:pPr>
            <w:r>
              <w:rPr>
                <w:rFonts w:hint="eastAsia"/>
                <w:color w:val="auto"/>
                <w:szCs w:val="21"/>
                <w:highlight w:val="none"/>
                <w:lang w:val="en-US" w:eastAsia="zh-CN"/>
              </w:rPr>
              <w:t>1003075</w:t>
            </w:r>
          </w:p>
        </w:tc>
        <w:tc>
          <w:tcPr>
            <w:tcW w:w="1620"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课程类别</w:t>
            </w:r>
          </w:p>
        </w:tc>
        <w:tc>
          <w:tcPr>
            <w:tcW w:w="199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专业学习领域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计划学时</w:t>
            </w:r>
          </w:p>
        </w:tc>
        <w:tc>
          <w:tcPr>
            <w:tcW w:w="327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color w:val="auto"/>
                <w:szCs w:val="21"/>
                <w:highlight w:val="none"/>
              </w:rPr>
              <w:t>72</w:t>
            </w:r>
          </w:p>
        </w:tc>
        <w:tc>
          <w:tcPr>
            <w:tcW w:w="1620"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课程类型</w:t>
            </w:r>
          </w:p>
        </w:tc>
        <w:tc>
          <w:tcPr>
            <w:tcW w:w="199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color w:val="auto"/>
                <w:szCs w:val="21"/>
                <w:highlight w:val="none"/>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适用专业</w:t>
            </w:r>
          </w:p>
        </w:tc>
        <w:tc>
          <w:tcPr>
            <w:tcW w:w="327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煤化工技术</w:t>
            </w:r>
          </w:p>
        </w:tc>
        <w:tc>
          <w:tcPr>
            <w:tcW w:w="1620"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课程性质</w:t>
            </w:r>
          </w:p>
        </w:tc>
        <w:tc>
          <w:tcPr>
            <w:tcW w:w="199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开课学期</w:t>
            </w:r>
          </w:p>
        </w:tc>
        <w:tc>
          <w:tcPr>
            <w:tcW w:w="327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第</w:t>
            </w:r>
            <w:r>
              <w:rPr>
                <w:rFonts w:hint="eastAsia"/>
                <w:color w:val="auto"/>
                <w:szCs w:val="21"/>
                <w:highlight w:val="none"/>
              </w:rPr>
              <w:t>4</w:t>
            </w:r>
            <w:r>
              <w:rPr>
                <w:rFonts w:hint="eastAsia" w:hAnsi="宋体"/>
                <w:color w:val="auto"/>
                <w:szCs w:val="21"/>
                <w:highlight w:val="none"/>
              </w:rPr>
              <w:t>学期</w:t>
            </w:r>
          </w:p>
        </w:tc>
        <w:tc>
          <w:tcPr>
            <w:tcW w:w="1620"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学分</w:t>
            </w:r>
          </w:p>
        </w:tc>
        <w:tc>
          <w:tcPr>
            <w:tcW w:w="199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color w:val="auto"/>
                <w:szCs w:val="21"/>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先行课程</w:t>
            </w:r>
          </w:p>
        </w:tc>
        <w:tc>
          <w:tcPr>
            <w:tcW w:w="327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color w:val="auto"/>
                <w:szCs w:val="21"/>
                <w:highlight w:val="none"/>
              </w:rPr>
              <w:t>化工单元操作、化工设备、煤化学</w:t>
            </w:r>
          </w:p>
        </w:tc>
        <w:tc>
          <w:tcPr>
            <w:tcW w:w="1620"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开课单位</w:t>
            </w:r>
          </w:p>
        </w:tc>
        <w:tc>
          <w:tcPr>
            <w:tcW w:w="199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晋城职业技术学院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平行课程</w:t>
            </w:r>
          </w:p>
        </w:tc>
        <w:tc>
          <w:tcPr>
            <w:tcW w:w="3274" w:type="dxa"/>
            <w:tcBorders>
              <w:top w:val="single" w:color="auto" w:sz="4" w:space="0"/>
              <w:left w:val="single" w:color="auto" w:sz="4" w:space="0"/>
              <w:bottom w:val="single" w:color="auto" w:sz="4" w:space="0"/>
              <w:right w:val="single" w:color="auto" w:sz="4" w:space="0"/>
            </w:tcBorders>
            <w:noWrap/>
            <w:vAlign w:val="center"/>
          </w:tcPr>
          <w:p>
            <w:pPr>
              <w:widowControl/>
              <w:jc w:val="center"/>
              <w:rPr>
                <w:color w:val="auto"/>
                <w:szCs w:val="21"/>
                <w:highlight w:val="none"/>
              </w:rPr>
            </w:pPr>
            <w:r>
              <w:rPr>
                <w:rFonts w:hint="eastAsia"/>
                <w:color w:val="auto"/>
                <w:szCs w:val="21"/>
                <w:highlight w:val="none"/>
              </w:rPr>
              <w:t>煤质分析、现代煤化工技术</w:t>
            </w:r>
          </w:p>
        </w:tc>
        <w:tc>
          <w:tcPr>
            <w:tcW w:w="1620"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考核类型</w:t>
            </w:r>
          </w:p>
        </w:tc>
        <w:tc>
          <w:tcPr>
            <w:tcW w:w="199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后继课程</w:t>
            </w:r>
          </w:p>
        </w:tc>
        <w:tc>
          <w:tcPr>
            <w:tcW w:w="6888" w:type="dxa"/>
            <w:gridSpan w:val="3"/>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color w:val="auto"/>
                <w:szCs w:val="21"/>
                <w:highlight w:val="none"/>
              </w:rPr>
              <w:t>跟岗实习、顶岗实习</w:t>
            </w:r>
          </w:p>
        </w:tc>
      </w:tr>
    </w:tbl>
    <w:p>
      <w:pPr>
        <w:tabs>
          <w:tab w:val="left" w:pos="567"/>
        </w:tabs>
        <w:spacing w:line="360" w:lineRule="auto"/>
        <w:ind w:left="480"/>
        <w:rPr>
          <w:rFonts w:ascii="宋体" w:hAnsi="宋体"/>
          <w:color w:val="auto"/>
          <w:sz w:val="24"/>
          <w:highlight w:val="none"/>
        </w:rPr>
      </w:pP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w:t>
      </w:r>
      <w:r>
        <w:rPr>
          <w:rFonts w:hint="eastAsia" w:ascii="黑体" w:hAnsi="黑体" w:eastAsia="黑体" w:cs="黑体"/>
          <w:bCs/>
          <w:color w:val="auto"/>
          <w:sz w:val="30"/>
          <w:szCs w:val="30"/>
          <w:highlight w:val="none"/>
          <w:lang w:val="en-US" w:eastAsia="zh-CN"/>
        </w:rPr>
        <w:t>一</w:t>
      </w:r>
      <w:r>
        <w:rPr>
          <w:rFonts w:hint="eastAsia" w:ascii="黑体" w:hAnsi="黑体" w:eastAsia="黑体" w:cs="黑体"/>
          <w:bCs/>
          <w:color w:val="auto"/>
          <w:sz w:val="30"/>
          <w:szCs w:val="30"/>
          <w:highlight w:val="none"/>
          <w:lang w:eastAsia="zh-CN"/>
        </w:rPr>
        <w:t>）课程性质与定位</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本课程是高职高专煤化工技术的一门专业核心课程。通过学习让学生掌握</w:t>
      </w:r>
      <w:r>
        <w:rPr>
          <w:rFonts w:ascii="宋体" w:hAnsi="宋体"/>
          <w:color w:val="auto"/>
          <w:sz w:val="24"/>
          <w:highlight w:val="none"/>
        </w:rPr>
        <w:t>以</w:t>
      </w:r>
      <w:r>
        <w:rPr>
          <w:rFonts w:hint="eastAsia" w:ascii="宋体" w:hAnsi="宋体"/>
          <w:color w:val="auto"/>
          <w:sz w:val="24"/>
          <w:highlight w:val="none"/>
        </w:rPr>
        <w:t>煤气</w:t>
      </w:r>
      <w:r>
        <w:rPr>
          <w:rFonts w:ascii="宋体" w:hAnsi="宋体"/>
          <w:color w:val="auto"/>
          <w:sz w:val="24"/>
          <w:highlight w:val="none"/>
        </w:rPr>
        <w:t>的生产方法、基本原理、工艺</w:t>
      </w:r>
      <w:r>
        <w:rPr>
          <w:rFonts w:hint="eastAsia" w:ascii="宋体" w:hAnsi="宋体"/>
          <w:color w:val="auto"/>
          <w:sz w:val="24"/>
          <w:highlight w:val="none"/>
        </w:rPr>
        <w:t>流</w:t>
      </w:r>
      <w:r>
        <w:rPr>
          <w:rFonts w:ascii="宋体" w:hAnsi="宋体"/>
          <w:color w:val="auto"/>
          <w:sz w:val="24"/>
          <w:highlight w:val="none"/>
        </w:rPr>
        <w:t>程、操作条件与参数分析、主要设备结构、岗位操作、生产故障排除等知识</w:t>
      </w:r>
      <w:r>
        <w:rPr>
          <w:rFonts w:hint="eastAsia" w:ascii="宋体" w:hAnsi="宋体"/>
          <w:color w:val="auto"/>
          <w:sz w:val="24"/>
          <w:highlight w:val="none"/>
        </w:rPr>
        <w:t>；培养</w:t>
      </w:r>
      <w:r>
        <w:rPr>
          <w:rFonts w:ascii="宋体" w:hAnsi="宋体"/>
          <w:color w:val="auto"/>
          <w:sz w:val="24"/>
          <w:highlight w:val="none"/>
        </w:rPr>
        <w:t>学生具备准确的工艺计算能力，确定工</w:t>
      </w:r>
      <w:r>
        <w:rPr>
          <w:rFonts w:hint="eastAsia" w:ascii="宋体" w:hAnsi="宋体"/>
          <w:color w:val="auto"/>
          <w:sz w:val="24"/>
          <w:highlight w:val="none"/>
        </w:rPr>
        <w:t>艺</w:t>
      </w:r>
      <w:r>
        <w:rPr>
          <w:rFonts w:ascii="宋体" w:hAnsi="宋体"/>
          <w:color w:val="auto"/>
          <w:sz w:val="24"/>
          <w:highlight w:val="none"/>
        </w:rPr>
        <w:t>流程和设备选型的能力</w:t>
      </w:r>
      <w:r>
        <w:rPr>
          <w:rFonts w:hint="eastAsia" w:ascii="宋体" w:hAnsi="宋体"/>
          <w:color w:val="auto"/>
          <w:sz w:val="24"/>
          <w:highlight w:val="none"/>
        </w:rPr>
        <w:t>及</w:t>
      </w:r>
      <w:r>
        <w:rPr>
          <w:rFonts w:ascii="宋体" w:hAnsi="宋体"/>
          <w:color w:val="auto"/>
          <w:sz w:val="24"/>
          <w:highlight w:val="none"/>
        </w:rPr>
        <w:t>岗位</w:t>
      </w:r>
      <w:r>
        <w:rPr>
          <w:rFonts w:hint="eastAsia" w:ascii="宋体" w:hAnsi="宋体"/>
          <w:color w:val="auto"/>
          <w:sz w:val="24"/>
          <w:highlight w:val="none"/>
        </w:rPr>
        <w:t>安全</w:t>
      </w:r>
      <w:r>
        <w:rPr>
          <w:rFonts w:ascii="宋体" w:hAnsi="宋体"/>
          <w:color w:val="auto"/>
          <w:sz w:val="24"/>
          <w:highlight w:val="none"/>
        </w:rPr>
        <w:t>操作</w:t>
      </w:r>
      <w:r>
        <w:rPr>
          <w:rFonts w:hint="eastAsia" w:ascii="宋体" w:hAnsi="宋体"/>
          <w:color w:val="auto"/>
          <w:sz w:val="24"/>
          <w:highlight w:val="none"/>
        </w:rPr>
        <w:t>能力；培养学生具有严谨认真、实事求是的科学态度；提高学生分析问题、解决问题的能力；养成良好的职业卫生习惯和职业道德，打下扎实的理论基础。</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w:t>
      </w:r>
      <w:r>
        <w:rPr>
          <w:rFonts w:hint="eastAsia" w:ascii="黑体" w:hAnsi="黑体" w:eastAsia="黑体" w:cs="黑体"/>
          <w:bCs/>
          <w:color w:val="auto"/>
          <w:sz w:val="30"/>
          <w:szCs w:val="30"/>
          <w:highlight w:val="none"/>
          <w:lang w:val="en-US" w:eastAsia="zh-CN"/>
        </w:rPr>
        <w:t>二</w:t>
      </w:r>
      <w:r>
        <w:rPr>
          <w:rFonts w:hint="eastAsia" w:ascii="黑体" w:hAnsi="黑体" w:eastAsia="黑体" w:cs="黑体"/>
          <w:bCs/>
          <w:color w:val="auto"/>
          <w:sz w:val="30"/>
          <w:szCs w:val="30"/>
          <w:highlight w:val="none"/>
          <w:lang w:eastAsia="zh-CN"/>
        </w:rPr>
        <w:t>）课程设计理念</w:t>
      </w:r>
    </w:p>
    <w:p>
      <w:pPr>
        <w:spacing w:line="360" w:lineRule="auto"/>
        <w:ind w:firstLine="432" w:firstLineChars="180"/>
        <w:rPr>
          <w:rFonts w:ascii="宋体" w:hAnsi="宋体"/>
          <w:color w:val="auto"/>
          <w:sz w:val="24"/>
          <w:highlight w:val="none"/>
        </w:rPr>
      </w:pPr>
      <w:r>
        <w:rPr>
          <w:rFonts w:hint="eastAsia" w:ascii="宋体" w:hAnsi="宋体"/>
          <w:color w:val="auto"/>
          <w:sz w:val="24"/>
          <w:highlight w:val="none"/>
        </w:rPr>
        <w:t>《煤气化工艺》开设课程的目的是根据本地产业结构和化工生产实际，丰富学生的专业知识体系，提升学生的专业素养，为从事煤化工相关工作奠定基础。通过本课程的学习,明确煤气化工艺在整个专业课中的地位及所学的全部内容，按照职业岗位要求，设计学习任务，以学生为主体，项目为导向，按照职业性、实践性和开放性要求组织教学，理论与实践相结合。具体理念包括: 人才培养目标符合高端技能型的需要，基于工作过程设计学习内容、采取项目导向教学模式，教学过程体现理论与实践相结合，评价过程化、系统化、立体化，注重全面发展。</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w:t>
      </w:r>
      <w:r>
        <w:rPr>
          <w:rFonts w:hint="eastAsia" w:ascii="黑体" w:hAnsi="黑体" w:eastAsia="黑体" w:cs="黑体"/>
          <w:bCs/>
          <w:color w:val="auto"/>
          <w:sz w:val="30"/>
          <w:szCs w:val="30"/>
          <w:highlight w:val="none"/>
          <w:lang w:val="en-US" w:eastAsia="zh-CN"/>
        </w:rPr>
        <w:t>三</w:t>
      </w:r>
      <w:r>
        <w:rPr>
          <w:rFonts w:hint="eastAsia" w:ascii="黑体" w:hAnsi="黑体" w:eastAsia="黑体" w:cs="黑体"/>
          <w:bCs/>
          <w:color w:val="auto"/>
          <w:sz w:val="30"/>
          <w:szCs w:val="30"/>
          <w:highlight w:val="none"/>
          <w:lang w:eastAsia="zh-CN"/>
        </w:rPr>
        <w:t>）课程目标</w:t>
      </w:r>
    </w:p>
    <w:p>
      <w:pPr>
        <w:spacing w:line="360" w:lineRule="auto"/>
        <w:ind w:firstLine="480" w:firstLineChars="200"/>
        <w:rPr>
          <w:rFonts w:ascii="宋体" w:hAnsi="宋体"/>
          <w:color w:val="auto"/>
          <w:sz w:val="24"/>
          <w:highlight w:val="none"/>
        </w:rPr>
      </w:pPr>
      <w:r>
        <w:rPr>
          <w:rFonts w:hint="eastAsia" w:ascii="宋体" w:hAnsi="宋体" w:cs="宋体"/>
          <w:color w:val="auto"/>
          <w:kern w:val="0"/>
          <w:sz w:val="24"/>
          <w:highlight w:val="none"/>
        </w:rPr>
        <w:t>通过本门课程学习，</w:t>
      </w:r>
      <w:r>
        <w:rPr>
          <w:rFonts w:hint="eastAsia" w:ascii="宋体" w:hAnsi="宋体"/>
          <w:color w:val="auto"/>
          <w:sz w:val="24"/>
          <w:highlight w:val="none"/>
        </w:rPr>
        <w:t>了解中国煤炭气化生产应用情况；掌握煤气生产的典型流程；掌握煤炭气化的</w:t>
      </w:r>
      <w:r>
        <w:rPr>
          <w:rFonts w:ascii="宋体" w:hAnsi="宋体"/>
          <w:color w:val="auto"/>
          <w:sz w:val="24"/>
          <w:highlight w:val="none"/>
        </w:rPr>
        <w:t>生产方法、基本原理、</w:t>
      </w:r>
      <w:r>
        <w:rPr>
          <w:rFonts w:hint="eastAsia" w:ascii="宋体" w:hAnsi="宋体"/>
          <w:color w:val="auto"/>
          <w:sz w:val="24"/>
          <w:highlight w:val="none"/>
        </w:rPr>
        <w:t>生产过程；掌握煤炭气化的</w:t>
      </w:r>
      <w:r>
        <w:rPr>
          <w:rFonts w:ascii="宋体" w:hAnsi="宋体"/>
          <w:color w:val="auto"/>
          <w:sz w:val="24"/>
          <w:highlight w:val="none"/>
        </w:rPr>
        <w:t>操作条件、主要设备结构、岗位操作、生产故障排除等知识</w:t>
      </w:r>
      <w:r>
        <w:rPr>
          <w:rFonts w:hint="eastAsia" w:ascii="宋体" w:hAnsi="宋体"/>
          <w:color w:val="auto"/>
          <w:sz w:val="24"/>
          <w:highlight w:val="none"/>
        </w:rPr>
        <w:t>；培养</w:t>
      </w:r>
      <w:r>
        <w:rPr>
          <w:rFonts w:ascii="宋体" w:hAnsi="宋体"/>
          <w:color w:val="auto"/>
          <w:sz w:val="24"/>
          <w:highlight w:val="none"/>
        </w:rPr>
        <w:t>学生具备准确的工艺计算能力</w:t>
      </w:r>
      <w:r>
        <w:rPr>
          <w:rFonts w:hint="eastAsia" w:ascii="宋体" w:hAnsi="宋体"/>
          <w:color w:val="auto"/>
          <w:sz w:val="24"/>
          <w:highlight w:val="none"/>
        </w:rPr>
        <w:t>；培养学生</w:t>
      </w:r>
      <w:r>
        <w:rPr>
          <w:rFonts w:ascii="宋体" w:hAnsi="宋体"/>
          <w:color w:val="auto"/>
          <w:sz w:val="24"/>
          <w:highlight w:val="none"/>
        </w:rPr>
        <w:t>确定工流程和设备选型的能力</w:t>
      </w:r>
      <w:r>
        <w:rPr>
          <w:rFonts w:hint="eastAsia" w:ascii="宋体" w:hAnsi="宋体"/>
          <w:color w:val="auto"/>
          <w:sz w:val="24"/>
          <w:highlight w:val="none"/>
        </w:rPr>
        <w:t>；培养学生具备</w:t>
      </w:r>
      <w:r>
        <w:rPr>
          <w:rFonts w:ascii="宋体" w:hAnsi="宋体"/>
          <w:color w:val="auto"/>
          <w:sz w:val="24"/>
          <w:highlight w:val="none"/>
        </w:rPr>
        <w:t>岗位</w:t>
      </w:r>
      <w:r>
        <w:rPr>
          <w:rFonts w:hint="eastAsia" w:ascii="宋体" w:hAnsi="宋体"/>
          <w:color w:val="auto"/>
          <w:sz w:val="24"/>
          <w:highlight w:val="none"/>
        </w:rPr>
        <w:t>安全</w:t>
      </w:r>
      <w:r>
        <w:rPr>
          <w:rFonts w:ascii="宋体" w:hAnsi="宋体"/>
          <w:color w:val="auto"/>
          <w:sz w:val="24"/>
          <w:highlight w:val="none"/>
        </w:rPr>
        <w:t>操作</w:t>
      </w:r>
      <w:r>
        <w:rPr>
          <w:rFonts w:hint="eastAsia" w:ascii="宋体" w:hAnsi="宋体"/>
          <w:color w:val="auto"/>
          <w:sz w:val="24"/>
          <w:highlight w:val="none"/>
        </w:rPr>
        <w:t>能力；培养学生严谨认真、实事求是、精益求精的科学态度；提高学生分析问题、解决问题的能力；培养学生遵守操作规程、安全生产的工作习惯；培养学生节约意识、质量意识、安全意识、创新意识、吃苦耐劳等良好的职业卫生习惯和职业道德。</w:t>
      </w:r>
    </w:p>
    <w:p>
      <w:pPr>
        <w:spacing w:line="360" w:lineRule="auto"/>
        <w:ind w:firstLine="300" w:firstLineChars="100"/>
        <w:rPr>
          <w:rFonts w:hint="default" w:ascii="黑体" w:hAnsi="黑体" w:eastAsia="黑体" w:cs="黑体"/>
          <w:bCs/>
          <w:color w:val="auto"/>
          <w:sz w:val="30"/>
          <w:szCs w:val="30"/>
          <w:highlight w:val="none"/>
          <w:lang w:val="en-US" w:eastAsia="zh-CN"/>
        </w:rPr>
      </w:pPr>
      <w:r>
        <w:rPr>
          <w:rFonts w:hint="eastAsia" w:ascii="黑体" w:hAnsi="黑体" w:eastAsia="黑体" w:cs="黑体"/>
          <w:bCs/>
          <w:color w:val="auto"/>
          <w:sz w:val="30"/>
          <w:szCs w:val="30"/>
          <w:highlight w:val="none"/>
          <w:lang w:eastAsia="zh-CN"/>
        </w:rPr>
        <w:t>（</w:t>
      </w:r>
      <w:r>
        <w:rPr>
          <w:rFonts w:hint="eastAsia" w:ascii="黑体" w:hAnsi="黑体" w:eastAsia="黑体" w:cs="黑体"/>
          <w:bCs/>
          <w:color w:val="auto"/>
          <w:sz w:val="30"/>
          <w:szCs w:val="30"/>
          <w:highlight w:val="none"/>
          <w:lang w:val="en-US" w:eastAsia="zh-CN"/>
        </w:rPr>
        <w:t>四</w:t>
      </w:r>
      <w:r>
        <w:rPr>
          <w:rFonts w:hint="eastAsia" w:ascii="黑体" w:hAnsi="黑体" w:eastAsia="黑体" w:cs="黑体"/>
          <w:bCs/>
          <w:color w:val="auto"/>
          <w:sz w:val="30"/>
          <w:szCs w:val="30"/>
          <w:highlight w:val="none"/>
          <w:lang w:eastAsia="zh-CN"/>
        </w:rPr>
        <w:t>）课程教学内容及学时分配</w:t>
      </w:r>
    </w:p>
    <w:p>
      <w:pPr>
        <w:spacing w:line="360" w:lineRule="auto"/>
        <w:ind w:left="480"/>
        <w:jc w:val="center"/>
        <w:rPr>
          <w:rFonts w:ascii="宋体" w:hAnsi="宋体"/>
          <w:color w:val="auto"/>
          <w:sz w:val="24"/>
          <w:highlight w:val="none"/>
        </w:rPr>
      </w:pPr>
      <w:r>
        <w:rPr>
          <w:rFonts w:hint="eastAsia" w:ascii="宋体" w:hAnsi="宋体"/>
          <w:color w:val="auto"/>
          <w:sz w:val="24"/>
          <w:highlight w:val="none"/>
        </w:rPr>
        <w:t>4.</w:t>
      </w:r>
      <w:r>
        <w:rPr>
          <w:rFonts w:ascii="宋体" w:hAnsi="宋体"/>
          <w:color w:val="auto"/>
          <w:sz w:val="24"/>
          <w:highlight w:val="none"/>
        </w:rPr>
        <w:t>8</w:t>
      </w:r>
      <w:r>
        <w:rPr>
          <w:rFonts w:hint="eastAsia" w:ascii="宋体" w:hAnsi="宋体"/>
          <w:color w:val="auto"/>
          <w:sz w:val="24"/>
          <w:highlight w:val="none"/>
        </w:rPr>
        <w:t xml:space="preserve"> </w:t>
      </w:r>
      <w:r>
        <w:rPr>
          <w:rFonts w:hint="eastAsia" w:ascii="宋体" w:hAnsi="宋体"/>
          <w:color w:val="auto"/>
          <w:kern w:val="0"/>
          <w:sz w:val="24"/>
          <w:highlight w:val="none"/>
        </w:rPr>
        <w:t>《</w:t>
      </w:r>
      <w:r>
        <w:rPr>
          <w:rFonts w:hint="eastAsia" w:ascii="宋体" w:hAnsi="宋体" w:cs="宋体"/>
          <w:color w:val="auto"/>
          <w:sz w:val="24"/>
          <w:highlight w:val="none"/>
        </w:rPr>
        <w:t>煤气化工艺</w:t>
      </w:r>
      <w:r>
        <w:rPr>
          <w:rFonts w:hint="eastAsia" w:ascii="宋体" w:hAnsi="宋体"/>
          <w:color w:val="auto"/>
          <w:kern w:val="0"/>
          <w:sz w:val="24"/>
          <w:highlight w:val="none"/>
        </w:rPr>
        <w:t>》</w:t>
      </w:r>
      <w:r>
        <w:rPr>
          <w:rFonts w:hAnsi="宋体"/>
          <w:color w:val="auto"/>
          <w:kern w:val="0"/>
          <w:sz w:val="24"/>
          <w:highlight w:val="none"/>
        </w:rPr>
        <w:t>课程教学内容及学时安排</w:t>
      </w:r>
    </w:p>
    <w:tbl>
      <w:tblPr>
        <w:tblStyle w:val="14"/>
        <w:tblW w:w="8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2467"/>
        <w:gridCol w:w="3595"/>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1250" w:type="dxa"/>
            <w:noWrap/>
            <w:vAlign w:val="center"/>
          </w:tcPr>
          <w:p>
            <w:pPr>
              <w:pStyle w:val="7"/>
              <w:snapToGrid w:val="0"/>
              <w:spacing w:line="240" w:lineRule="auto"/>
              <w:jc w:val="center"/>
              <w:rPr>
                <w:rFonts w:ascii="Times New Roman" w:hAnsi="Times New Roman" w:cs="Times New Roman"/>
                <w:b/>
                <w:color w:val="auto"/>
                <w:highlight w:val="none"/>
              </w:rPr>
            </w:pPr>
            <w:r>
              <w:rPr>
                <w:rFonts w:ascii="Times New Roman" w:hAnsi="宋体" w:cs="Times New Roman"/>
                <w:b/>
                <w:color w:val="auto"/>
                <w:highlight w:val="none"/>
              </w:rPr>
              <w:t>项目任务</w:t>
            </w:r>
          </w:p>
        </w:tc>
        <w:tc>
          <w:tcPr>
            <w:tcW w:w="2467" w:type="dxa"/>
            <w:noWrap/>
            <w:vAlign w:val="center"/>
          </w:tcPr>
          <w:p>
            <w:pPr>
              <w:pStyle w:val="7"/>
              <w:snapToGrid w:val="0"/>
              <w:spacing w:line="240" w:lineRule="auto"/>
              <w:jc w:val="center"/>
              <w:rPr>
                <w:rFonts w:ascii="Times New Roman" w:hAnsi="Times New Roman" w:cs="Times New Roman"/>
                <w:b/>
                <w:color w:val="auto"/>
                <w:highlight w:val="none"/>
              </w:rPr>
            </w:pPr>
            <w:r>
              <w:rPr>
                <w:rFonts w:ascii="Times New Roman" w:hAnsi="宋体" w:cs="Times New Roman"/>
                <w:b/>
                <w:color w:val="auto"/>
                <w:highlight w:val="none"/>
              </w:rPr>
              <w:t>学习情境描述及目标</w:t>
            </w:r>
          </w:p>
        </w:tc>
        <w:tc>
          <w:tcPr>
            <w:tcW w:w="3595" w:type="dxa"/>
            <w:noWrap/>
            <w:vAlign w:val="center"/>
          </w:tcPr>
          <w:p>
            <w:pPr>
              <w:pStyle w:val="7"/>
              <w:snapToGrid w:val="0"/>
              <w:spacing w:line="240" w:lineRule="auto"/>
              <w:jc w:val="center"/>
              <w:rPr>
                <w:rFonts w:ascii="Times New Roman" w:hAnsi="Times New Roman" w:cs="Times New Roman"/>
                <w:b/>
                <w:color w:val="auto"/>
                <w:highlight w:val="none"/>
              </w:rPr>
            </w:pPr>
            <w:r>
              <w:rPr>
                <w:rFonts w:ascii="Times New Roman" w:hAnsi="宋体" w:cs="Times New Roman"/>
                <w:b/>
                <w:color w:val="auto"/>
                <w:highlight w:val="none"/>
              </w:rPr>
              <w:t>学习内容</w:t>
            </w:r>
          </w:p>
        </w:tc>
        <w:tc>
          <w:tcPr>
            <w:tcW w:w="868" w:type="dxa"/>
            <w:noWrap/>
            <w:vAlign w:val="center"/>
          </w:tcPr>
          <w:p>
            <w:pPr>
              <w:pStyle w:val="7"/>
              <w:snapToGrid w:val="0"/>
              <w:spacing w:line="360" w:lineRule="auto"/>
              <w:jc w:val="center"/>
              <w:rPr>
                <w:rFonts w:ascii="Times New Roman" w:hAnsi="宋体" w:cs="Times New Roman"/>
                <w:b/>
                <w:color w:val="auto"/>
                <w:highlight w:val="none"/>
              </w:rPr>
            </w:pPr>
            <w:r>
              <w:rPr>
                <w:rFonts w:ascii="Times New Roman" w:hAnsi="宋体" w:cs="Times New Roman"/>
                <w:b/>
                <w:color w:val="auto"/>
                <w:highlight w:val="none"/>
              </w:rPr>
              <w:t>学时</w:t>
            </w:r>
          </w:p>
          <w:p>
            <w:pPr>
              <w:pStyle w:val="7"/>
              <w:snapToGrid w:val="0"/>
              <w:spacing w:line="360" w:lineRule="auto"/>
              <w:jc w:val="center"/>
              <w:rPr>
                <w:rFonts w:ascii="Times New Roman" w:hAnsi="Times New Roman" w:cs="Times New Roman"/>
                <w:b/>
                <w:color w:val="auto"/>
                <w:highlight w:val="none"/>
              </w:rPr>
            </w:pPr>
            <w:r>
              <w:rPr>
                <w:rFonts w:ascii="Times New Roman" w:hAnsi="宋体" w:cs="Times New Roman"/>
                <w:b/>
                <w:color w:val="auto"/>
                <w:highlight w:val="none"/>
              </w:rPr>
              <w:t>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spacing w:line="240" w:lineRule="auto"/>
              <w:jc w:val="center"/>
              <w:rPr>
                <w:rFonts w:ascii="宋体" w:hAnsi="宋体"/>
                <w:color w:val="auto"/>
                <w:szCs w:val="21"/>
                <w:highlight w:val="none"/>
              </w:rPr>
            </w:pPr>
            <w:r>
              <w:rPr>
                <w:rFonts w:ascii="宋体" w:hAnsi="宋体" w:cs="微软雅黑"/>
                <w:color w:val="auto"/>
                <w:szCs w:val="21"/>
                <w:highlight w:val="none"/>
                <w:shd w:val="clear" w:color="auto" w:fill="FFFFFF"/>
              </w:rPr>
              <w:t>绪论</w:t>
            </w:r>
            <w:r>
              <w:rPr>
                <w:rFonts w:hint="eastAsia" w:ascii="宋体" w:hAnsi="宋体" w:cs="微软雅黑"/>
                <w:color w:val="auto"/>
                <w:szCs w:val="21"/>
                <w:highlight w:val="none"/>
                <w:shd w:val="clear" w:color="auto" w:fill="FFFFFF"/>
              </w:rPr>
              <w:t> </w:t>
            </w:r>
          </w:p>
        </w:tc>
        <w:tc>
          <w:tcPr>
            <w:tcW w:w="2467" w:type="dxa"/>
            <w:noWrap/>
            <w:vAlign w:val="center"/>
          </w:tcPr>
          <w:p>
            <w:pPr>
              <w:spacing w:line="240" w:lineRule="auto"/>
              <w:rPr>
                <w:rFonts w:hint="eastAsia" w:ascii="宋体" w:hAnsi="宋体" w:eastAsiaTheme="minorEastAsia"/>
                <w:color w:val="auto"/>
                <w:szCs w:val="21"/>
                <w:highlight w:val="none"/>
                <w:lang w:val="en-US" w:eastAsia="zh-CN"/>
              </w:rPr>
            </w:pPr>
            <w:r>
              <w:rPr>
                <w:rFonts w:hint="eastAsia" w:ascii="宋体" w:hAnsi="宋体"/>
                <w:color w:val="auto"/>
                <w:szCs w:val="21"/>
                <w:highlight w:val="none"/>
              </w:rPr>
              <w:t>了解煤炭气化的重要意义</w:t>
            </w:r>
          </w:p>
        </w:tc>
        <w:tc>
          <w:tcPr>
            <w:tcW w:w="3595" w:type="dxa"/>
            <w:noWrap/>
          </w:tcPr>
          <w:p>
            <w:pPr>
              <w:spacing w:line="240" w:lineRule="auto"/>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w:t>
            </w:r>
            <w:r>
              <w:rPr>
                <w:rFonts w:hint="eastAsia" w:ascii="宋体" w:hAnsi="宋体"/>
                <w:color w:val="auto"/>
                <w:szCs w:val="21"/>
                <w:highlight w:val="none"/>
              </w:rPr>
              <w:t>煤炭气化的重要意；</w:t>
            </w:r>
          </w:p>
        </w:tc>
        <w:tc>
          <w:tcPr>
            <w:tcW w:w="868"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spacing w:line="240" w:lineRule="auto"/>
              <w:jc w:val="center"/>
              <w:rPr>
                <w:rFonts w:ascii="宋体" w:hAnsi="宋体"/>
                <w:color w:val="auto"/>
                <w:szCs w:val="21"/>
                <w:highlight w:val="none"/>
              </w:rPr>
            </w:pPr>
            <w:r>
              <w:rPr>
                <w:rFonts w:hint="eastAsia" w:ascii="宋体" w:hAnsi="宋体" w:cs="微软雅黑"/>
                <w:color w:val="auto"/>
                <w:szCs w:val="21"/>
                <w:highlight w:val="none"/>
                <w:shd w:val="clear" w:color="auto" w:fill="FFFFFF"/>
              </w:rPr>
              <w:t>煤气化原理</w:t>
            </w:r>
            <w:r>
              <w:rPr>
                <w:rFonts w:hint="eastAsia" w:ascii="宋体" w:hAnsi="宋体" w:cs="微软雅黑"/>
                <w:color w:val="auto"/>
                <w:szCs w:val="21"/>
                <w:highlight w:val="none"/>
                <w:shd w:val="clear" w:color="auto" w:fill="FFFFFF"/>
              </w:rPr>
              <w:br w:type="textWrapping"/>
            </w:r>
          </w:p>
        </w:tc>
        <w:tc>
          <w:tcPr>
            <w:tcW w:w="2467" w:type="dxa"/>
            <w:noWrap/>
            <w:vAlign w:val="center"/>
          </w:tcPr>
          <w:p>
            <w:pPr>
              <w:spacing w:line="240" w:lineRule="auto"/>
              <w:rPr>
                <w:rFonts w:ascii="宋体" w:hAnsi="宋体"/>
                <w:color w:val="auto"/>
                <w:szCs w:val="21"/>
                <w:highlight w:val="none"/>
              </w:rPr>
            </w:pPr>
            <w:r>
              <w:rPr>
                <w:rFonts w:hint="eastAsia" w:ascii="宋体" w:hAnsi="宋体"/>
                <w:color w:val="auto"/>
                <w:szCs w:val="21"/>
                <w:highlight w:val="none"/>
              </w:rPr>
              <w:t>掌握煤气初冷操作技术和初冷常见事故的处理；</w:t>
            </w:r>
          </w:p>
        </w:tc>
        <w:tc>
          <w:tcPr>
            <w:tcW w:w="3595" w:type="dxa"/>
            <w:noWrap/>
          </w:tcPr>
          <w:p>
            <w:pPr>
              <w:numPr>
                <w:ilvl w:val="0"/>
                <w:numId w:val="5"/>
              </w:numPr>
              <w:spacing w:line="240" w:lineRule="auto"/>
              <w:rPr>
                <w:rFonts w:hint="eastAsia" w:ascii="宋体" w:hAnsi="宋体"/>
                <w:color w:val="auto"/>
                <w:szCs w:val="21"/>
                <w:highlight w:val="none"/>
              </w:rPr>
            </w:pPr>
            <w:r>
              <w:rPr>
                <w:rFonts w:hint="eastAsia" w:ascii="宋体" w:hAnsi="宋体"/>
                <w:color w:val="auto"/>
                <w:szCs w:val="21"/>
                <w:highlight w:val="none"/>
              </w:rPr>
              <w:t>掌握煤气在集气管内的冷却机理及技术要求；</w:t>
            </w:r>
          </w:p>
          <w:p>
            <w:pPr>
              <w:numPr>
                <w:ilvl w:val="0"/>
                <w:numId w:val="5"/>
              </w:numPr>
              <w:spacing w:line="240" w:lineRule="auto"/>
              <w:ind w:left="0" w:leftChars="0" w:firstLine="0" w:firstLineChars="0"/>
              <w:rPr>
                <w:rFonts w:hint="eastAsia" w:ascii="宋体" w:hAnsi="宋体"/>
                <w:color w:val="auto"/>
                <w:szCs w:val="21"/>
                <w:highlight w:val="none"/>
              </w:rPr>
            </w:pPr>
            <w:r>
              <w:rPr>
                <w:rFonts w:hint="eastAsia" w:ascii="宋体" w:hAnsi="宋体"/>
                <w:color w:val="auto"/>
                <w:szCs w:val="21"/>
                <w:highlight w:val="none"/>
              </w:rPr>
              <w:t>掌握煤气在初冷器中冷却的方法；</w:t>
            </w:r>
          </w:p>
          <w:p>
            <w:pPr>
              <w:numPr>
                <w:ilvl w:val="0"/>
                <w:numId w:val="0"/>
              </w:numPr>
              <w:spacing w:line="240" w:lineRule="auto"/>
              <w:ind w:leftChars="0"/>
              <w:rPr>
                <w:rFonts w:hint="eastAsia" w:ascii="宋体" w:hAnsi="宋体"/>
                <w:color w:val="auto"/>
                <w:szCs w:val="21"/>
                <w:highlight w:val="none"/>
              </w:rPr>
            </w:pPr>
            <w:r>
              <w:rPr>
                <w:rFonts w:hint="eastAsia" w:ascii="宋体" w:hAnsi="宋体"/>
                <w:color w:val="auto"/>
                <w:szCs w:val="21"/>
                <w:highlight w:val="none"/>
                <w:lang w:val="en-US" w:eastAsia="zh-CN"/>
              </w:rPr>
              <w:t>3.</w:t>
            </w:r>
            <w:r>
              <w:rPr>
                <w:rFonts w:hint="eastAsia" w:ascii="宋体" w:hAnsi="宋体"/>
                <w:color w:val="auto"/>
                <w:szCs w:val="21"/>
                <w:highlight w:val="none"/>
              </w:rPr>
              <w:t>了解焦油氨水的混合物的性质及分离要求、方法流程；</w:t>
            </w:r>
          </w:p>
          <w:p>
            <w:pPr>
              <w:numPr>
                <w:ilvl w:val="0"/>
                <w:numId w:val="0"/>
              </w:numPr>
              <w:spacing w:line="240" w:lineRule="auto"/>
              <w:ind w:leftChars="0"/>
              <w:rPr>
                <w:rFonts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lang w:val="en-US" w:eastAsia="zh-CN"/>
              </w:rPr>
              <w:t>.</w:t>
            </w:r>
            <w:r>
              <w:rPr>
                <w:rFonts w:hint="eastAsia" w:ascii="宋体" w:hAnsi="宋体"/>
                <w:color w:val="auto"/>
                <w:szCs w:val="21"/>
                <w:highlight w:val="none"/>
              </w:rPr>
              <w:t>了解煤气冷却的主要设备；</w:t>
            </w:r>
          </w:p>
        </w:tc>
        <w:tc>
          <w:tcPr>
            <w:tcW w:w="868"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spacing w:line="240" w:lineRule="auto"/>
              <w:jc w:val="center"/>
              <w:rPr>
                <w:rFonts w:ascii="宋体" w:hAnsi="宋体"/>
                <w:color w:val="auto"/>
                <w:szCs w:val="21"/>
                <w:highlight w:val="none"/>
              </w:rPr>
            </w:pPr>
            <w:r>
              <w:rPr>
                <w:rFonts w:hint="eastAsia" w:ascii="宋体" w:hAnsi="宋体" w:cs="微软雅黑"/>
                <w:color w:val="auto"/>
                <w:szCs w:val="21"/>
                <w:highlight w:val="none"/>
                <w:shd w:val="clear" w:color="auto" w:fill="FFFFFF"/>
              </w:rPr>
              <w:t>空气分离</w:t>
            </w:r>
          </w:p>
        </w:tc>
        <w:tc>
          <w:tcPr>
            <w:tcW w:w="2467" w:type="dxa"/>
            <w:noWrap/>
            <w:vAlign w:val="center"/>
          </w:tcPr>
          <w:p>
            <w:pPr>
              <w:spacing w:line="240" w:lineRule="auto"/>
              <w:rPr>
                <w:rFonts w:ascii="宋体" w:hAnsi="宋体"/>
                <w:color w:val="auto"/>
                <w:szCs w:val="21"/>
                <w:highlight w:val="none"/>
              </w:rPr>
            </w:pPr>
            <w:r>
              <w:rPr>
                <w:rFonts w:hint="eastAsia" w:ascii="宋体" w:hAnsi="宋体"/>
                <w:color w:val="auto"/>
                <w:szCs w:val="21"/>
                <w:highlight w:val="none"/>
              </w:rPr>
              <w:t>掌握鼓风机系统的操作和常见事故的处理；</w:t>
            </w:r>
          </w:p>
        </w:tc>
        <w:tc>
          <w:tcPr>
            <w:tcW w:w="3595" w:type="dxa"/>
            <w:noWrap/>
          </w:tcPr>
          <w:p>
            <w:pPr>
              <w:numPr>
                <w:ilvl w:val="0"/>
                <w:numId w:val="0"/>
              </w:numPr>
              <w:spacing w:line="240" w:lineRule="auto"/>
              <w:rPr>
                <w:rFonts w:hint="eastAsia" w:ascii="宋体" w:hAnsi="宋体"/>
                <w:color w:val="auto"/>
                <w:szCs w:val="21"/>
                <w:highlight w:val="none"/>
              </w:rPr>
            </w:pPr>
            <w:r>
              <w:rPr>
                <w:rFonts w:hint="eastAsia" w:ascii="宋体" w:hAnsi="宋体"/>
                <w:color w:val="auto"/>
                <w:szCs w:val="21"/>
                <w:highlight w:val="none"/>
                <w:lang w:val="en-US" w:eastAsia="zh-CN"/>
              </w:rPr>
              <w:t>1.</w:t>
            </w:r>
            <w:r>
              <w:rPr>
                <w:rFonts w:hint="eastAsia" w:ascii="宋体" w:hAnsi="宋体"/>
                <w:color w:val="auto"/>
                <w:szCs w:val="21"/>
                <w:highlight w:val="none"/>
              </w:rPr>
              <w:t>了解煤气输送系统及管路设计；</w:t>
            </w:r>
          </w:p>
          <w:p>
            <w:pPr>
              <w:numPr>
                <w:ilvl w:val="0"/>
                <w:numId w:val="0"/>
              </w:numPr>
              <w:spacing w:line="240" w:lineRule="auto"/>
              <w:ind w:leftChars="0"/>
              <w:rPr>
                <w:rFonts w:hint="eastAsia" w:ascii="宋体" w:hAnsi="宋体"/>
                <w:color w:val="auto"/>
                <w:szCs w:val="21"/>
                <w:highlight w:val="none"/>
              </w:rPr>
            </w:pPr>
            <w:r>
              <w:rPr>
                <w:rFonts w:hint="eastAsia" w:ascii="宋体" w:hAnsi="宋体"/>
                <w:color w:val="auto"/>
                <w:szCs w:val="21"/>
                <w:highlight w:val="none"/>
                <w:lang w:val="en-US" w:eastAsia="zh-CN"/>
              </w:rPr>
              <w:t>2.</w:t>
            </w:r>
            <w:r>
              <w:rPr>
                <w:rFonts w:hint="eastAsia" w:ascii="宋体" w:hAnsi="宋体"/>
                <w:color w:val="auto"/>
                <w:szCs w:val="21"/>
                <w:highlight w:val="none"/>
              </w:rPr>
              <w:t>掌握鼓风机的结构、性能及调节；</w:t>
            </w:r>
          </w:p>
          <w:p>
            <w:pPr>
              <w:numPr>
                <w:ilvl w:val="0"/>
                <w:numId w:val="0"/>
              </w:numPr>
              <w:spacing w:line="240" w:lineRule="auto"/>
              <w:ind w:leftChars="0"/>
              <w:rPr>
                <w:rFonts w:ascii="宋体" w:hAnsi="宋体"/>
                <w:color w:val="auto"/>
                <w:szCs w:val="21"/>
                <w:highlight w:val="none"/>
              </w:rPr>
            </w:pPr>
            <w:r>
              <w:rPr>
                <w:rFonts w:hint="eastAsia" w:ascii="宋体" w:hAnsi="宋体"/>
                <w:color w:val="auto"/>
                <w:szCs w:val="21"/>
                <w:highlight w:val="none"/>
              </w:rPr>
              <w:t>3</w:t>
            </w:r>
            <w:r>
              <w:rPr>
                <w:rFonts w:hint="eastAsia" w:ascii="宋体" w:hAnsi="宋体"/>
                <w:color w:val="auto"/>
                <w:szCs w:val="21"/>
                <w:highlight w:val="none"/>
                <w:lang w:val="en-US" w:eastAsia="zh-CN"/>
              </w:rPr>
              <w:t>.</w:t>
            </w:r>
            <w:r>
              <w:rPr>
                <w:rFonts w:hint="eastAsia" w:ascii="宋体" w:hAnsi="宋体"/>
                <w:color w:val="auto"/>
                <w:szCs w:val="21"/>
                <w:highlight w:val="none"/>
              </w:rPr>
              <w:t>掌握煤气中煤焦油雾的形成、清除目的及清除原理；</w:t>
            </w:r>
          </w:p>
        </w:tc>
        <w:tc>
          <w:tcPr>
            <w:tcW w:w="868"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spacing w:line="240" w:lineRule="auto"/>
              <w:jc w:val="center"/>
              <w:rPr>
                <w:rFonts w:ascii="宋体" w:hAnsi="宋体"/>
                <w:color w:val="auto"/>
                <w:szCs w:val="21"/>
                <w:highlight w:val="none"/>
              </w:rPr>
            </w:pPr>
            <w:r>
              <w:rPr>
                <w:rFonts w:hint="eastAsia" w:ascii="宋体" w:hAnsi="宋体" w:cs="微软雅黑"/>
                <w:color w:val="auto"/>
                <w:szCs w:val="21"/>
                <w:highlight w:val="none"/>
                <w:shd w:val="clear" w:color="auto" w:fill="FFFFFF"/>
              </w:rPr>
              <w:t>气化过程生产技术</w:t>
            </w:r>
            <w:r>
              <w:rPr>
                <w:rFonts w:hint="eastAsia" w:ascii="宋体" w:hAnsi="宋体" w:cs="微软雅黑"/>
                <w:color w:val="auto"/>
                <w:szCs w:val="21"/>
                <w:highlight w:val="none"/>
                <w:shd w:val="clear" w:color="auto" w:fill="FFFFFF"/>
              </w:rPr>
              <w:br w:type="textWrapping"/>
            </w:r>
            <w:r>
              <w:rPr>
                <w:rFonts w:hint="eastAsia" w:ascii="宋体" w:hAnsi="宋体"/>
                <w:color w:val="auto"/>
                <w:szCs w:val="21"/>
                <w:highlight w:val="none"/>
                <w:shd w:val="clear" w:color="auto" w:fill="FFFFFF"/>
              </w:rPr>
              <w:br w:type="textWrapping"/>
            </w:r>
          </w:p>
        </w:tc>
        <w:tc>
          <w:tcPr>
            <w:tcW w:w="2467" w:type="dxa"/>
            <w:noWrap/>
            <w:vAlign w:val="center"/>
          </w:tcPr>
          <w:p>
            <w:pPr>
              <w:spacing w:line="240" w:lineRule="auto"/>
              <w:rPr>
                <w:rFonts w:ascii="宋体" w:hAnsi="宋体"/>
                <w:color w:val="auto"/>
                <w:szCs w:val="21"/>
                <w:highlight w:val="none"/>
              </w:rPr>
            </w:pPr>
            <w:r>
              <w:rPr>
                <w:rFonts w:hint="eastAsia" w:ascii="宋体" w:hAnsi="宋体"/>
                <w:color w:val="auto"/>
                <w:szCs w:val="21"/>
                <w:highlight w:val="none"/>
              </w:rPr>
              <w:t>掌握煤气的主要操作和常见事故处理；</w:t>
            </w:r>
          </w:p>
        </w:tc>
        <w:tc>
          <w:tcPr>
            <w:tcW w:w="3595" w:type="dxa"/>
            <w:noWrap/>
          </w:tcPr>
          <w:p>
            <w:pPr>
              <w:numPr>
                <w:ilvl w:val="0"/>
                <w:numId w:val="6"/>
              </w:numPr>
              <w:spacing w:line="240" w:lineRule="auto"/>
              <w:rPr>
                <w:rFonts w:hint="eastAsia" w:ascii="宋体" w:hAnsi="宋体"/>
                <w:color w:val="auto"/>
                <w:szCs w:val="21"/>
                <w:highlight w:val="none"/>
              </w:rPr>
            </w:pPr>
            <w:r>
              <w:rPr>
                <w:rFonts w:hint="eastAsia" w:ascii="宋体" w:hAnsi="宋体"/>
                <w:color w:val="auto"/>
                <w:szCs w:val="21"/>
                <w:highlight w:val="none"/>
              </w:rPr>
              <w:t>掌握硫酸吸收法回收煤气中氨生产方法、原理、工艺流程；</w:t>
            </w:r>
          </w:p>
          <w:p>
            <w:pPr>
              <w:numPr>
                <w:ilvl w:val="0"/>
                <w:numId w:val="0"/>
              </w:numPr>
              <w:spacing w:line="240" w:lineRule="auto"/>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w:t>
            </w:r>
            <w:r>
              <w:rPr>
                <w:rFonts w:hint="eastAsia" w:ascii="宋体" w:hAnsi="宋体"/>
                <w:color w:val="auto"/>
                <w:szCs w:val="21"/>
                <w:highlight w:val="none"/>
              </w:rPr>
              <w:t>掌握磷酸吸收法回收煤气中的氨原理、工艺流程；</w:t>
            </w:r>
          </w:p>
          <w:p>
            <w:pPr>
              <w:numPr>
                <w:ilvl w:val="0"/>
                <w:numId w:val="0"/>
              </w:numPr>
              <w:spacing w:line="240" w:lineRule="auto"/>
              <w:rPr>
                <w:rFonts w:hint="eastAsia" w:ascii="宋体" w:hAnsi="宋体"/>
                <w:color w:val="auto"/>
                <w:szCs w:val="21"/>
                <w:highlight w:val="none"/>
              </w:rPr>
            </w:pPr>
            <w:r>
              <w:rPr>
                <w:rFonts w:hint="eastAsia" w:ascii="宋体" w:hAnsi="宋体"/>
                <w:color w:val="auto"/>
                <w:szCs w:val="21"/>
                <w:highlight w:val="none"/>
              </w:rPr>
              <w:t>3</w:t>
            </w:r>
            <w:r>
              <w:rPr>
                <w:rFonts w:hint="eastAsia" w:ascii="宋体" w:hAnsi="宋体"/>
                <w:color w:val="auto"/>
                <w:szCs w:val="21"/>
                <w:highlight w:val="none"/>
                <w:lang w:val="en-US" w:eastAsia="zh-CN"/>
              </w:rPr>
              <w:t>.</w:t>
            </w:r>
            <w:r>
              <w:rPr>
                <w:rFonts w:hint="eastAsia" w:ascii="宋体" w:hAnsi="宋体"/>
                <w:color w:val="auto"/>
                <w:szCs w:val="21"/>
                <w:highlight w:val="none"/>
              </w:rPr>
              <w:t>掌握粗轻吡啶的组成、性质、工艺原理、流程、设备等；</w:t>
            </w:r>
          </w:p>
          <w:p>
            <w:pPr>
              <w:numPr>
                <w:ilvl w:val="0"/>
                <w:numId w:val="0"/>
              </w:numPr>
              <w:spacing w:line="240" w:lineRule="auto"/>
              <w:rPr>
                <w:rFonts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lang w:val="en-US" w:eastAsia="zh-CN"/>
              </w:rPr>
              <w:t>.</w:t>
            </w:r>
            <w:r>
              <w:rPr>
                <w:rFonts w:hint="eastAsia" w:ascii="宋体" w:hAnsi="宋体"/>
                <w:color w:val="auto"/>
                <w:szCs w:val="21"/>
                <w:highlight w:val="none"/>
              </w:rPr>
              <w:t>掌握剩余氨水的组成、加工工艺流程及设备；</w:t>
            </w:r>
          </w:p>
        </w:tc>
        <w:tc>
          <w:tcPr>
            <w:tcW w:w="868"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spacing w:line="240" w:lineRule="auto"/>
              <w:jc w:val="center"/>
              <w:rPr>
                <w:rFonts w:ascii="宋体" w:hAnsi="宋体"/>
                <w:color w:val="auto"/>
                <w:szCs w:val="21"/>
                <w:highlight w:val="none"/>
              </w:rPr>
            </w:pPr>
            <w:r>
              <w:rPr>
                <w:rFonts w:hint="eastAsia" w:ascii="宋体" w:hAnsi="宋体" w:cs="微软雅黑"/>
                <w:color w:val="auto"/>
                <w:szCs w:val="21"/>
                <w:highlight w:val="none"/>
                <w:shd w:val="clear" w:color="auto" w:fill="FFFFFF"/>
              </w:rPr>
              <w:t>煤气净化</w:t>
            </w:r>
            <w:r>
              <w:rPr>
                <w:rFonts w:hint="eastAsia" w:ascii="宋体" w:hAnsi="宋体" w:cs="微软雅黑"/>
                <w:color w:val="auto"/>
                <w:szCs w:val="21"/>
                <w:highlight w:val="none"/>
                <w:shd w:val="clear" w:color="auto" w:fill="FFFFFF"/>
              </w:rPr>
              <w:br w:type="textWrapping"/>
            </w:r>
          </w:p>
        </w:tc>
        <w:tc>
          <w:tcPr>
            <w:tcW w:w="2467" w:type="dxa"/>
            <w:noWrap/>
            <w:vAlign w:val="center"/>
          </w:tcPr>
          <w:p>
            <w:pPr>
              <w:spacing w:line="240" w:lineRule="auto"/>
              <w:rPr>
                <w:rFonts w:ascii="宋体" w:hAnsi="宋体"/>
                <w:color w:val="auto"/>
                <w:szCs w:val="21"/>
                <w:highlight w:val="none"/>
              </w:rPr>
            </w:pPr>
            <w:r>
              <w:rPr>
                <w:rFonts w:hint="eastAsia" w:ascii="宋体" w:hAnsi="宋体"/>
                <w:color w:val="auto"/>
                <w:szCs w:val="21"/>
                <w:highlight w:val="none"/>
              </w:rPr>
              <w:t>掌握煤气的设计参数和脱硫剂量的计算；</w:t>
            </w:r>
          </w:p>
        </w:tc>
        <w:tc>
          <w:tcPr>
            <w:tcW w:w="3595" w:type="dxa"/>
            <w:noWrap/>
          </w:tcPr>
          <w:p>
            <w:pPr>
              <w:numPr>
                <w:ilvl w:val="0"/>
                <w:numId w:val="7"/>
              </w:numPr>
              <w:spacing w:line="240" w:lineRule="auto"/>
              <w:rPr>
                <w:rFonts w:hint="eastAsia" w:ascii="宋体" w:hAnsi="宋体"/>
                <w:color w:val="auto"/>
                <w:szCs w:val="21"/>
                <w:highlight w:val="none"/>
              </w:rPr>
            </w:pPr>
            <w:r>
              <w:rPr>
                <w:rFonts w:hint="eastAsia" w:ascii="宋体" w:hAnsi="宋体"/>
                <w:color w:val="auto"/>
                <w:szCs w:val="21"/>
                <w:highlight w:val="none"/>
              </w:rPr>
              <w:t>了解焦炉煤气中脱除硫化氢和氰化氢的重要性及方法；</w:t>
            </w:r>
          </w:p>
          <w:p>
            <w:pPr>
              <w:numPr>
                <w:ilvl w:val="0"/>
                <w:numId w:val="7"/>
              </w:numPr>
              <w:spacing w:line="240" w:lineRule="auto"/>
              <w:ind w:left="0" w:leftChars="0" w:firstLine="0" w:firstLineChars="0"/>
              <w:rPr>
                <w:rFonts w:hint="eastAsia" w:ascii="宋体" w:hAnsi="宋体"/>
                <w:color w:val="auto"/>
                <w:szCs w:val="21"/>
                <w:highlight w:val="none"/>
              </w:rPr>
            </w:pPr>
            <w:r>
              <w:rPr>
                <w:rFonts w:hint="eastAsia" w:ascii="宋体" w:hAnsi="宋体"/>
                <w:color w:val="auto"/>
                <w:szCs w:val="21"/>
                <w:highlight w:val="none"/>
              </w:rPr>
              <w:t>掌握干法脱硫的原理、设备；</w:t>
            </w:r>
          </w:p>
          <w:p>
            <w:pPr>
              <w:numPr>
                <w:ilvl w:val="0"/>
                <w:numId w:val="0"/>
              </w:numPr>
              <w:spacing w:line="240" w:lineRule="auto"/>
              <w:ind w:leftChars="0"/>
              <w:rPr>
                <w:rFonts w:hint="eastAsia" w:ascii="宋体" w:hAnsi="宋体"/>
                <w:color w:val="auto"/>
                <w:szCs w:val="21"/>
                <w:highlight w:val="none"/>
              </w:rPr>
            </w:pPr>
            <w:r>
              <w:rPr>
                <w:rFonts w:hint="eastAsia" w:ascii="宋体" w:hAnsi="宋体"/>
                <w:color w:val="auto"/>
                <w:szCs w:val="21"/>
                <w:highlight w:val="none"/>
              </w:rPr>
              <w:t>3</w:t>
            </w:r>
            <w:r>
              <w:rPr>
                <w:rFonts w:hint="eastAsia" w:ascii="宋体" w:hAnsi="宋体"/>
                <w:color w:val="auto"/>
                <w:szCs w:val="21"/>
                <w:highlight w:val="none"/>
                <w:lang w:val="en-US" w:eastAsia="zh-CN"/>
              </w:rPr>
              <w:t>.</w:t>
            </w:r>
            <w:r>
              <w:rPr>
                <w:rFonts w:hint="eastAsia" w:ascii="宋体" w:hAnsi="宋体"/>
                <w:color w:val="auto"/>
                <w:szCs w:val="21"/>
                <w:highlight w:val="none"/>
              </w:rPr>
              <w:t>掌握改良ADA法脱硫和栲胶法脱硫的原理、流程；</w:t>
            </w:r>
          </w:p>
          <w:p>
            <w:pPr>
              <w:numPr>
                <w:ilvl w:val="0"/>
                <w:numId w:val="0"/>
              </w:numPr>
              <w:spacing w:line="240" w:lineRule="auto"/>
              <w:ind w:leftChars="0"/>
              <w:rPr>
                <w:rFonts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lang w:val="en-US" w:eastAsia="zh-CN"/>
              </w:rPr>
              <w:t>.</w:t>
            </w:r>
            <w:r>
              <w:rPr>
                <w:rFonts w:hint="eastAsia" w:ascii="宋体" w:hAnsi="宋体"/>
                <w:color w:val="auto"/>
                <w:szCs w:val="21"/>
                <w:highlight w:val="none"/>
              </w:rPr>
              <w:t>了解HPF法、苦味酸法、AS法等脱硫原理；</w:t>
            </w:r>
          </w:p>
        </w:tc>
        <w:tc>
          <w:tcPr>
            <w:tcW w:w="868"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spacing w:line="240" w:lineRule="auto"/>
              <w:jc w:val="center"/>
              <w:rPr>
                <w:rFonts w:ascii="宋体" w:hAnsi="宋体"/>
                <w:color w:val="auto"/>
                <w:szCs w:val="21"/>
                <w:highlight w:val="none"/>
              </w:rPr>
            </w:pPr>
            <w:r>
              <w:rPr>
                <w:rFonts w:hint="eastAsia" w:ascii="宋体" w:hAnsi="宋体" w:cs="微软雅黑"/>
                <w:color w:val="auto"/>
                <w:szCs w:val="21"/>
                <w:highlight w:val="none"/>
                <w:shd w:val="clear" w:color="auto" w:fill="FFFFFF"/>
              </w:rPr>
              <w:t>合成氨生产</w:t>
            </w:r>
            <w:r>
              <w:rPr>
                <w:rFonts w:hint="eastAsia" w:ascii="宋体" w:hAnsi="宋体" w:cs="微软雅黑"/>
                <w:color w:val="auto"/>
                <w:szCs w:val="21"/>
                <w:highlight w:val="none"/>
                <w:shd w:val="clear" w:color="auto" w:fill="FFFFFF"/>
              </w:rPr>
              <w:br w:type="textWrapping"/>
            </w:r>
          </w:p>
        </w:tc>
        <w:tc>
          <w:tcPr>
            <w:tcW w:w="2467" w:type="dxa"/>
            <w:noWrap/>
            <w:vAlign w:val="center"/>
          </w:tcPr>
          <w:p>
            <w:pPr>
              <w:spacing w:line="240" w:lineRule="auto"/>
              <w:rPr>
                <w:rFonts w:ascii="宋体" w:hAnsi="宋体"/>
                <w:color w:val="auto"/>
                <w:szCs w:val="21"/>
                <w:highlight w:val="none"/>
              </w:rPr>
            </w:pPr>
            <w:r>
              <w:rPr>
                <w:rFonts w:hint="eastAsia" w:ascii="宋体" w:hAnsi="宋体"/>
                <w:color w:val="auto"/>
                <w:szCs w:val="21"/>
                <w:highlight w:val="none"/>
              </w:rPr>
              <w:t>掌握煤气工段的主要操作及常见事故的处理；</w:t>
            </w:r>
          </w:p>
        </w:tc>
        <w:tc>
          <w:tcPr>
            <w:tcW w:w="3595" w:type="dxa"/>
            <w:noWrap/>
          </w:tcPr>
          <w:p>
            <w:pPr>
              <w:numPr>
                <w:ilvl w:val="0"/>
                <w:numId w:val="8"/>
              </w:numPr>
              <w:spacing w:line="240" w:lineRule="auto"/>
              <w:rPr>
                <w:rFonts w:hint="eastAsia" w:ascii="宋体" w:hAnsi="宋体"/>
                <w:color w:val="auto"/>
                <w:szCs w:val="21"/>
                <w:highlight w:val="none"/>
              </w:rPr>
            </w:pPr>
            <w:r>
              <w:rPr>
                <w:rFonts w:hint="eastAsia" w:ascii="宋体" w:hAnsi="宋体"/>
                <w:color w:val="auto"/>
                <w:szCs w:val="21"/>
                <w:highlight w:val="none"/>
              </w:rPr>
              <w:t>掌握煤气的组成、性质、回收方法；</w:t>
            </w:r>
          </w:p>
          <w:p>
            <w:pPr>
              <w:numPr>
                <w:ilvl w:val="0"/>
                <w:numId w:val="8"/>
              </w:numPr>
              <w:spacing w:line="240" w:lineRule="auto"/>
              <w:rPr>
                <w:rFonts w:ascii="宋体" w:hAnsi="宋体"/>
                <w:color w:val="auto"/>
                <w:szCs w:val="21"/>
                <w:highlight w:val="none"/>
              </w:rPr>
            </w:pPr>
            <w:r>
              <w:rPr>
                <w:rFonts w:hint="eastAsia" w:ascii="宋体" w:hAnsi="宋体"/>
                <w:color w:val="auto"/>
                <w:szCs w:val="21"/>
                <w:highlight w:val="none"/>
              </w:rPr>
              <w:t>掌握用洗油吸收煤气中的苯族烃原理、流程、影响因素；</w:t>
            </w:r>
          </w:p>
          <w:p>
            <w:pPr>
              <w:numPr>
                <w:ilvl w:val="0"/>
                <w:numId w:val="0"/>
              </w:numPr>
              <w:spacing w:line="240" w:lineRule="auto"/>
              <w:rPr>
                <w:rFonts w:ascii="宋体" w:hAnsi="宋体"/>
                <w:color w:val="auto"/>
                <w:szCs w:val="21"/>
                <w:highlight w:val="none"/>
              </w:rPr>
            </w:pPr>
            <w:r>
              <w:rPr>
                <w:rFonts w:hint="eastAsia" w:ascii="宋体" w:hAnsi="宋体"/>
                <w:color w:val="auto"/>
                <w:szCs w:val="21"/>
                <w:highlight w:val="none"/>
                <w:lang w:val="en-US" w:eastAsia="zh-CN"/>
              </w:rPr>
              <w:t>3.</w:t>
            </w:r>
            <w:r>
              <w:rPr>
                <w:rFonts w:hint="eastAsia" w:ascii="宋体" w:hAnsi="宋体"/>
                <w:color w:val="auto"/>
                <w:szCs w:val="21"/>
                <w:highlight w:val="none"/>
              </w:rPr>
              <w:t>了解煤气中冷和除萘的原理、方法；</w:t>
            </w:r>
          </w:p>
          <w:p>
            <w:pPr>
              <w:numPr>
                <w:ilvl w:val="0"/>
                <w:numId w:val="0"/>
              </w:numPr>
              <w:spacing w:line="240" w:lineRule="auto"/>
              <w:rPr>
                <w:rFonts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lang w:val="en-US" w:eastAsia="zh-CN"/>
              </w:rPr>
              <w:t>.</w:t>
            </w:r>
            <w:r>
              <w:rPr>
                <w:rFonts w:hint="eastAsia" w:ascii="宋体" w:hAnsi="宋体"/>
                <w:color w:val="auto"/>
                <w:szCs w:val="21"/>
                <w:highlight w:val="none"/>
              </w:rPr>
              <w:t>掌握富油脱苯的方法、原理、设备等；</w:t>
            </w:r>
          </w:p>
        </w:tc>
        <w:tc>
          <w:tcPr>
            <w:tcW w:w="868"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spacing w:line="240" w:lineRule="auto"/>
              <w:jc w:val="center"/>
              <w:rPr>
                <w:rFonts w:ascii="宋体" w:hAnsi="宋体"/>
                <w:color w:val="auto"/>
                <w:szCs w:val="21"/>
                <w:highlight w:val="none"/>
              </w:rPr>
            </w:pPr>
            <w:r>
              <w:rPr>
                <w:rFonts w:hint="eastAsia" w:ascii="宋体" w:hAnsi="宋体" w:cs="微软雅黑"/>
                <w:color w:val="auto"/>
                <w:szCs w:val="21"/>
                <w:highlight w:val="none"/>
                <w:shd w:val="clear" w:color="auto" w:fill="FFFFFF"/>
              </w:rPr>
              <w:t>甲醇生产</w:t>
            </w:r>
          </w:p>
        </w:tc>
        <w:tc>
          <w:tcPr>
            <w:tcW w:w="2467" w:type="dxa"/>
            <w:noWrap/>
            <w:vAlign w:val="center"/>
          </w:tcPr>
          <w:p>
            <w:pPr>
              <w:spacing w:line="240" w:lineRule="auto"/>
              <w:rPr>
                <w:rFonts w:ascii="宋体" w:hAnsi="宋体"/>
                <w:color w:val="auto"/>
                <w:szCs w:val="21"/>
                <w:highlight w:val="none"/>
              </w:rPr>
            </w:pPr>
            <w:r>
              <w:rPr>
                <w:rFonts w:hint="eastAsia" w:ascii="宋体" w:hAnsi="宋体"/>
                <w:color w:val="auto"/>
                <w:szCs w:val="21"/>
                <w:highlight w:val="none"/>
              </w:rPr>
              <w:t>掌握煤气车间主要操作和安全防火；</w:t>
            </w:r>
          </w:p>
        </w:tc>
        <w:tc>
          <w:tcPr>
            <w:tcW w:w="3595" w:type="dxa"/>
            <w:noWrap/>
          </w:tcPr>
          <w:p>
            <w:pPr>
              <w:numPr>
                <w:ilvl w:val="0"/>
                <w:numId w:val="0"/>
              </w:numPr>
              <w:spacing w:line="240" w:lineRule="auto"/>
              <w:rPr>
                <w:rFonts w:hint="eastAsia" w:ascii="宋体" w:hAnsi="宋体"/>
                <w:color w:val="auto"/>
                <w:szCs w:val="21"/>
                <w:highlight w:val="none"/>
              </w:rPr>
            </w:pPr>
            <w:r>
              <w:rPr>
                <w:rFonts w:hint="eastAsia" w:ascii="宋体" w:hAnsi="宋体"/>
                <w:color w:val="auto"/>
                <w:szCs w:val="21"/>
                <w:highlight w:val="none"/>
                <w:lang w:val="en-US" w:eastAsia="zh-CN"/>
              </w:rPr>
              <w:t>1.</w:t>
            </w:r>
            <w:r>
              <w:rPr>
                <w:rFonts w:hint="eastAsia" w:ascii="宋体" w:hAnsi="宋体"/>
                <w:color w:val="auto"/>
                <w:szCs w:val="21"/>
                <w:highlight w:val="none"/>
              </w:rPr>
              <w:t>了解煤气精制的主要产品和加工方法；</w:t>
            </w:r>
          </w:p>
          <w:p>
            <w:pPr>
              <w:numPr>
                <w:ilvl w:val="0"/>
                <w:numId w:val="0"/>
              </w:numPr>
              <w:spacing w:line="240" w:lineRule="auto"/>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w:t>
            </w:r>
            <w:r>
              <w:rPr>
                <w:rFonts w:hint="eastAsia" w:ascii="宋体" w:hAnsi="宋体"/>
                <w:color w:val="auto"/>
                <w:szCs w:val="21"/>
                <w:highlight w:val="none"/>
              </w:rPr>
              <w:t>了解煤气净化的原理、流程、设备；</w:t>
            </w:r>
          </w:p>
        </w:tc>
        <w:tc>
          <w:tcPr>
            <w:tcW w:w="868"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spacing w:line="240" w:lineRule="auto"/>
              <w:jc w:val="center"/>
              <w:rPr>
                <w:rFonts w:ascii="宋体" w:hAnsi="宋体" w:cs="微软雅黑"/>
                <w:color w:val="auto"/>
                <w:szCs w:val="21"/>
                <w:highlight w:val="none"/>
                <w:shd w:val="clear" w:color="auto" w:fill="FFFFFF"/>
              </w:rPr>
            </w:pPr>
            <w:r>
              <w:rPr>
                <w:rFonts w:hint="eastAsia" w:ascii="宋体" w:hAnsi="宋体" w:cs="微软雅黑"/>
                <w:color w:val="auto"/>
                <w:szCs w:val="21"/>
                <w:highlight w:val="none"/>
                <w:shd w:val="clear" w:color="auto" w:fill="FFFFFF"/>
              </w:rPr>
              <w:t>二甲醚生产</w:t>
            </w:r>
          </w:p>
        </w:tc>
        <w:tc>
          <w:tcPr>
            <w:tcW w:w="2467" w:type="dxa"/>
            <w:noWrap/>
            <w:vAlign w:val="center"/>
          </w:tcPr>
          <w:p>
            <w:pPr>
              <w:spacing w:line="240" w:lineRule="auto"/>
              <w:rPr>
                <w:rFonts w:ascii="宋体" w:hAnsi="宋体"/>
                <w:color w:val="auto"/>
                <w:szCs w:val="21"/>
                <w:highlight w:val="none"/>
              </w:rPr>
            </w:pPr>
            <w:r>
              <w:rPr>
                <w:rFonts w:hint="eastAsia" w:ascii="宋体" w:hAnsi="宋体"/>
                <w:color w:val="auto"/>
                <w:szCs w:val="21"/>
                <w:highlight w:val="none"/>
              </w:rPr>
              <w:t>掌握二甲醚的性质生产工艺</w:t>
            </w:r>
          </w:p>
        </w:tc>
        <w:tc>
          <w:tcPr>
            <w:tcW w:w="3595" w:type="dxa"/>
            <w:noWrap/>
          </w:tcPr>
          <w:p>
            <w:pPr>
              <w:numPr>
                <w:ilvl w:val="0"/>
                <w:numId w:val="9"/>
              </w:numPr>
              <w:spacing w:line="240" w:lineRule="auto"/>
              <w:rPr>
                <w:rFonts w:hint="eastAsia" w:ascii="宋体" w:hAnsi="宋体"/>
                <w:color w:val="auto"/>
                <w:szCs w:val="21"/>
                <w:highlight w:val="none"/>
              </w:rPr>
            </w:pPr>
            <w:r>
              <w:rPr>
                <w:rFonts w:hint="eastAsia" w:ascii="宋体" w:hAnsi="宋体"/>
                <w:color w:val="auto"/>
                <w:szCs w:val="21"/>
                <w:highlight w:val="none"/>
              </w:rPr>
              <w:t>了解二甲醚的性质和用途；</w:t>
            </w:r>
          </w:p>
          <w:p>
            <w:pPr>
              <w:numPr>
                <w:ilvl w:val="0"/>
                <w:numId w:val="0"/>
              </w:numPr>
              <w:spacing w:line="240" w:lineRule="auto"/>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w:t>
            </w:r>
            <w:r>
              <w:rPr>
                <w:rFonts w:hint="eastAsia" w:ascii="宋体" w:hAnsi="宋体"/>
                <w:color w:val="auto"/>
                <w:szCs w:val="21"/>
                <w:highlight w:val="none"/>
              </w:rPr>
              <w:t>熟悉二甲醚的合成工艺</w:t>
            </w:r>
          </w:p>
        </w:tc>
        <w:tc>
          <w:tcPr>
            <w:tcW w:w="868"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4</w:t>
            </w:r>
          </w:p>
        </w:tc>
      </w:tr>
    </w:tbl>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w:t>
      </w:r>
      <w:r>
        <w:rPr>
          <w:rFonts w:hint="eastAsia" w:ascii="黑体" w:hAnsi="黑体" w:eastAsia="黑体" w:cs="黑体"/>
          <w:bCs/>
          <w:color w:val="auto"/>
          <w:sz w:val="30"/>
          <w:szCs w:val="30"/>
          <w:highlight w:val="none"/>
          <w:lang w:val="en-US" w:eastAsia="zh-CN"/>
        </w:rPr>
        <w:t>五</w:t>
      </w:r>
      <w:r>
        <w:rPr>
          <w:rFonts w:hint="eastAsia" w:ascii="黑体" w:hAnsi="黑体" w:eastAsia="黑体" w:cs="黑体"/>
          <w:bCs/>
          <w:color w:val="auto"/>
          <w:sz w:val="30"/>
          <w:szCs w:val="30"/>
          <w:highlight w:val="none"/>
          <w:lang w:eastAsia="zh-CN"/>
        </w:rPr>
        <w:t>）教学组织与教学方法</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在教学过程中，通过本地化学工业的发展，激发学生学习的兴趣，提高学生学习的动机；教学过程中，注重教与学的互动，让学生在活动中中增强增强爱岗敬业、团结协作精神，实现素质、知识、技能同步提高；在教学活动中，要利用多媒体、投影等教学资源辅助教学，帮助学生学习理解工艺流程和工艺控制；通过参观学习环节，让学生感受工作氛围，感受企业文化，培养学生的岗位适应能力；通过工学结合，让学生到企业实习实训，接受企业技术人员的现场指导，理论联系实际并学以致用，提高学习效率；通过顶岗实习环节，让学生参与生产实训，真正在生产实践中得到锻炼，实现学习内容与生产岗位的良好对接。</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根据课程内容性质和特点，采用适当的教学方法，有利于提高教学效率。诸如煤气产品的组成、生成、产率、各化学产品的性质等采用启发式教学；对煤气回收与加工化学产品的操作条件分析、参数分析可以采用讨论式教学；对回收煤气中化学产品的生产原理、方法、流程采用任务驱动教学法；对岗位安全生产操作通过案例分析教学法。</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w:t>
      </w:r>
      <w:r>
        <w:rPr>
          <w:rFonts w:hint="eastAsia" w:ascii="黑体" w:hAnsi="黑体" w:eastAsia="黑体" w:cs="黑体"/>
          <w:bCs/>
          <w:color w:val="auto"/>
          <w:sz w:val="30"/>
          <w:szCs w:val="30"/>
          <w:highlight w:val="none"/>
          <w:lang w:val="en-US" w:eastAsia="zh-CN"/>
        </w:rPr>
        <w:t>六</w:t>
      </w:r>
      <w:r>
        <w:rPr>
          <w:rFonts w:hint="eastAsia" w:ascii="黑体" w:hAnsi="黑体" w:eastAsia="黑体" w:cs="黑体"/>
          <w:bCs/>
          <w:color w:val="auto"/>
          <w:sz w:val="30"/>
          <w:szCs w:val="30"/>
          <w:highlight w:val="none"/>
          <w:lang w:eastAsia="zh-CN"/>
        </w:rPr>
        <w:t>）考核标准与成绩评定方法</w:t>
      </w:r>
    </w:p>
    <w:p>
      <w:pPr>
        <w:spacing w:line="360" w:lineRule="auto"/>
        <w:ind w:left="1" w:firstLine="564" w:firstLineChars="235"/>
        <w:rPr>
          <w:rFonts w:ascii="宋体" w:hAnsi="宋体"/>
          <w:color w:val="auto"/>
          <w:sz w:val="24"/>
          <w:highlight w:val="none"/>
        </w:rPr>
      </w:pPr>
      <w:r>
        <w:rPr>
          <w:rFonts w:hint="eastAsia" w:ascii="宋体" w:hAnsi="宋体"/>
          <w:color w:val="auto"/>
          <w:sz w:val="24"/>
          <w:highlight w:val="none"/>
        </w:rPr>
        <w:t>全面了解学生的学习历程。包括上课出勤、课堂纪律、课堂提问、作业、知识测评、实训等主要环节，关注学生学习结果和过程评价，激发学生学习的热情和动力，提高学生学习的自信心，提高教学质量。</w:t>
      </w:r>
    </w:p>
    <w:p>
      <w:pPr>
        <w:spacing w:line="360" w:lineRule="auto"/>
        <w:ind w:left="1" w:firstLine="564" w:firstLineChars="235"/>
        <w:rPr>
          <w:rFonts w:ascii="宋体" w:hAnsi="宋体"/>
          <w:color w:val="auto"/>
          <w:sz w:val="24"/>
          <w:highlight w:val="none"/>
        </w:rPr>
      </w:pPr>
      <w:r>
        <w:rPr>
          <w:rFonts w:hint="eastAsia" w:ascii="宋体" w:hAnsi="宋体"/>
          <w:color w:val="auto"/>
          <w:sz w:val="24"/>
          <w:highlight w:val="none"/>
        </w:rPr>
        <w:t>坚持理论知识与实践知识综合评价的原则;采取多种方式评价原则;学生自评、学生互评、小组评价、教师评价、家长评价、企业行业专家评价等。</w:t>
      </w:r>
    </w:p>
    <w:p>
      <w:pPr>
        <w:spacing w:line="360" w:lineRule="auto"/>
        <w:ind w:left="1" w:firstLine="564" w:firstLineChars="235"/>
        <w:rPr>
          <w:rFonts w:ascii="宋体" w:hAnsi="宋体"/>
          <w:color w:val="auto"/>
          <w:sz w:val="24"/>
          <w:highlight w:val="none"/>
        </w:rPr>
      </w:pPr>
      <w:r>
        <w:rPr>
          <w:rFonts w:hint="eastAsia" w:ascii="宋体" w:hAnsi="宋体"/>
          <w:color w:val="auto"/>
          <w:sz w:val="24"/>
          <w:highlight w:val="none"/>
        </w:rPr>
        <w:t>（1）本门课程是一门考试课，评价依据是本课程标准规定的课程目标、教学内容和要求。</w:t>
      </w:r>
    </w:p>
    <w:p>
      <w:pPr>
        <w:spacing w:line="360" w:lineRule="auto"/>
        <w:ind w:left="1" w:firstLine="564" w:firstLineChars="235"/>
        <w:rPr>
          <w:rFonts w:ascii="宋体" w:hAnsi="宋体"/>
          <w:color w:val="auto"/>
          <w:sz w:val="24"/>
          <w:highlight w:val="none"/>
        </w:rPr>
      </w:pPr>
      <w:r>
        <w:rPr>
          <w:rFonts w:hint="eastAsia" w:ascii="宋体" w:hAnsi="宋体"/>
          <w:color w:val="auto"/>
          <w:sz w:val="24"/>
          <w:highlight w:val="none"/>
        </w:rPr>
        <w:t>（2）考试时间：90分钟（理论考核90分钟）。</w:t>
      </w:r>
    </w:p>
    <w:p>
      <w:pPr>
        <w:spacing w:line="360" w:lineRule="auto"/>
        <w:ind w:left="1" w:firstLine="564" w:firstLineChars="235"/>
        <w:rPr>
          <w:rFonts w:ascii="宋体" w:hAnsi="宋体"/>
          <w:color w:val="auto"/>
          <w:sz w:val="24"/>
          <w:highlight w:val="none"/>
        </w:rPr>
      </w:pPr>
      <w:r>
        <w:rPr>
          <w:rFonts w:hint="eastAsia" w:ascii="宋体" w:hAnsi="宋体"/>
          <w:color w:val="auto"/>
          <w:sz w:val="24"/>
          <w:highlight w:val="none"/>
        </w:rPr>
        <w:t xml:space="preserve">（3）考试方式、分制与解释 </w:t>
      </w:r>
    </w:p>
    <w:p>
      <w:pPr>
        <w:spacing w:line="360" w:lineRule="auto"/>
        <w:ind w:left="1" w:firstLine="564" w:firstLineChars="235"/>
        <w:rPr>
          <w:rFonts w:ascii="宋体" w:hAnsi="宋体"/>
          <w:color w:val="auto"/>
          <w:sz w:val="24"/>
          <w:highlight w:val="none"/>
        </w:rPr>
      </w:pPr>
      <w:r>
        <w:rPr>
          <w:rFonts w:hint="eastAsia" w:ascii="宋体" w:hAnsi="宋体"/>
          <w:color w:val="auto"/>
          <w:sz w:val="24"/>
          <w:highlight w:val="none"/>
        </w:rPr>
        <w:t>a. 建议本课程课堂评价（上课出勤和学习态度、课堂提问和作业情况）占20%。</w:t>
      </w:r>
    </w:p>
    <w:p>
      <w:pPr>
        <w:spacing w:line="360" w:lineRule="auto"/>
        <w:ind w:left="1" w:firstLine="564" w:firstLineChars="235"/>
        <w:rPr>
          <w:rFonts w:ascii="宋体" w:hAnsi="宋体"/>
          <w:color w:val="auto"/>
          <w:sz w:val="24"/>
          <w:highlight w:val="none"/>
        </w:rPr>
      </w:pPr>
      <w:r>
        <w:rPr>
          <w:rFonts w:hint="eastAsia" w:ascii="宋体" w:hAnsi="宋体"/>
          <w:color w:val="auto"/>
          <w:sz w:val="24"/>
          <w:highlight w:val="none"/>
        </w:rPr>
        <w:t xml:space="preserve">b.理论成绩的综合评价 采用闭卷、笔试的方式，以百分制评分，满分为100分，占总评成绩的50～60%。 </w:t>
      </w:r>
    </w:p>
    <w:p>
      <w:pPr>
        <w:spacing w:line="360" w:lineRule="auto"/>
        <w:ind w:left="1" w:firstLine="564" w:firstLineChars="235"/>
        <w:rPr>
          <w:rFonts w:ascii="宋体" w:hAnsi="宋体"/>
          <w:color w:val="auto"/>
          <w:sz w:val="24"/>
          <w:highlight w:val="none"/>
        </w:rPr>
      </w:pPr>
      <w:r>
        <w:rPr>
          <w:rFonts w:ascii="宋体" w:hAnsi="宋体"/>
          <w:color w:val="auto"/>
          <w:sz w:val="24"/>
          <w:highlight w:val="none"/>
        </w:rPr>
        <w:t>c.</w:t>
      </w:r>
      <w:r>
        <w:rPr>
          <w:rFonts w:hint="eastAsia" w:ascii="宋体" w:hAnsi="宋体"/>
          <w:color w:val="auto"/>
          <w:sz w:val="24"/>
          <w:highlight w:val="none"/>
        </w:rPr>
        <w:t>实验成绩的综合评价 实验成绩由实验现场表现和实验报告成绩两部分组成。实验成绩占总评成绩的20～30%。</w:t>
      </w:r>
    </w:p>
    <w:p>
      <w:pPr>
        <w:spacing w:line="360" w:lineRule="auto"/>
        <w:ind w:left="1" w:firstLine="564" w:firstLineChars="235"/>
        <w:rPr>
          <w:rFonts w:ascii="宋体" w:hAnsi="宋体"/>
          <w:color w:val="auto"/>
          <w:sz w:val="24"/>
          <w:highlight w:val="none"/>
        </w:rPr>
      </w:pPr>
      <w:r>
        <w:rPr>
          <w:rFonts w:hint="eastAsia" w:ascii="宋体" w:hAnsi="宋体"/>
          <w:color w:val="auto"/>
          <w:sz w:val="24"/>
          <w:highlight w:val="none"/>
        </w:rPr>
        <w:t xml:space="preserve">（4）试题类型及权重 </w:t>
      </w:r>
    </w:p>
    <w:p>
      <w:pPr>
        <w:tabs>
          <w:tab w:val="left" w:pos="480"/>
        </w:tabs>
        <w:spacing w:line="360" w:lineRule="auto"/>
        <w:ind w:left="1" w:firstLine="564" w:firstLineChars="235"/>
        <w:rPr>
          <w:rFonts w:ascii="宋体" w:hAnsi="宋体"/>
          <w:color w:val="auto"/>
          <w:sz w:val="24"/>
          <w:highlight w:val="none"/>
        </w:rPr>
      </w:pPr>
      <w:r>
        <w:rPr>
          <w:rFonts w:hint="eastAsia" w:ascii="宋体" w:hAnsi="宋体"/>
          <w:color w:val="auto"/>
          <w:sz w:val="24"/>
          <w:highlight w:val="none"/>
        </w:rPr>
        <w:t>选择题15%～30%、判断题10～20%、填空题10～25%、简答题(包括完成并配平反应式)10～20%、计算题10～30%。</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w:t>
      </w:r>
      <w:r>
        <w:rPr>
          <w:rFonts w:hint="eastAsia" w:ascii="黑体" w:hAnsi="黑体" w:eastAsia="黑体" w:cs="黑体"/>
          <w:bCs/>
          <w:color w:val="auto"/>
          <w:sz w:val="30"/>
          <w:szCs w:val="30"/>
          <w:highlight w:val="none"/>
          <w:lang w:val="en-US" w:eastAsia="zh-CN"/>
        </w:rPr>
        <w:t>七</w:t>
      </w:r>
      <w:r>
        <w:rPr>
          <w:rFonts w:hint="eastAsia" w:ascii="黑体" w:hAnsi="黑体" w:eastAsia="黑体" w:cs="黑体"/>
          <w:bCs/>
          <w:color w:val="auto"/>
          <w:sz w:val="30"/>
          <w:szCs w:val="30"/>
          <w:highlight w:val="none"/>
          <w:lang w:eastAsia="zh-CN"/>
        </w:rPr>
        <w:t>）教学建议</w:t>
      </w:r>
    </w:p>
    <w:p>
      <w:pPr>
        <w:tabs>
          <w:tab w:val="left" w:pos="567"/>
        </w:tabs>
        <w:spacing w:line="360" w:lineRule="auto"/>
        <w:ind w:firstLine="480" w:firstLineChars="200"/>
        <w:rPr>
          <w:rFonts w:ascii="宋体" w:hAnsi="宋体"/>
          <w:color w:val="auto"/>
          <w:sz w:val="24"/>
          <w:highlight w:val="none"/>
        </w:rPr>
      </w:pPr>
      <w:r>
        <w:rPr>
          <w:rFonts w:hint="eastAsia" w:ascii="宋体" w:hAnsi="宋体"/>
          <w:color w:val="auto"/>
          <w:sz w:val="24"/>
          <w:highlight w:val="none"/>
        </w:rPr>
        <w:t>课堂教学中，全部使用电子教案（PowerPoint）授课，采用多媒体课件和黑板板书相结合，配合网络网站。在教学中，我们注意充分利用现代计算机技术带来的便利条件，增强教学效果。主要是利用多媒体的图形、照片等增强学生的理解。运用现代教育技术和虚拟现实技术，建立虚拟项目和虚拟工艺等仿真教学环境，增加学生的感性认识，启发科学思维，注重理论联系实际，注重新技术引用。</w:t>
      </w:r>
    </w:p>
    <w:p>
      <w:pPr>
        <w:tabs>
          <w:tab w:val="left" w:pos="567"/>
        </w:tabs>
        <w:spacing w:line="360" w:lineRule="auto"/>
        <w:ind w:firstLine="480" w:firstLineChars="200"/>
        <w:rPr>
          <w:rFonts w:ascii="宋体" w:hAnsi="宋体"/>
          <w:color w:val="auto"/>
          <w:sz w:val="24"/>
          <w:highlight w:val="none"/>
        </w:rPr>
      </w:pPr>
      <w:r>
        <w:rPr>
          <w:rFonts w:hint="eastAsia" w:ascii="宋体" w:hAnsi="宋体"/>
          <w:color w:val="auto"/>
          <w:sz w:val="24"/>
          <w:highlight w:val="none"/>
        </w:rPr>
        <w:t>在教学过程中采用启发式教学为主，辅以讨论式、问答式等方式，特别强调讲课过程中紧密联系前后章节内容，强化理解，有助于学生加强记忆和理解，并能将各部分知识最终连接成为一个整体。</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开发校外实训基地，与化工企业深度合作，充分利用校外实习基地，做到课堂教学、现场教学、实训教学有机结合。通过参观学习、工学交替、顶岗实习等手段，提高学习效果并学以致用。</w:t>
      </w:r>
    </w:p>
    <w:p>
      <w:pPr>
        <w:spacing w:line="360" w:lineRule="auto"/>
        <w:ind w:firstLine="300" w:firstLineChars="100"/>
        <w:rPr>
          <w:rFonts w:hint="eastAsia" w:ascii="黑体" w:hAnsi="黑体" w:eastAsia="黑体" w:cs="黑体"/>
          <w:bCs/>
          <w:color w:val="auto"/>
          <w:sz w:val="30"/>
          <w:szCs w:val="30"/>
          <w:highlight w:val="none"/>
          <w:lang w:eastAsia="zh-CN"/>
        </w:rPr>
      </w:pPr>
      <w:r>
        <w:rPr>
          <w:rFonts w:hint="eastAsia" w:ascii="黑体" w:hAnsi="黑体" w:eastAsia="黑体" w:cs="黑体"/>
          <w:bCs/>
          <w:color w:val="auto"/>
          <w:sz w:val="30"/>
          <w:szCs w:val="30"/>
          <w:highlight w:val="none"/>
          <w:lang w:eastAsia="zh-CN"/>
        </w:rPr>
        <w:t>（</w:t>
      </w:r>
      <w:r>
        <w:rPr>
          <w:rFonts w:hint="eastAsia" w:ascii="黑体" w:hAnsi="黑体" w:eastAsia="黑体" w:cs="黑体"/>
          <w:bCs/>
          <w:color w:val="auto"/>
          <w:sz w:val="30"/>
          <w:szCs w:val="30"/>
          <w:highlight w:val="none"/>
          <w:lang w:val="en-US" w:eastAsia="zh-CN"/>
        </w:rPr>
        <w:t>八</w:t>
      </w:r>
      <w:r>
        <w:rPr>
          <w:rFonts w:hint="eastAsia" w:ascii="黑体" w:hAnsi="黑体" w:eastAsia="黑体" w:cs="黑体"/>
          <w:bCs/>
          <w:color w:val="auto"/>
          <w:sz w:val="30"/>
          <w:szCs w:val="30"/>
          <w:highlight w:val="none"/>
          <w:lang w:eastAsia="zh-CN"/>
        </w:rPr>
        <w:t>）选用教材标及推荐教材和参考用书（或课程网站）</w:t>
      </w:r>
    </w:p>
    <w:p>
      <w:pPr>
        <w:pStyle w:val="13"/>
        <w:spacing w:beforeAutospacing="0" w:afterAutospacing="0" w:line="480" w:lineRule="atLeast"/>
        <w:ind w:firstLine="480" w:firstLineChars="200"/>
        <w:textAlignment w:val="baseline"/>
        <w:rPr>
          <w:rFonts w:hint="eastAsia" w:eastAsiaTheme="minorEastAsia"/>
          <w:color w:val="auto"/>
          <w:kern w:val="2"/>
          <w:highlight w:val="none"/>
          <w:lang w:eastAsia="zh-CN"/>
        </w:rPr>
      </w:pPr>
      <w:r>
        <w:rPr>
          <w:rFonts w:hint="eastAsia"/>
          <w:color w:val="auto"/>
          <w:kern w:val="2"/>
          <w:highlight w:val="none"/>
        </w:rPr>
        <w:t>《煤气</w:t>
      </w:r>
      <w:r>
        <w:rPr>
          <w:rFonts w:hint="eastAsia"/>
          <w:color w:val="auto"/>
          <w:kern w:val="2"/>
          <w:highlight w:val="none"/>
          <w:lang w:val="en-US" w:eastAsia="zh-CN"/>
        </w:rPr>
        <w:t>化</w:t>
      </w:r>
      <w:r>
        <w:rPr>
          <w:rFonts w:hint="eastAsia"/>
          <w:color w:val="auto"/>
          <w:kern w:val="2"/>
          <w:highlight w:val="none"/>
        </w:rPr>
        <w:t>生产技术》，</w:t>
      </w:r>
      <w:r>
        <w:rPr>
          <w:color w:val="auto"/>
          <w:kern w:val="2"/>
          <w:highlight w:val="none"/>
        </w:rPr>
        <w:t>编者：</w:t>
      </w:r>
      <w:r>
        <w:rPr>
          <w:rFonts w:hint="eastAsia"/>
          <w:color w:val="auto"/>
          <w:kern w:val="2"/>
          <w:highlight w:val="none"/>
          <w:lang w:val="en-US" w:eastAsia="zh-CN"/>
        </w:rPr>
        <w:t>王壮坤</w:t>
      </w:r>
      <w:r>
        <w:rPr>
          <w:rFonts w:hint="eastAsia"/>
          <w:color w:val="auto"/>
          <w:kern w:val="2"/>
          <w:highlight w:val="none"/>
        </w:rPr>
        <w:t>等，化学工业出版社，201</w:t>
      </w:r>
      <w:r>
        <w:rPr>
          <w:rFonts w:hint="eastAsia"/>
          <w:color w:val="auto"/>
          <w:kern w:val="2"/>
          <w:highlight w:val="none"/>
          <w:lang w:val="en-US" w:eastAsia="zh-CN"/>
        </w:rPr>
        <w:t>6</w:t>
      </w:r>
    </w:p>
    <w:p>
      <w:pPr>
        <w:pStyle w:val="13"/>
        <w:spacing w:beforeAutospacing="0" w:afterAutospacing="0" w:line="480" w:lineRule="atLeast"/>
        <w:ind w:firstLine="480" w:firstLineChars="200"/>
        <w:textAlignment w:val="baseline"/>
        <w:rPr>
          <w:color w:val="auto"/>
          <w:kern w:val="2"/>
          <w:highlight w:val="none"/>
        </w:rPr>
      </w:pPr>
      <w:r>
        <w:rPr>
          <w:color w:val="auto"/>
          <w:kern w:val="2"/>
          <w:highlight w:val="none"/>
        </w:rPr>
        <w:t>《煤气化生产技术》编者：许祥静</w:t>
      </w:r>
      <w:r>
        <w:rPr>
          <w:rFonts w:hint="eastAsia"/>
          <w:color w:val="auto"/>
          <w:kern w:val="2"/>
          <w:highlight w:val="none"/>
          <w:lang w:eastAsia="zh-CN"/>
        </w:rPr>
        <w:t>，</w:t>
      </w:r>
      <w:r>
        <w:rPr>
          <w:rFonts w:hint="eastAsia"/>
          <w:color w:val="auto"/>
          <w:kern w:val="2"/>
          <w:highlight w:val="none"/>
        </w:rPr>
        <w:t>化学工业出版社，2010</w:t>
      </w:r>
    </w:p>
    <w:p>
      <w:pPr>
        <w:widowControl/>
        <w:shd w:val="clear" w:color="auto" w:fill="FFFFFF"/>
        <w:spacing w:before="100" w:beforeAutospacing="1" w:after="100" w:afterAutospacing="1" w:line="480" w:lineRule="auto"/>
        <w:jc w:val="left"/>
        <w:rPr>
          <w:rFonts w:ascii="宋体" w:hAnsi="宋体" w:cs="宋体"/>
          <w:color w:val="auto"/>
          <w:kern w:val="0"/>
          <w:sz w:val="24"/>
          <w:highlight w:val="none"/>
        </w:rPr>
      </w:pPr>
    </w:p>
    <w:p>
      <w:pPr>
        <w:pStyle w:val="13"/>
        <w:spacing w:beforeAutospacing="0" w:afterAutospacing="0" w:line="480" w:lineRule="atLeast"/>
        <w:textAlignment w:val="baseline"/>
        <w:rPr>
          <w:color w:val="auto"/>
          <w:kern w:val="2"/>
          <w:highlight w:val="none"/>
        </w:rPr>
      </w:pPr>
    </w:p>
    <w:p>
      <w:pPr>
        <w:pStyle w:val="2"/>
        <w:spacing w:line="360" w:lineRule="auto"/>
        <w:rPr>
          <w:rFonts w:ascii="黑体" w:hAnsi="黑体" w:eastAsia="黑体" w:cs="黑体"/>
          <w:b w:val="0"/>
          <w:bCs w:val="0"/>
          <w:color w:val="auto"/>
          <w:sz w:val="36"/>
          <w:szCs w:val="36"/>
          <w:highlight w:val="none"/>
        </w:rPr>
      </w:pPr>
    </w:p>
    <w:p>
      <w:pPr>
        <w:rPr>
          <w:rFonts w:ascii="黑体" w:hAnsi="黑体" w:eastAsia="黑体" w:cs="黑体"/>
          <w:color w:val="auto"/>
          <w:sz w:val="36"/>
          <w:szCs w:val="36"/>
          <w:highlight w:val="none"/>
        </w:rPr>
      </w:pPr>
    </w:p>
    <w:p>
      <w:pPr>
        <w:rPr>
          <w:rFonts w:ascii="黑体" w:hAnsi="黑体" w:eastAsia="黑体" w:cs="黑体"/>
          <w:color w:val="auto"/>
          <w:sz w:val="36"/>
          <w:szCs w:val="36"/>
          <w:highlight w:val="none"/>
        </w:rPr>
      </w:pPr>
    </w:p>
    <w:p>
      <w:pPr>
        <w:rPr>
          <w:rFonts w:ascii="黑体" w:hAnsi="黑体" w:eastAsia="黑体" w:cs="黑体"/>
          <w:color w:val="auto"/>
          <w:sz w:val="36"/>
          <w:szCs w:val="36"/>
          <w:highlight w:val="none"/>
        </w:rPr>
      </w:pPr>
    </w:p>
    <w:p>
      <w:pPr>
        <w:rPr>
          <w:rFonts w:ascii="黑体" w:hAnsi="黑体" w:eastAsia="黑体" w:cs="黑体"/>
          <w:color w:val="auto"/>
          <w:sz w:val="36"/>
          <w:szCs w:val="36"/>
          <w:highlight w:val="none"/>
        </w:rPr>
      </w:pPr>
    </w:p>
    <w:p>
      <w:pPr>
        <w:rPr>
          <w:rFonts w:ascii="黑体" w:hAnsi="黑体" w:eastAsia="黑体" w:cs="黑体"/>
          <w:color w:val="auto"/>
          <w:sz w:val="36"/>
          <w:szCs w:val="36"/>
          <w:highlight w:val="none"/>
        </w:rPr>
      </w:pPr>
    </w:p>
    <w:p>
      <w:pPr>
        <w:rPr>
          <w:rFonts w:ascii="黑体" w:hAnsi="黑体" w:eastAsia="黑体" w:cs="黑体"/>
          <w:color w:val="auto"/>
          <w:sz w:val="36"/>
          <w:szCs w:val="36"/>
          <w:highlight w:val="none"/>
        </w:rPr>
      </w:pPr>
    </w:p>
    <w:p>
      <w:pPr>
        <w:rPr>
          <w:rFonts w:ascii="黑体" w:hAnsi="黑体" w:eastAsia="黑体" w:cs="黑体"/>
          <w:color w:val="auto"/>
          <w:sz w:val="36"/>
          <w:szCs w:val="36"/>
          <w:highlight w:val="none"/>
        </w:rPr>
      </w:pPr>
    </w:p>
    <w:p>
      <w:pPr>
        <w:rPr>
          <w:rFonts w:ascii="黑体" w:hAnsi="黑体" w:eastAsia="黑体" w:cs="黑体"/>
          <w:color w:val="auto"/>
          <w:sz w:val="36"/>
          <w:szCs w:val="36"/>
          <w:highlight w:val="none"/>
        </w:rPr>
      </w:pPr>
    </w:p>
    <w:p>
      <w:pPr>
        <w:rPr>
          <w:rFonts w:ascii="黑体" w:hAnsi="黑体" w:eastAsia="黑体" w:cs="黑体"/>
          <w:color w:val="auto"/>
          <w:sz w:val="36"/>
          <w:szCs w:val="36"/>
          <w:highlight w:val="none"/>
        </w:rPr>
      </w:pPr>
    </w:p>
    <w:p>
      <w:pPr>
        <w:rPr>
          <w:rFonts w:ascii="黑体" w:hAnsi="黑体" w:eastAsia="黑体" w:cs="黑体"/>
          <w:color w:val="auto"/>
          <w:sz w:val="36"/>
          <w:szCs w:val="36"/>
          <w:highlight w:val="none"/>
        </w:rPr>
      </w:pPr>
    </w:p>
    <w:p>
      <w:pPr>
        <w:rPr>
          <w:rFonts w:ascii="黑体" w:hAnsi="黑体" w:eastAsia="黑体" w:cs="黑体"/>
          <w:color w:val="auto"/>
          <w:sz w:val="36"/>
          <w:szCs w:val="36"/>
          <w:highlight w:val="none"/>
        </w:rPr>
      </w:pPr>
    </w:p>
    <w:p>
      <w:pPr>
        <w:pStyle w:val="2"/>
        <w:spacing w:line="360" w:lineRule="auto"/>
        <w:ind w:firstLine="360" w:firstLineChars="100"/>
        <w:rPr>
          <w:rFonts w:ascii="黑体" w:hAnsi="黑体" w:eastAsia="黑体" w:cs="黑体"/>
          <w:b w:val="0"/>
          <w:bCs w:val="0"/>
          <w:color w:val="auto"/>
          <w:sz w:val="36"/>
          <w:szCs w:val="36"/>
          <w:highlight w:val="none"/>
        </w:rPr>
      </w:pPr>
      <w:bookmarkStart w:id="95" w:name="_Toc26275"/>
      <w:r>
        <w:rPr>
          <w:rFonts w:hint="eastAsia" w:ascii="黑体" w:hAnsi="黑体" w:eastAsia="黑体" w:cs="黑体"/>
          <w:b w:val="0"/>
          <w:bCs w:val="0"/>
          <w:color w:val="auto"/>
          <w:sz w:val="36"/>
          <w:szCs w:val="36"/>
          <w:highlight w:val="none"/>
        </w:rPr>
        <w:t>第五部分 煤化工技术专业教学实施保障方案</w:t>
      </w:r>
      <w:bookmarkEnd w:id="95"/>
    </w:p>
    <w:p>
      <w:pPr>
        <w:pStyle w:val="3"/>
        <w:snapToGrid w:val="0"/>
        <w:spacing w:before="0" w:after="0" w:line="360" w:lineRule="auto"/>
        <w:ind w:firstLine="640" w:firstLineChars="200"/>
        <w:rPr>
          <w:b w:val="0"/>
          <w:bCs/>
          <w:color w:val="auto"/>
          <w:highlight w:val="none"/>
        </w:rPr>
      </w:pPr>
      <w:bookmarkStart w:id="96" w:name="_Toc19881"/>
      <w:bookmarkStart w:id="97" w:name="_Toc361942965"/>
      <w:bookmarkStart w:id="98" w:name="_Toc458089351"/>
      <w:bookmarkStart w:id="99" w:name="_Toc458088738"/>
      <w:bookmarkStart w:id="100" w:name="_Toc458095096"/>
      <w:bookmarkStart w:id="101" w:name="_Toc458088972"/>
      <w:r>
        <w:rPr>
          <w:rFonts w:hint="eastAsia"/>
          <w:b w:val="0"/>
          <w:bCs/>
          <w:color w:val="auto"/>
          <w:highlight w:val="none"/>
        </w:rPr>
        <w:t>一、人才培养方案的实施与保障</w:t>
      </w:r>
      <w:bookmarkEnd w:id="96"/>
      <w:bookmarkEnd w:id="97"/>
      <w:bookmarkEnd w:id="98"/>
      <w:bookmarkEnd w:id="99"/>
      <w:bookmarkEnd w:id="100"/>
      <w:bookmarkEnd w:id="101"/>
    </w:p>
    <w:p>
      <w:pPr>
        <w:spacing w:line="360" w:lineRule="auto"/>
        <w:ind w:firstLine="300" w:firstLineChars="100"/>
        <w:rPr>
          <w:rFonts w:hint="eastAsia" w:ascii="黑体" w:hAnsi="黑体" w:eastAsia="黑体" w:cs="黑体"/>
          <w:bCs/>
          <w:color w:val="auto"/>
          <w:sz w:val="30"/>
          <w:szCs w:val="30"/>
          <w:highlight w:val="none"/>
          <w:lang w:eastAsia="zh-CN"/>
        </w:rPr>
      </w:pPr>
      <w:bookmarkStart w:id="102" w:name="_Toc28293"/>
      <w:bookmarkStart w:id="103" w:name="_Toc26475"/>
      <w:bookmarkStart w:id="104" w:name="_Toc6234"/>
      <w:r>
        <w:rPr>
          <w:rFonts w:hint="eastAsia" w:ascii="黑体" w:hAnsi="黑体" w:eastAsia="黑体" w:cs="黑体"/>
          <w:bCs/>
          <w:color w:val="auto"/>
          <w:sz w:val="30"/>
          <w:szCs w:val="30"/>
          <w:highlight w:val="none"/>
          <w:lang w:eastAsia="zh-CN"/>
        </w:rPr>
        <w:t>（一）人才培养方案管理与实施的组织保障</w:t>
      </w:r>
      <w:bookmarkEnd w:id="102"/>
      <w:bookmarkEnd w:id="103"/>
      <w:bookmarkEnd w:id="104"/>
    </w:p>
    <w:p>
      <w:pPr>
        <w:spacing w:line="360" w:lineRule="auto"/>
        <w:ind w:firstLine="480" w:firstLineChars="200"/>
        <w:rPr>
          <w:rFonts w:ascii="宋体" w:hAnsi="宋体"/>
          <w:color w:val="auto"/>
          <w:sz w:val="24"/>
          <w:highlight w:val="none"/>
        </w:rPr>
      </w:pPr>
      <w:r>
        <w:rPr>
          <w:rFonts w:ascii="宋体" w:hAnsi="宋体"/>
          <w:color w:val="auto"/>
          <w:sz w:val="24"/>
          <w:highlight w:val="none"/>
        </w:rPr>
        <w:t>首先，培养方案是人才培养的纲领性、指导性的实施文件。按照</w:t>
      </w:r>
      <w:r>
        <w:rPr>
          <w:rFonts w:hint="eastAsia" w:ascii="宋体" w:hAnsi="宋体"/>
          <w:color w:val="auto"/>
          <w:sz w:val="24"/>
          <w:highlight w:val="none"/>
        </w:rPr>
        <w:t>央财支持专业建设</w:t>
      </w:r>
      <w:r>
        <w:rPr>
          <w:rFonts w:ascii="宋体" w:hAnsi="宋体"/>
          <w:color w:val="auto"/>
          <w:sz w:val="24"/>
          <w:highlight w:val="none"/>
        </w:rPr>
        <w:t>的要求，</w:t>
      </w:r>
      <w:r>
        <w:rPr>
          <w:rFonts w:hint="eastAsia" w:ascii="宋体" w:hAnsi="宋体"/>
          <w:color w:val="auto"/>
          <w:sz w:val="24"/>
          <w:highlight w:val="none"/>
        </w:rPr>
        <w:t>科学合理地</w:t>
      </w:r>
      <w:r>
        <w:rPr>
          <w:rFonts w:ascii="宋体" w:hAnsi="宋体"/>
          <w:color w:val="auto"/>
          <w:sz w:val="24"/>
          <w:highlight w:val="none"/>
        </w:rPr>
        <w:t>构建工学结合、以</w:t>
      </w:r>
      <w:r>
        <w:rPr>
          <w:rFonts w:hint="eastAsia" w:ascii="宋体" w:hAnsi="宋体"/>
          <w:color w:val="auto"/>
          <w:sz w:val="24"/>
          <w:highlight w:val="none"/>
        </w:rPr>
        <w:t>任务驱动型</w:t>
      </w:r>
      <w:r>
        <w:rPr>
          <w:rFonts w:ascii="宋体" w:hAnsi="宋体"/>
          <w:color w:val="auto"/>
          <w:sz w:val="24"/>
          <w:highlight w:val="none"/>
        </w:rPr>
        <w:t>为导向的人才培养方案，培养</w:t>
      </w:r>
      <w:r>
        <w:rPr>
          <w:rFonts w:hint="eastAsia" w:ascii="宋体" w:hAnsi="宋体"/>
          <w:color w:val="auto"/>
          <w:sz w:val="24"/>
          <w:highlight w:val="none"/>
        </w:rPr>
        <w:t>全面发展的高素质技术技能人才</w:t>
      </w:r>
      <w:r>
        <w:rPr>
          <w:rFonts w:ascii="宋体" w:hAnsi="宋体"/>
          <w:color w:val="auto"/>
          <w:sz w:val="24"/>
          <w:highlight w:val="none"/>
        </w:rPr>
        <w:t>。</w:t>
      </w:r>
    </w:p>
    <w:p>
      <w:pPr>
        <w:spacing w:line="360" w:lineRule="auto"/>
        <w:ind w:firstLine="480" w:firstLineChars="200"/>
        <w:rPr>
          <w:rFonts w:ascii="宋体" w:hAnsi="宋体"/>
          <w:color w:val="auto"/>
          <w:sz w:val="24"/>
          <w:highlight w:val="none"/>
        </w:rPr>
      </w:pPr>
      <w:r>
        <w:rPr>
          <w:rFonts w:ascii="宋体" w:hAnsi="宋体"/>
          <w:color w:val="auto"/>
          <w:sz w:val="24"/>
          <w:highlight w:val="none"/>
        </w:rPr>
        <w:t>组织运行保障是实施人才培养方案基本条件，组织运行保障是通过教学管理组织实现的，教学运行管理是组织运行保障手段</w:t>
      </w:r>
      <w:r>
        <w:rPr>
          <w:rFonts w:hint="eastAsia" w:ascii="宋体" w:hAnsi="宋体"/>
          <w:color w:val="auto"/>
          <w:sz w:val="24"/>
          <w:highlight w:val="none"/>
        </w:rPr>
        <w:t>，它</w:t>
      </w:r>
      <w:r>
        <w:rPr>
          <w:rFonts w:ascii="宋体" w:hAnsi="宋体"/>
          <w:color w:val="auto"/>
          <w:sz w:val="24"/>
          <w:highlight w:val="none"/>
        </w:rPr>
        <w:t>包括日常教学管理、学生管理、教师工作管理和教学资源管理等，日常教学管理是教学运行组织管理的关键。只有加强日常教学管理，加强对学生和教师的人性化管理，合理调配和配置教学资源，才能保证课程教学的顺利进行，保证人才培养方案落到实处。这样来保证教学的正常运行，使教学有组织、有计划，最终达到教学目标。</w:t>
      </w:r>
    </w:p>
    <w:p>
      <w:pPr>
        <w:pStyle w:val="7"/>
        <w:spacing w:line="360" w:lineRule="auto"/>
        <w:ind w:firstLine="480" w:firstLineChars="200"/>
        <w:rPr>
          <w:rFonts w:hAnsi="宋体" w:cs="Times New Roman"/>
          <w:color w:val="auto"/>
          <w:sz w:val="24"/>
          <w:szCs w:val="24"/>
          <w:highlight w:val="none"/>
        </w:rPr>
      </w:pPr>
      <w:r>
        <w:rPr>
          <w:rFonts w:hint="eastAsia" w:hAnsi="宋体" w:cs="Times New Roman"/>
          <w:color w:val="auto"/>
          <w:sz w:val="24"/>
          <w:szCs w:val="24"/>
          <w:highlight w:val="none"/>
        </w:rPr>
        <w:t>1</w:t>
      </w:r>
      <w:r>
        <w:rPr>
          <w:rFonts w:hint="eastAsia" w:hAnsi="宋体" w:cs="Times New Roman"/>
          <w:color w:val="auto"/>
          <w:sz w:val="24"/>
          <w:szCs w:val="24"/>
          <w:highlight w:val="none"/>
          <w:lang w:eastAsia="zh-CN"/>
        </w:rPr>
        <w:t>.</w:t>
      </w:r>
      <w:r>
        <w:rPr>
          <w:rFonts w:hAnsi="宋体" w:cs="Times New Roman"/>
          <w:color w:val="auto"/>
          <w:sz w:val="24"/>
          <w:szCs w:val="24"/>
          <w:highlight w:val="none"/>
        </w:rPr>
        <w:t>教学运行管理组织机构</w:t>
      </w:r>
    </w:p>
    <w:p>
      <w:pPr>
        <w:spacing w:line="360" w:lineRule="auto"/>
        <w:ind w:firstLine="480"/>
        <w:rPr>
          <w:rFonts w:ascii="宋体" w:hAnsi="宋体"/>
          <w:color w:val="auto"/>
          <w:sz w:val="24"/>
          <w:highlight w:val="none"/>
        </w:rPr>
      </w:pPr>
      <w:r>
        <w:rPr>
          <w:rFonts w:ascii="宋体" w:hAnsi="宋体"/>
          <w:color w:val="auto"/>
          <w:sz w:val="24"/>
          <w:highlight w:val="none"/>
        </w:rPr>
        <w:t>在</w:t>
      </w:r>
      <w:r>
        <w:rPr>
          <w:rFonts w:hint="eastAsia" w:ascii="宋体" w:hAnsi="宋体"/>
          <w:color w:val="auto"/>
          <w:sz w:val="24"/>
          <w:highlight w:val="none"/>
        </w:rPr>
        <w:t>院党委、院委会</w:t>
      </w:r>
      <w:r>
        <w:rPr>
          <w:rFonts w:ascii="宋体" w:hAnsi="宋体"/>
          <w:color w:val="auto"/>
          <w:sz w:val="24"/>
          <w:highlight w:val="none"/>
        </w:rPr>
        <w:t>的</w:t>
      </w:r>
      <w:r>
        <w:rPr>
          <w:rFonts w:hint="eastAsia" w:ascii="宋体" w:hAnsi="宋体"/>
          <w:color w:val="auto"/>
          <w:sz w:val="24"/>
          <w:highlight w:val="none"/>
        </w:rPr>
        <w:t>正确</w:t>
      </w:r>
      <w:r>
        <w:rPr>
          <w:rFonts w:ascii="宋体" w:hAnsi="宋体"/>
          <w:color w:val="auto"/>
          <w:sz w:val="24"/>
          <w:highlight w:val="none"/>
        </w:rPr>
        <w:t>领导下，</w:t>
      </w:r>
      <w:r>
        <w:rPr>
          <w:rFonts w:hint="eastAsia" w:ascii="宋体" w:hAnsi="宋体"/>
          <w:color w:val="auto"/>
          <w:sz w:val="24"/>
          <w:highlight w:val="none"/>
        </w:rPr>
        <w:t>化工</w:t>
      </w:r>
      <w:r>
        <w:rPr>
          <w:rFonts w:ascii="宋体" w:hAnsi="宋体"/>
          <w:color w:val="auto"/>
          <w:sz w:val="24"/>
          <w:highlight w:val="none"/>
        </w:rPr>
        <w:t>系下设</w:t>
      </w:r>
      <w:r>
        <w:rPr>
          <w:rFonts w:hint="eastAsia" w:ascii="宋体" w:hAnsi="宋体"/>
          <w:color w:val="auto"/>
          <w:sz w:val="24"/>
          <w:highlight w:val="none"/>
        </w:rPr>
        <w:t>煤化工专业群</w:t>
      </w:r>
      <w:r>
        <w:rPr>
          <w:rFonts w:ascii="宋体" w:hAnsi="宋体"/>
          <w:color w:val="auto"/>
          <w:sz w:val="24"/>
          <w:highlight w:val="none"/>
        </w:rPr>
        <w:t>，由</w:t>
      </w:r>
      <w:r>
        <w:rPr>
          <w:rFonts w:hint="eastAsia" w:ascii="宋体" w:hAnsi="宋体"/>
          <w:color w:val="auto"/>
          <w:sz w:val="24"/>
          <w:highlight w:val="none"/>
        </w:rPr>
        <w:t>专业主任、</w:t>
      </w:r>
      <w:r>
        <w:rPr>
          <w:rFonts w:ascii="宋体" w:hAnsi="宋体"/>
          <w:color w:val="auto"/>
          <w:sz w:val="24"/>
          <w:highlight w:val="none"/>
        </w:rPr>
        <w:t>专业带头人、骨干教师、企业兼职教师和学生管理人</w:t>
      </w:r>
      <w:r>
        <w:rPr>
          <w:rFonts w:hint="eastAsia" w:ascii="宋体" w:hAnsi="宋体"/>
          <w:color w:val="auto"/>
          <w:sz w:val="24"/>
          <w:highlight w:val="none"/>
        </w:rPr>
        <w:t>员</w:t>
      </w:r>
      <w:r>
        <w:rPr>
          <w:rFonts w:ascii="宋体" w:hAnsi="宋体"/>
          <w:color w:val="auto"/>
          <w:sz w:val="24"/>
          <w:highlight w:val="none"/>
        </w:rPr>
        <w:t>组成专业教学管理组织机构</w:t>
      </w:r>
      <w:r>
        <w:rPr>
          <w:rFonts w:hint="eastAsia" w:ascii="宋体" w:hAnsi="宋体"/>
          <w:color w:val="auto"/>
          <w:sz w:val="24"/>
          <w:highlight w:val="none"/>
        </w:rPr>
        <w:t>，</w:t>
      </w:r>
      <w:r>
        <w:rPr>
          <w:rFonts w:ascii="宋体" w:hAnsi="宋体"/>
          <w:color w:val="auto"/>
          <w:sz w:val="24"/>
          <w:highlight w:val="none"/>
        </w:rPr>
        <w:t>负责日常教学管理、学生管理、教师工作管理和教学资源管理等工作。</w:t>
      </w:r>
    </w:p>
    <w:p>
      <w:pPr>
        <w:pStyle w:val="7"/>
        <w:spacing w:line="360" w:lineRule="auto"/>
        <w:ind w:firstLine="420"/>
        <w:rPr>
          <w:rFonts w:hAnsi="宋体" w:cs="Times New Roman"/>
          <w:color w:val="auto"/>
          <w:sz w:val="24"/>
          <w:szCs w:val="24"/>
          <w:highlight w:val="none"/>
        </w:rPr>
      </w:pPr>
      <w:r>
        <w:rPr>
          <w:rFonts w:hint="eastAsia" w:hAnsi="宋体" w:cs="Times New Roman"/>
          <w:color w:val="auto"/>
          <w:sz w:val="24"/>
          <w:szCs w:val="24"/>
          <w:highlight w:val="none"/>
        </w:rPr>
        <w:t>2</w:t>
      </w:r>
      <w:r>
        <w:rPr>
          <w:rFonts w:hint="eastAsia" w:hAnsi="宋体" w:cs="Times New Roman"/>
          <w:color w:val="auto"/>
          <w:sz w:val="24"/>
          <w:szCs w:val="24"/>
          <w:highlight w:val="none"/>
          <w:lang w:eastAsia="zh-CN"/>
        </w:rPr>
        <w:t>.</w:t>
      </w:r>
      <w:r>
        <w:rPr>
          <w:rFonts w:hAnsi="宋体" w:cs="Times New Roman"/>
          <w:color w:val="auto"/>
          <w:sz w:val="24"/>
          <w:szCs w:val="24"/>
          <w:highlight w:val="none"/>
        </w:rPr>
        <w:t>专业教学指导委员会</w:t>
      </w:r>
    </w:p>
    <w:p>
      <w:pPr>
        <w:pStyle w:val="7"/>
        <w:spacing w:line="360" w:lineRule="auto"/>
        <w:ind w:firstLine="420"/>
        <w:rPr>
          <w:rFonts w:hAnsi="宋体" w:cs="Times New Roman"/>
          <w:color w:val="auto"/>
          <w:sz w:val="24"/>
          <w:szCs w:val="24"/>
          <w:highlight w:val="none"/>
        </w:rPr>
      </w:pPr>
      <w:r>
        <w:rPr>
          <w:rFonts w:hint="eastAsia" w:hAnsi="宋体"/>
          <w:color w:val="auto"/>
          <w:sz w:val="24"/>
          <w:szCs w:val="24"/>
          <w:highlight w:val="none"/>
        </w:rPr>
        <w:t>煤化工技术</w:t>
      </w:r>
      <w:r>
        <w:rPr>
          <w:rFonts w:hAnsi="宋体" w:cs="Times New Roman"/>
          <w:color w:val="auto"/>
          <w:sz w:val="24"/>
          <w:szCs w:val="24"/>
          <w:highlight w:val="none"/>
        </w:rPr>
        <w:t>专业成立了由系领导和合作企业负责人共同牵头的专业教学指导委员会，负责</w:t>
      </w:r>
      <w:r>
        <w:rPr>
          <w:rFonts w:hint="eastAsia" w:hAnsi="宋体" w:cs="Times New Roman"/>
          <w:color w:val="auto"/>
          <w:sz w:val="24"/>
          <w:szCs w:val="24"/>
          <w:highlight w:val="none"/>
        </w:rPr>
        <w:t>人才培养方案的制定、</w:t>
      </w:r>
      <w:r>
        <w:rPr>
          <w:rFonts w:hAnsi="宋体" w:cs="Times New Roman"/>
          <w:color w:val="auto"/>
          <w:sz w:val="24"/>
          <w:szCs w:val="24"/>
          <w:highlight w:val="none"/>
        </w:rPr>
        <w:t>课程开发、教学计划的修订等工作。</w:t>
      </w:r>
    </w:p>
    <w:p>
      <w:pPr>
        <w:spacing w:line="360" w:lineRule="auto"/>
        <w:jc w:val="center"/>
        <w:rPr>
          <w:rFonts w:ascii="宋体" w:hAnsi="宋体"/>
          <w:color w:val="auto"/>
          <w:sz w:val="24"/>
          <w:highlight w:val="none"/>
        </w:rPr>
      </w:pPr>
      <w:r>
        <w:rPr>
          <w:rFonts w:eastAsia="仿宋_GB2312"/>
          <w:color w:val="auto"/>
          <w:sz w:val="18"/>
          <w:szCs w:val="18"/>
          <w:highlight w:val="none"/>
        </w:rPr>
        <w:t>　</w:t>
      </w:r>
      <w:r>
        <w:rPr>
          <w:rFonts w:hint="eastAsia" w:ascii="宋体" w:hAnsi="宋体"/>
          <w:bCs/>
          <w:color w:val="auto"/>
          <w:sz w:val="24"/>
          <w:highlight w:val="none"/>
        </w:rPr>
        <w:t>表5.1 煤化工技术专业指导委员会一览表</w:t>
      </w:r>
    </w:p>
    <w:tbl>
      <w:tblPr>
        <w:tblStyle w:val="1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1100"/>
        <w:gridCol w:w="2970"/>
        <w:gridCol w:w="1382"/>
        <w:gridCol w:w="2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56"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职务</w:t>
            </w:r>
          </w:p>
        </w:tc>
        <w:tc>
          <w:tcPr>
            <w:tcW w:w="1100"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姓名</w:t>
            </w:r>
          </w:p>
        </w:tc>
        <w:tc>
          <w:tcPr>
            <w:tcW w:w="2970"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工作单位</w:t>
            </w:r>
          </w:p>
        </w:tc>
        <w:tc>
          <w:tcPr>
            <w:tcW w:w="1382"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学历/职称</w:t>
            </w:r>
          </w:p>
        </w:tc>
        <w:tc>
          <w:tcPr>
            <w:tcW w:w="2114"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restart"/>
            <w:noWrap/>
            <w:vAlign w:val="center"/>
          </w:tcPr>
          <w:p>
            <w:pPr>
              <w:snapToGrid w:val="0"/>
              <w:spacing w:line="360" w:lineRule="auto"/>
              <w:jc w:val="center"/>
              <w:rPr>
                <w:rFonts w:ascii="宋体" w:hAnsi="宋体"/>
                <w:color w:val="auto"/>
                <w:szCs w:val="21"/>
                <w:highlight w:val="none"/>
              </w:rPr>
            </w:pPr>
            <w:r>
              <w:rPr>
                <w:rFonts w:hint="eastAsia" w:ascii="宋体" w:hAnsi="宋体"/>
                <w:color w:val="auto"/>
                <w:szCs w:val="21"/>
                <w:highlight w:val="none"/>
              </w:rPr>
              <w:t>主任</w:t>
            </w:r>
          </w:p>
        </w:tc>
        <w:tc>
          <w:tcPr>
            <w:tcW w:w="1100" w:type="dxa"/>
            <w:noWrap/>
            <w:vAlign w:val="center"/>
          </w:tcPr>
          <w:p>
            <w:pPr>
              <w:pStyle w:val="5"/>
              <w:spacing w:after="0" w:line="360" w:lineRule="auto"/>
              <w:jc w:val="center"/>
              <w:rPr>
                <w:rFonts w:ascii="宋体" w:hAnsi="宋体"/>
                <w:color w:val="auto"/>
                <w:szCs w:val="21"/>
                <w:highlight w:val="none"/>
              </w:rPr>
            </w:pPr>
            <w:r>
              <w:rPr>
                <w:rFonts w:hint="eastAsia" w:ascii="宋体" w:hAnsi="宋体"/>
                <w:color w:val="auto"/>
                <w:szCs w:val="21"/>
                <w:highlight w:val="none"/>
              </w:rPr>
              <w:t>吉晋兰</w:t>
            </w:r>
          </w:p>
        </w:tc>
        <w:tc>
          <w:tcPr>
            <w:tcW w:w="2970"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晋城职业技术学院</w:t>
            </w:r>
          </w:p>
        </w:tc>
        <w:tc>
          <w:tcPr>
            <w:tcW w:w="1382"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博士/教授</w:t>
            </w:r>
          </w:p>
        </w:tc>
        <w:tc>
          <w:tcPr>
            <w:tcW w:w="2114"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化工系主任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noWrap/>
            <w:vAlign w:val="center"/>
          </w:tcPr>
          <w:p>
            <w:pPr>
              <w:widowControl/>
              <w:spacing w:line="360" w:lineRule="auto"/>
              <w:jc w:val="center"/>
              <w:rPr>
                <w:rFonts w:ascii="宋体" w:hAnsi="宋体"/>
                <w:color w:val="auto"/>
                <w:szCs w:val="21"/>
                <w:highlight w:val="none"/>
              </w:rPr>
            </w:pPr>
          </w:p>
        </w:tc>
        <w:tc>
          <w:tcPr>
            <w:tcW w:w="1100" w:type="dxa"/>
            <w:noWrap/>
            <w:vAlign w:val="center"/>
          </w:tcPr>
          <w:p>
            <w:pPr>
              <w:pStyle w:val="5"/>
              <w:spacing w:after="0" w:line="360" w:lineRule="auto"/>
              <w:jc w:val="center"/>
              <w:rPr>
                <w:rFonts w:ascii="宋体" w:hAnsi="宋体"/>
                <w:color w:val="auto"/>
                <w:szCs w:val="21"/>
                <w:highlight w:val="none"/>
              </w:rPr>
            </w:pPr>
            <w:r>
              <w:rPr>
                <w:rFonts w:hint="eastAsia" w:ascii="宋体" w:hAnsi="宋体"/>
                <w:color w:val="auto"/>
                <w:szCs w:val="21"/>
                <w:highlight w:val="none"/>
              </w:rPr>
              <w:t>姬爱国</w:t>
            </w:r>
          </w:p>
        </w:tc>
        <w:tc>
          <w:tcPr>
            <w:tcW w:w="2970"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晋城职业技术学院</w:t>
            </w:r>
          </w:p>
        </w:tc>
        <w:tc>
          <w:tcPr>
            <w:tcW w:w="1382"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博士/副教授</w:t>
            </w:r>
          </w:p>
        </w:tc>
        <w:tc>
          <w:tcPr>
            <w:tcW w:w="2114"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副院长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jc w:val="center"/>
        </w:trPr>
        <w:tc>
          <w:tcPr>
            <w:tcW w:w="956" w:type="dxa"/>
            <w:vMerge w:val="restart"/>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副主任</w:t>
            </w:r>
          </w:p>
        </w:tc>
        <w:tc>
          <w:tcPr>
            <w:tcW w:w="1100" w:type="dxa"/>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21"/>
                <w:highlight w:val="none"/>
              </w:rPr>
              <w:t>李晋国</w:t>
            </w:r>
          </w:p>
        </w:tc>
        <w:tc>
          <w:tcPr>
            <w:tcW w:w="2970"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晋城职业技术学院</w:t>
            </w:r>
          </w:p>
        </w:tc>
        <w:tc>
          <w:tcPr>
            <w:tcW w:w="1382" w:type="dxa"/>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21"/>
                <w:highlight w:val="none"/>
              </w:rPr>
              <w:t>硕士/讲师</w:t>
            </w:r>
          </w:p>
        </w:tc>
        <w:tc>
          <w:tcPr>
            <w:tcW w:w="2114" w:type="dxa"/>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21"/>
                <w:highlight w:val="none"/>
              </w:rPr>
              <w:t>晋职院考评办主任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noWrap/>
            <w:vAlign w:val="center"/>
          </w:tcPr>
          <w:p>
            <w:pPr>
              <w:spacing w:line="360" w:lineRule="auto"/>
              <w:jc w:val="center"/>
              <w:rPr>
                <w:rFonts w:ascii="宋体" w:hAnsi="宋体"/>
                <w:color w:val="auto"/>
                <w:kern w:val="0"/>
                <w:szCs w:val="21"/>
                <w:highlight w:val="none"/>
              </w:rPr>
            </w:pPr>
          </w:p>
        </w:tc>
        <w:tc>
          <w:tcPr>
            <w:tcW w:w="1100" w:type="dxa"/>
            <w:noWrap/>
            <w:vAlign w:val="center"/>
          </w:tcPr>
          <w:p>
            <w:pPr>
              <w:pStyle w:val="23"/>
              <w:ind w:firstLine="0" w:firstLineChars="0"/>
              <w:jc w:val="center"/>
              <w:rPr>
                <w:rFonts w:ascii="宋体" w:hAnsi="宋体"/>
                <w:color w:val="auto"/>
                <w:kern w:val="0"/>
                <w:szCs w:val="21"/>
                <w:highlight w:val="none"/>
              </w:rPr>
            </w:pPr>
            <w:r>
              <w:rPr>
                <w:rFonts w:hint="eastAsia" w:ascii="宋体" w:hAnsi="宋体"/>
                <w:color w:val="auto"/>
                <w:szCs w:val="21"/>
                <w:highlight w:val="none"/>
              </w:rPr>
              <w:t>碗海鹰</w:t>
            </w:r>
          </w:p>
        </w:tc>
        <w:tc>
          <w:tcPr>
            <w:tcW w:w="2970" w:type="dxa"/>
            <w:noWrap/>
            <w:vAlign w:val="center"/>
          </w:tcPr>
          <w:p>
            <w:pPr>
              <w:spacing w:line="360" w:lineRule="auto"/>
              <w:ind w:left="-109" w:leftChars="-52" w:right="-92" w:rightChars="-44"/>
              <w:jc w:val="center"/>
              <w:rPr>
                <w:rFonts w:ascii="宋体" w:hAnsi="宋体"/>
                <w:color w:val="auto"/>
                <w:szCs w:val="21"/>
                <w:highlight w:val="none"/>
              </w:rPr>
            </w:pPr>
            <w:r>
              <w:rPr>
                <w:rFonts w:hint="eastAsia" w:ascii="宋体" w:hAnsi="宋体"/>
                <w:color w:val="auto"/>
                <w:szCs w:val="21"/>
                <w:highlight w:val="none"/>
              </w:rPr>
              <w:t>晋城市华美瑞泽新材料有限公司</w:t>
            </w:r>
          </w:p>
        </w:tc>
        <w:tc>
          <w:tcPr>
            <w:tcW w:w="1382" w:type="dxa"/>
            <w:noWrap/>
            <w:vAlign w:val="center"/>
          </w:tcPr>
          <w:p>
            <w:pPr>
              <w:pStyle w:val="5"/>
              <w:spacing w:after="0" w:line="360" w:lineRule="auto"/>
              <w:jc w:val="center"/>
              <w:rPr>
                <w:rFonts w:ascii="宋体" w:hAnsi="宋体"/>
                <w:color w:val="auto"/>
                <w:kern w:val="0"/>
                <w:szCs w:val="21"/>
                <w:highlight w:val="none"/>
              </w:rPr>
            </w:pPr>
            <w:r>
              <w:rPr>
                <w:rFonts w:hint="eastAsia" w:ascii="宋体" w:hAnsi="宋体"/>
                <w:color w:val="auto"/>
                <w:kern w:val="0"/>
                <w:szCs w:val="21"/>
                <w:highlight w:val="none"/>
              </w:rPr>
              <w:t>博士</w:t>
            </w:r>
          </w:p>
        </w:tc>
        <w:tc>
          <w:tcPr>
            <w:tcW w:w="2114" w:type="dxa"/>
            <w:noWrap/>
            <w:vAlign w:val="center"/>
          </w:tcPr>
          <w:p>
            <w:pPr>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总经理兼技术总监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restart"/>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21"/>
                <w:highlight w:val="none"/>
              </w:rPr>
              <w:t>委员</w:t>
            </w:r>
          </w:p>
        </w:tc>
        <w:tc>
          <w:tcPr>
            <w:tcW w:w="1100" w:type="dxa"/>
            <w:noWrap/>
            <w:vAlign w:val="center"/>
          </w:tcPr>
          <w:p>
            <w:pPr>
              <w:pStyle w:val="5"/>
              <w:spacing w:after="0" w:line="360" w:lineRule="auto"/>
              <w:jc w:val="center"/>
              <w:rPr>
                <w:rFonts w:ascii="宋体" w:hAnsi="宋体"/>
                <w:color w:val="auto"/>
                <w:szCs w:val="21"/>
                <w:highlight w:val="none"/>
              </w:rPr>
            </w:pPr>
            <w:r>
              <w:rPr>
                <w:rFonts w:hint="eastAsia" w:ascii="宋体" w:hAnsi="宋体"/>
                <w:color w:val="auto"/>
                <w:szCs w:val="21"/>
                <w:highlight w:val="none"/>
              </w:rPr>
              <w:t>牛学丽</w:t>
            </w:r>
          </w:p>
        </w:tc>
        <w:tc>
          <w:tcPr>
            <w:tcW w:w="2970" w:type="dxa"/>
            <w:noWrap/>
            <w:vAlign w:val="center"/>
          </w:tcPr>
          <w:p>
            <w:pPr>
              <w:pStyle w:val="5"/>
              <w:spacing w:after="0" w:line="360" w:lineRule="auto"/>
              <w:jc w:val="center"/>
              <w:rPr>
                <w:rFonts w:ascii="宋体" w:hAnsi="宋体"/>
                <w:color w:val="auto"/>
                <w:szCs w:val="21"/>
                <w:highlight w:val="none"/>
              </w:rPr>
            </w:pPr>
            <w:r>
              <w:rPr>
                <w:rFonts w:hint="eastAsia" w:ascii="宋体" w:hAnsi="宋体"/>
                <w:color w:val="auto"/>
                <w:szCs w:val="21"/>
                <w:highlight w:val="none"/>
              </w:rPr>
              <w:t>晋城职业技术学院</w:t>
            </w:r>
          </w:p>
        </w:tc>
        <w:tc>
          <w:tcPr>
            <w:tcW w:w="1382"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博士/副教授</w:t>
            </w:r>
          </w:p>
        </w:tc>
        <w:tc>
          <w:tcPr>
            <w:tcW w:w="2114"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noWrap/>
            <w:vAlign w:val="center"/>
          </w:tcPr>
          <w:p>
            <w:pPr>
              <w:widowControl/>
              <w:spacing w:line="360" w:lineRule="auto"/>
              <w:jc w:val="center"/>
              <w:rPr>
                <w:rFonts w:ascii="宋体" w:hAnsi="宋体"/>
                <w:color w:val="auto"/>
                <w:szCs w:val="21"/>
                <w:highlight w:val="none"/>
              </w:rPr>
            </w:pPr>
          </w:p>
        </w:tc>
        <w:tc>
          <w:tcPr>
            <w:tcW w:w="1100" w:type="dxa"/>
            <w:noWrap/>
            <w:vAlign w:val="center"/>
          </w:tcPr>
          <w:p>
            <w:pPr>
              <w:pStyle w:val="5"/>
              <w:spacing w:after="0" w:line="360" w:lineRule="auto"/>
              <w:rPr>
                <w:rFonts w:ascii="宋体" w:hAnsi="宋体"/>
                <w:color w:val="auto"/>
                <w:szCs w:val="21"/>
                <w:highlight w:val="none"/>
              </w:rPr>
            </w:pPr>
            <w:r>
              <w:rPr>
                <w:rFonts w:hint="eastAsia" w:ascii="宋体" w:hAnsi="宋体"/>
                <w:color w:val="auto"/>
                <w:szCs w:val="21"/>
                <w:highlight w:val="none"/>
              </w:rPr>
              <w:t xml:space="preserve">  席琦</w:t>
            </w:r>
          </w:p>
        </w:tc>
        <w:tc>
          <w:tcPr>
            <w:tcW w:w="2970" w:type="dxa"/>
            <w:noWrap/>
            <w:vAlign w:val="center"/>
          </w:tcPr>
          <w:p>
            <w:pPr>
              <w:pStyle w:val="5"/>
              <w:spacing w:after="0" w:line="360" w:lineRule="auto"/>
              <w:jc w:val="center"/>
              <w:rPr>
                <w:rFonts w:ascii="宋体" w:hAnsi="宋体"/>
                <w:color w:val="auto"/>
                <w:szCs w:val="21"/>
                <w:highlight w:val="none"/>
              </w:rPr>
            </w:pPr>
            <w:r>
              <w:rPr>
                <w:rFonts w:hint="eastAsia" w:ascii="宋体" w:hAnsi="宋体"/>
                <w:color w:val="auto"/>
                <w:szCs w:val="21"/>
                <w:highlight w:val="none"/>
              </w:rPr>
              <w:t>晋城职业技术学院</w:t>
            </w:r>
          </w:p>
        </w:tc>
        <w:tc>
          <w:tcPr>
            <w:tcW w:w="1382"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硕士/副教授</w:t>
            </w:r>
          </w:p>
        </w:tc>
        <w:tc>
          <w:tcPr>
            <w:tcW w:w="2114" w:type="dxa"/>
            <w:noWrap/>
            <w:vAlign w:val="center"/>
          </w:tcPr>
          <w:p>
            <w:pPr>
              <w:spacing w:line="360" w:lineRule="auto"/>
              <w:ind w:right="-46" w:rightChars="-22"/>
              <w:jc w:val="center"/>
              <w:rPr>
                <w:rFonts w:ascii="宋体" w:hAnsi="宋体"/>
                <w:color w:val="auto"/>
                <w:szCs w:val="21"/>
                <w:highlight w:val="none"/>
              </w:rPr>
            </w:pPr>
            <w:r>
              <w:rPr>
                <w:rFonts w:hint="eastAsia" w:ascii="宋体" w:hAnsi="宋体"/>
                <w:color w:val="auto"/>
                <w:szCs w:val="21"/>
                <w:highlight w:val="none"/>
              </w:rPr>
              <w:t>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noWrap/>
            <w:vAlign w:val="center"/>
          </w:tcPr>
          <w:p>
            <w:pPr>
              <w:widowControl/>
              <w:spacing w:line="360" w:lineRule="auto"/>
              <w:jc w:val="center"/>
              <w:rPr>
                <w:rFonts w:ascii="宋体" w:hAnsi="宋体"/>
                <w:color w:val="auto"/>
                <w:szCs w:val="21"/>
                <w:highlight w:val="none"/>
              </w:rPr>
            </w:pPr>
          </w:p>
        </w:tc>
        <w:tc>
          <w:tcPr>
            <w:tcW w:w="1100" w:type="dxa"/>
            <w:noWrap/>
            <w:vAlign w:val="center"/>
          </w:tcPr>
          <w:p>
            <w:pPr>
              <w:pStyle w:val="23"/>
              <w:ind w:firstLine="0" w:firstLineChars="0"/>
              <w:jc w:val="center"/>
              <w:rPr>
                <w:rFonts w:ascii="宋体" w:hAnsi="宋体"/>
                <w:color w:val="auto"/>
                <w:szCs w:val="21"/>
                <w:highlight w:val="none"/>
              </w:rPr>
            </w:pPr>
            <w:r>
              <w:rPr>
                <w:rFonts w:hint="eastAsia" w:ascii="宋体" w:hAnsi="宋体"/>
                <w:color w:val="auto"/>
                <w:szCs w:val="21"/>
                <w:highlight w:val="none"/>
              </w:rPr>
              <w:t>王海刚</w:t>
            </w:r>
          </w:p>
        </w:tc>
        <w:tc>
          <w:tcPr>
            <w:tcW w:w="2970" w:type="dxa"/>
            <w:noWrap/>
            <w:vAlign w:val="center"/>
          </w:tcPr>
          <w:p>
            <w:pPr>
              <w:pStyle w:val="5"/>
              <w:spacing w:after="0" w:line="360" w:lineRule="auto"/>
              <w:jc w:val="center"/>
              <w:rPr>
                <w:rFonts w:ascii="宋体" w:hAnsi="宋体"/>
                <w:color w:val="auto"/>
                <w:szCs w:val="21"/>
                <w:highlight w:val="none"/>
              </w:rPr>
            </w:pPr>
            <w:r>
              <w:rPr>
                <w:rFonts w:hint="eastAsia" w:ascii="宋体" w:hAnsi="宋体"/>
                <w:color w:val="auto"/>
                <w:szCs w:val="21"/>
                <w:highlight w:val="none"/>
              </w:rPr>
              <w:t>晋城职业技术学院</w:t>
            </w:r>
          </w:p>
        </w:tc>
        <w:tc>
          <w:tcPr>
            <w:tcW w:w="1382"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学士/副教授</w:t>
            </w:r>
          </w:p>
        </w:tc>
        <w:tc>
          <w:tcPr>
            <w:tcW w:w="2114"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化工系副主任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noWrap/>
            <w:vAlign w:val="center"/>
          </w:tcPr>
          <w:p>
            <w:pPr>
              <w:widowControl/>
              <w:spacing w:line="360" w:lineRule="auto"/>
              <w:jc w:val="center"/>
              <w:rPr>
                <w:rFonts w:ascii="宋体" w:hAnsi="宋体"/>
                <w:color w:val="auto"/>
                <w:szCs w:val="21"/>
                <w:highlight w:val="none"/>
              </w:rPr>
            </w:pPr>
          </w:p>
        </w:tc>
        <w:tc>
          <w:tcPr>
            <w:tcW w:w="1100" w:type="dxa"/>
            <w:noWrap/>
            <w:vAlign w:val="center"/>
          </w:tcPr>
          <w:p>
            <w:pPr>
              <w:pStyle w:val="23"/>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杨国华</w:t>
            </w:r>
          </w:p>
        </w:tc>
        <w:tc>
          <w:tcPr>
            <w:tcW w:w="2970" w:type="dxa"/>
            <w:noWrap/>
            <w:vAlign w:val="center"/>
          </w:tcPr>
          <w:p>
            <w:pPr>
              <w:pStyle w:val="23"/>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兰花集团</w:t>
            </w:r>
          </w:p>
        </w:tc>
        <w:tc>
          <w:tcPr>
            <w:tcW w:w="1382" w:type="dxa"/>
            <w:noWrap/>
            <w:vAlign w:val="center"/>
          </w:tcPr>
          <w:p>
            <w:pPr>
              <w:pStyle w:val="23"/>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高级工程师</w:t>
            </w:r>
          </w:p>
        </w:tc>
        <w:tc>
          <w:tcPr>
            <w:tcW w:w="2114" w:type="dxa"/>
            <w:noWrap/>
            <w:vAlign w:val="center"/>
          </w:tcPr>
          <w:p>
            <w:pPr>
              <w:pStyle w:val="23"/>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人事处副处长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noWrap/>
            <w:vAlign w:val="center"/>
          </w:tcPr>
          <w:p>
            <w:pPr>
              <w:widowControl/>
              <w:spacing w:line="360" w:lineRule="auto"/>
              <w:jc w:val="center"/>
              <w:rPr>
                <w:rFonts w:ascii="宋体" w:hAnsi="宋体"/>
                <w:color w:val="auto"/>
                <w:szCs w:val="21"/>
                <w:highlight w:val="none"/>
              </w:rPr>
            </w:pPr>
          </w:p>
        </w:tc>
        <w:tc>
          <w:tcPr>
            <w:tcW w:w="1100" w:type="dxa"/>
            <w:noWrap/>
            <w:vAlign w:val="center"/>
          </w:tcPr>
          <w:p>
            <w:pPr>
              <w:pStyle w:val="23"/>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崔进军</w:t>
            </w:r>
          </w:p>
        </w:tc>
        <w:tc>
          <w:tcPr>
            <w:tcW w:w="2970" w:type="dxa"/>
            <w:noWrap/>
            <w:vAlign w:val="center"/>
          </w:tcPr>
          <w:p>
            <w:pPr>
              <w:pStyle w:val="23"/>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山西兰花科创阳化分公司</w:t>
            </w:r>
          </w:p>
        </w:tc>
        <w:tc>
          <w:tcPr>
            <w:tcW w:w="1382" w:type="dxa"/>
            <w:noWrap/>
            <w:vAlign w:val="center"/>
          </w:tcPr>
          <w:p>
            <w:pPr>
              <w:pStyle w:val="23"/>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高级工程师</w:t>
            </w:r>
          </w:p>
        </w:tc>
        <w:tc>
          <w:tcPr>
            <w:tcW w:w="2114" w:type="dxa"/>
            <w:noWrap/>
            <w:vAlign w:val="center"/>
          </w:tcPr>
          <w:p>
            <w:pPr>
              <w:pStyle w:val="23"/>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技术科科长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noWrap/>
            <w:vAlign w:val="center"/>
          </w:tcPr>
          <w:p>
            <w:pPr>
              <w:widowControl/>
              <w:spacing w:line="360" w:lineRule="auto"/>
              <w:jc w:val="center"/>
              <w:rPr>
                <w:rFonts w:ascii="宋体" w:hAnsi="宋体"/>
                <w:color w:val="auto"/>
                <w:szCs w:val="21"/>
                <w:highlight w:val="none"/>
              </w:rPr>
            </w:pPr>
          </w:p>
        </w:tc>
        <w:tc>
          <w:tcPr>
            <w:tcW w:w="1100" w:type="dxa"/>
            <w:noWrap/>
            <w:vAlign w:val="center"/>
          </w:tcPr>
          <w:p>
            <w:pPr>
              <w:pStyle w:val="23"/>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王维兵</w:t>
            </w:r>
          </w:p>
        </w:tc>
        <w:tc>
          <w:tcPr>
            <w:tcW w:w="2970" w:type="dxa"/>
            <w:noWrap/>
            <w:vAlign w:val="center"/>
          </w:tcPr>
          <w:p>
            <w:pPr>
              <w:pStyle w:val="23"/>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山西兰花科创化肥公司</w:t>
            </w:r>
          </w:p>
        </w:tc>
        <w:tc>
          <w:tcPr>
            <w:tcW w:w="1382" w:type="dxa"/>
            <w:noWrap/>
            <w:vAlign w:val="center"/>
          </w:tcPr>
          <w:p>
            <w:pPr>
              <w:pStyle w:val="23"/>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高级工程师</w:t>
            </w:r>
          </w:p>
        </w:tc>
        <w:tc>
          <w:tcPr>
            <w:tcW w:w="2114" w:type="dxa"/>
            <w:noWrap/>
            <w:vAlign w:val="center"/>
          </w:tcPr>
          <w:p>
            <w:pPr>
              <w:pStyle w:val="23"/>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生产科科长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noWrap/>
            <w:vAlign w:val="center"/>
          </w:tcPr>
          <w:p>
            <w:pPr>
              <w:widowControl/>
              <w:spacing w:line="360" w:lineRule="auto"/>
              <w:jc w:val="center"/>
              <w:rPr>
                <w:rFonts w:ascii="宋体" w:hAnsi="宋体"/>
                <w:color w:val="auto"/>
                <w:szCs w:val="21"/>
                <w:highlight w:val="none"/>
              </w:rPr>
            </w:pPr>
          </w:p>
        </w:tc>
        <w:tc>
          <w:tcPr>
            <w:tcW w:w="1100" w:type="dxa"/>
            <w:noWrap/>
            <w:vAlign w:val="center"/>
          </w:tcPr>
          <w:p>
            <w:pPr>
              <w:pStyle w:val="23"/>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刘卫军</w:t>
            </w:r>
          </w:p>
        </w:tc>
        <w:tc>
          <w:tcPr>
            <w:tcW w:w="2970" w:type="dxa"/>
            <w:noWrap/>
            <w:vAlign w:val="center"/>
          </w:tcPr>
          <w:p>
            <w:pPr>
              <w:pStyle w:val="23"/>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兰花科创阳化分公司</w:t>
            </w:r>
          </w:p>
        </w:tc>
        <w:tc>
          <w:tcPr>
            <w:tcW w:w="1382" w:type="dxa"/>
            <w:noWrap/>
            <w:vAlign w:val="center"/>
          </w:tcPr>
          <w:p>
            <w:pPr>
              <w:pStyle w:val="23"/>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高级工程师</w:t>
            </w:r>
          </w:p>
        </w:tc>
        <w:tc>
          <w:tcPr>
            <w:tcW w:w="2114" w:type="dxa"/>
            <w:noWrap/>
            <w:vAlign w:val="center"/>
          </w:tcPr>
          <w:p>
            <w:pPr>
              <w:pStyle w:val="23"/>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工会主席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noWrap/>
            <w:vAlign w:val="center"/>
          </w:tcPr>
          <w:p>
            <w:pPr>
              <w:widowControl/>
              <w:spacing w:line="360" w:lineRule="auto"/>
              <w:jc w:val="center"/>
              <w:rPr>
                <w:rFonts w:ascii="宋体" w:hAnsi="宋体"/>
                <w:color w:val="auto"/>
                <w:szCs w:val="21"/>
                <w:highlight w:val="none"/>
              </w:rPr>
            </w:pPr>
          </w:p>
        </w:tc>
        <w:tc>
          <w:tcPr>
            <w:tcW w:w="1100" w:type="dxa"/>
            <w:noWrap/>
            <w:vAlign w:val="center"/>
          </w:tcPr>
          <w:p>
            <w:pPr>
              <w:pStyle w:val="23"/>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王西栋</w:t>
            </w:r>
          </w:p>
        </w:tc>
        <w:tc>
          <w:tcPr>
            <w:tcW w:w="2970" w:type="dxa"/>
            <w:noWrap/>
            <w:vAlign w:val="center"/>
          </w:tcPr>
          <w:p>
            <w:pPr>
              <w:pStyle w:val="23"/>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兰花科创阳化分公司</w:t>
            </w:r>
          </w:p>
        </w:tc>
        <w:tc>
          <w:tcPr>
            <w:tcW w:w="1382" w:type="dxa"/>
            <w:noWrap/>
            <w:vAlign w:val="center"/>
          </w:tcPr>
          <w:p>
            <w:pPr>
              <w:pStyle w:val="23"/>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高级工程师</w:t>
            </w:r>
          </w:p>
        </w:tc>
        <w:tc>
          <w:tcPr>
            <w:tcW w:w="2114" w:type="dxa"/>
            <w:noWrap/>
            <w:vAlign w:val="center"/>
          </w:tcPr>
          <w:p>
            <w:pPr>
              <w:pStyle w:val="23"/>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厂长</w:t>
            </w:r>
          </w:p>
        </w:tc>
      </w:tr>
    </w:tbl>
    <w:p>
      <w:pPr>
        <w:pStyle w:val="4"/>
        <w:spacing w:before="0" w:after="0" w:line="360" w:lineRule="auto"/>
        <w:ind w:firstLine="300" w:firstLineChars="100"/>
        <w:rPr>
          <w:rFonts w:ascii="宋体" w:hAnsi="宋体"/>
          <w:b w:val="0"/>
          <w:color w:val="auto"/>
          <w:sz w:val="24"/>
          <w:szCs w:val="24"/>
          <w:highlight w:val="none"/>
        </w:rPr>
      </w:pPr>
      <w:bookmarkStart w:id="105" w:name="_Toc23920"/>
      <w:bookmarkStart w:id="106" w:name="_Toc7047"/>
      <w:bookmarkStart w:id="107" w:name="_Toc18681"/>
      <w:bookmarkStart w:id="108" w:name="_Toc16276"/>
      <w:r>
        <w:rPr>
          <w:rFonts w:hint="eastAsia" w:ascii="黑体" w:hAnsi="黑体" w:eastAsia="黑体" w:cs="黑体"/>
          <w:b w:val="0"/>
          <w:bCs/>
          <w:color w:val="auto"/>
          <w:kern w:val="2"/>
          <w:sz w:val="30"/>
          <w:szCs w:val="30"/>
          <w:highlight w:val="none"/>
          <w:lang w:val="en-US" w:eastAsia="zh-CN" w:bidi="ar-SA"/>
        </w:rPr>
        <w:t>（二）人才培养方案管理与实施的制度保障</w:t>
      </w:r>
      <w:bookmarkEnd w:id="105"/>
      <w:bookmarkEnd w:id="106"/>
      <w:bookmarkEnd w:id="107"/>
      <w:bookmarkEnd w:id="108"/>
    </w:p>
    <w:p>
      <w:pPr>
        <w:spacing w:line="440" w:lineRule="exact"/>
        <w:ind w:firstLine="480"/>
        <w:rPr>
          <w:rFonts w:ascii="宋体" w:hAnsi="宋体"/>
          <w:color w:val="auto"/>
          <w:sz w:val="24"/>
          <w:highlight w:val="none"/>
        </w:rPr>
      </w:pPr>
      <w:r>
        <w:rPr>
          <w:rFonts w:hint="eastAsia" w:ascii="宋体" w:hAnsi="宋体"/>
          <w:color w:val="auto"/>
          <w:sz w:val="24"/>
          <w:highlight w:val="none"/>
        </w:rPr>
        <w:t>为实现人才培养方案的正常运行，根据高职教育规律和我院实际情况，在教学管理上实行学院和教学系两级管理，</w:t>
      </w:r>
      <w:r>
        <w:rPr>
          <w:rFonts w:ascii="宋体" w:hAnsi="宋体"/>
          <w:color w:val="auto"/>
          <w:sz w:val="24"/>
          <w:highlight w:val="none"/>
        </w:rPr>
        <w:t>严格执行学院制定的教学工作规范、教学计划、课程标准和教学</w:t>
      </w:r>
      <w:r>
        <w:rPr>
          <w:rFonts w:hint="eastAsia" w:ascii="宋体" w:hAnsi="宋体"/>
          <w:color w:val="auto"/>
          <w:sz w:val="24"/>
          <w:highlight w:val="none"/>
        </w:rPr>
        <w:t>日志制度</w:t>
      </w:r>
      <w:r>
        <w:rPr>
          <w:rFonts w:ascii="宋体" w:hAnsi="宋体"/>
          <w:color w:val="auto"/>
          <w:sz w:val="24"/>
          <w:highlight w:val="none"/>
        </w:rPr>
        <w:t>，严格教学事故的认定与处理，严格执行教学评价制度，严格执行课堂教学和实践教学过程的检查制度，严格教学文件的规范管理，保证人才培养方案的顺利实施、教学秩序的稳定和教学质量的提高。</w:t>
      </w:r>
    </w:p>
    <w:p>
      <w:pPr>
        <w:pStyle w:val="7"/>
        <w:spacing w:line="440" w:lineRule="exact"/>
        <w:ind w:firstLine="420"/>
        <w:rPr>
          <w:rFonts w:hAnsi="宋体" w:cs="Times New Roman"/>
          <w:color w:val="auto"/>
          <w:sz w:val="24"/>
          <w:szCs w:val="24"/>
          <w:highlight w:val="none"/>
        </w:rPr>
      </w:pPr>
      <w:r>
        <w:rPr>
          <w:rFonts w:hint="eastAsia" w:hAnsi="宋体" w:cs="Times New Roman"/>
          <w:color w:val="auto"/>
          <w:sz w:val="24"/>
          <w:szCs w:val="24"/>
          <w:highlight w:val="none"/>
        </w:rPr>
        <w:t>1</w:t>
      </w:r>
      <w:r>
        <w:rPr>
          <w:rFonts w:hint="eastAsia" w:hAnsi="宋体" w:cs="Times New Roman"/>
          <w:color w:val="auto"/>
          <w:sz w:val="24"/>
          <w:szCs w:val="24"/>
          <w:highlight w:val="none"/>
          <w:lang w:eastAsia="zh-CN"/>
        </w:rPr>
        <w:t>.</w:t>
      </w:r>
      <w:r>
        <w:rPr>
          <w:rFonts w:hint="eastAsia" w:hAnsi="宋体" w:cs="Times New Roman"/>
          <w:color w:val="auto"/>
          <w:sz w:val="24"/>
          <w:szCs w:val="24"/>
          <w:highlight w:val="none"/>
        </w:rPr>
        <w:t>院系两级管理体制</w:t>
      </w:r>
    </w:p>
    <w:p>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以“院长—分管副院长—教务处“为院级管理和以“系主任—分管副主任—专业主任—教学秘书”为系级管理的两级教学管理体系，分别承担管理教学的工作，从而明确了学院、系部各自的工作范围、职责、权利和义务。院级工作的重心是突出目标管理、重在决策监督。教学管理重心移到系一级，管理工作重点突出过程管理和组织落实。</w:t>
      </w:r>
    </w:p>
    <w:p>
      <w:pPr>
        <w:pStyle w:val="7"/>
        <w:spacing w:line="440" w:lineRule="exact"/>
        <w:ind w:firstLine="420"/>
        <w:rPr>
          <w:rFonts w:hAnsi="宋体" w:cs="Times New Roman"/>
          <w:color w:val="auto"/>
          <w:sz w:val="24"/>
          <w:szCs w:val="24"/>
          <w:highlight w:val="none"/>
        </w:rPr>
      </w:pPr>
      <w:r>
        <w:rPr>
          <w:rFonts w:hint="eastAsia" w:hAnsi="宋体" w:cs="Times New Roman"/>
          <w:color w:val="auto"/>
          <w:sz w:val="24"/>
          <w:szCs w:val="24"/>
          <w:highlight w:val="none"/>
        </w:rPr>
        <w:t>2</w:t>
      </w:r>
      <w:r>
        <w:rPr>
          <w:rFonts w:hint="eastAsia" w:hAnsi="宋体" w:cs="Times New Roman"/>
          <w:color w:val="auto"/>
          <w:sz w:val="24"/>
          <w:szCs w:val="24"/>
          <w:highlight w:val="none"/>
          <w:lang w:eastAsia="zh-CN"/>
        </w:rPr>
        <w:t>.</w:t>
      </w:r>
      <w:r>
        <w:rPr>
          <w:rFonts w:hint="eastAsia" w:hAnsi="宋体" w:cs="Times New Roman"/>
          <w:color w:val="auto"/>
          <w:sz w:val="24"/>
          <w:szCs w:val="24"/>
          <w:highlight w:val="none"/>
        </w:rPr>
        <w:t>人才培养方案实施的方案设计</w:t>
      </w:r>
    </w:p>
    <w:p>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（1）组织</w:t>
      </w:r>
      <w:r>
        <w:rPr>
          <w:rFonts w:ascii="宋体" w:hAnsi="宋体"/>
          <w:color w:val="auto"/>
          <w:sz w:val="24"/>
          <w:highlight w:val="none"/>
        </w:rPr>
        <w:t>制定课程</w:t>
      </w:r>
      <w:r>
        <w:rPr>
          <w:rFonts w:hint="eastAsia" w:ascii="宋体" w:hAnsi="宋体"/>
          <w:color w:val="auto"/>
          <w:sz w:val="24"/>
          <w:highlight w:val="none"/>
        </w:rPr>
        <w:t>标准</w:t>
      </w:r>
    </w:p>
    <w:p>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课程标准</w:t>
      </w:r>
      <w:r>
        <w:rPr>
          <w:rFonts w:ascii="宋体" w:hAnsi="宋体"/>
          <w:color w:val="auto"/>
          <w:sz w:val="24"/>
          <w:highlight w:val="none"/>
        </w:rPr>
        <w:t>是落实培养目标和</w:t>
      </w:r>
      <w:r>
        <w:rPr>
          <w:rFonts w:hint="eastAsia" w:ascii="宋体" w:hAnsi="宋体"/>
          <w:color w:val="auto"/>
          <w:sz w:val="24"/>
          <w:highlight w:val="none"/>
        </w:rPr>
        <w:t>人才培养方案</w:t>
      </w:r>
      <w:r>
        <w:rPr>
          <w:rFonts w:ascii="宋体" w:hAnsi="宋体"/>
          <w:color w:val="auto"/>
          <w:sz w:val="24"/>
          <w:highlight w:val="none"/>
        </w:rPr>
        <w:t>最基本的教学文件</w:t>
      </w:r>
      <w:r>
        <w:rPr>
          <w:rFonts w:hint="eastAsia" w:ascii="宋体" w:hAnsi="宋体"/>
          <w:color w:val="auto"/>
          <w:sz w:val="24"/>
          <w:highlight w:val="none"/>
        </w:rPr>
        <w:t>，应</w:t>
      </w:r>
      <w:r>
        <w:rPr>
          <w:rFonts w:ascii="宋体" w:hAnsi="宋体"/>
          <w:color w:val="auto"/>
          <w:sz w:val="24"/>
          <w:highlight w:val="none"/>
        </w:rPr>
        <w:t>准确的贯彻</w:t>
      </w:r>
      <w:r>
        <w:rPr>
          <w:rFonts w:hint="eastAsia" w:ascii="宋体" w:hAnsi="宋体"/>
          <w:color w:val="auto"/>
          <w:sz w:val="24"/>
          <w:highlight w:val="none"/>
        </w:rPr>
        <w:t>人才培养方案</w:t>
      </w:r>
      <w:r>
        <w:rPr>
          <w:rFonts w:ascii="宋体" w:hAnsi="宋体"/>
          <w:color w:val="auto"/>
          <w:sz w:val="24"/>
          <w:highlight w:val="none"/>
        </w:rPr>
        <w:t>所体现的教育思想和培养目标</w:t>
      </w:r>
      <w:r>
        <w:rPr>
          <w:rFonts w:hint="eastAsia" w:ascii="宋体" w:hAnsi="宋体"/>
          <w:color w:val="auto"/>
          <w:sz w:val="24"/>
          <w:highlight w:val="none"/>
        </w:rPr>
        <w:t>。课程标准</w:t>
      </w:r>
      <w:r>
        <w:rPr>
          <w:rFonts w:ascii="宋体" w:hAnsi="宋体"/>
          <w:color w:val="auto"/>
          <w:sz w:val="24"/>
          <w:highlight w:val="none"/>
        </w:rPr>
        <w:t>内容包括本课程的</w:t>
      </w:r>
      <w:r>
        <w:rPr>
          <w:rFonts w:hint="eastAsia" w:ascii="宋体" w:hAnsi="宋体"/>
          <w:color w:val="auto"/>
          <w:sz w:val="24"/>
          <w:highlight w:val="none"/>
        </w:rPr>
        <w:t>性质</w:t>
      </w:r>
      <w:r>
        <w:rPr>
          <w:rFonts w:ascii="宋体" w:hAnsi="宋体"/>
          <w:color w:val="auto"/>
          <w:sz w:val="24"/>
          <w:highlight w:val="none"/>
        </w:rPr>
        <w:t>、</w:t>
      </w:r>
      <w:r>
        <w:rPr>
          <w:rFonts w:hint="eastAsia" w:ascii="宋体" w:hAnsi="宋体"/>
          <w:color w:val="auto"/>
          <w:sz w:val="24"/>
          <w:highlight w:val="none"/>
        </w:rPr>
        <w:t>学时、学分、课程目标、课程内容、教学实施、考核评价等，由专业主任组织编制。</w:t>
      </w:r>
    </w:p>
    <w:p>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课堂教学的组织管理</w:t>
      </w:r>
    </w:p>
    <w:p>
      <w:pPr>
        <w:spacing w:line="440" w:lineRule="exact"/>
        <w:ind w:firstLine="480" w:firstLineChars="200"/>
        <w:rPr>
          <w:rFonts w:ascii="宋体" w:hAnsi="宋体"/>
          <w:color w:val="auto"/>
          <w:sz w:val="24"/>
          <w:highlight w:val="none"/>
        </w:rPr>
      </w:pPr>
      <w:r>
        <w:rPr>
          <w:rFonts w:ascii="宋体" w:hAnsi="宋体"/>
          <w:color w:val="auto"/>
          <w:sz w:val="24"/>
          <w:highlight w:val="none"/>
        </w:rPr>
        <w:t>系聘任有相应学识水平、有责任心、有教学经验的</w:t>
      </w:r>
      <w:r>
        <w:rPr>
          <w:rFonts w:hint="eastAsia" w:ascii="宋体" w:hAnsi="宋体"/>
          <w:color w:val="auto"/>
          <w:sz w:val="24"/>
          <w:highlight w:val="none"/>
        </w:rPr>
        <w:t>专任或兼职</w:t>
      </w:r>
      <w:r>
        <w:rPr>
          <w:rFonts w:ascii="宋体" w:hAnsi="宋体"/>
          <w:color w:val="auto"/>
          <w:sz w:val="24"/>
          <w:highlight w:val="none"/>
        </w:rPr>
        <w:t>教师任课。组织任课教师认真研究</w:t>
      </w:r>
      <w:r>
        <w:rPr>
          <w:rFonts w:hint="eastAsia" w:ascii="宋体" w:hAnsi="宋体"/>
          <w:color w:val="auto"/>
          <w:sz w:val="24"/>
          <w:highlight w:val="none"/>
        </w:rPr>
        <w:t>课程标准</w:t>
      </w:r>
      <w:r>
        <w:rPr>
          <w:rFonts w:ascii="宋体" w:hAnsi="宋体"/>
          <w:color w:val="auto"/>
          <w:sz w:val="24"/>
          <w:highlight w:val="none"/>
        </w:rPr>
        <w:t>，组织编写或选用与</w:t>
      </w:r>
      <w:r>
        <w:rPr>
          <w:rFonts w:hint="eastAsia" w:ascii="宋体" w:hAnsi="宋体"/>
          <w:color w:val="auto"/>
          <w:sz w:val="24"/>
          <w:highlight w:val="none"/>
        </w:rPr>
        <w:t>标准</w:t>
      </w:r>
      <w:r>
        <w:rPr>
          <w:rFonts w:ascii="宋体" w:hAnsi="宋体"/>
          <w:color w:val="auto"/>
          <w:sz w:val="24"/>
          <w:highlight w:val="none"/>
        </w:rPr>
        <w:t>相适应的教材和教学参考资料；要求教师认真履行《教师岗位职责》，按教学规律讲好每一节课；组织教师开展教学方法的讨论和研究，努力学习现代信息技术</w:t>
      </w:r>
      <w:r>
        <w:rPr>
          <w:rFonts w:hint="eastAsia" w:ascii="宋体" w:hAnsi="宋体"/>
          <w:color w:val="auto"/>
          <w:sz w:val="24"/>
          <w:highlight w:val="none"/>
        </w:rPr>
        <w:t>，</w:t>
      </w:r>
      <w:r>
        <w:rPr>
          <w:rFonts w:ascii="宋体" w:hAnsi="宋体"/>
          <w:color w:val="auto"/>
          <w:sz w:val="24"/>
          <w:highlight w:val="none"/>
        </w:rPr>
        <w:t>不断提高教学质量。</w:t>
      </w:r>
    </w:p>
    <w:p>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（3）校内</w:t>
      </w:r>
      <w:r>
        <w:rPr>
          <w:rFonts w:ascii="宋体" w:hAnsi="宋体"/>
          <w:color w:val="auto"/>
          <w:sz w:val="24"/>
          <w:highlight w:val="none"/>
        </w:rPr>
        <w:t>实践性教学的组织管理</w:t>
      </w:r>
    </w:p>
    <w:p>
      <w:pPr>
        <w:spacing w:line="440" w:lineRule="exact"/>
        <w:ind w:firstLine="480" w:firstLineChars="200"/>
        <w:rPr>
          <w:rFonts w:ascii="宋体" w:hAnsi="宋体"/>
          <w:color w:val="auto"/>
          <w:sz w:val="24"/>
          <w:highlight w:val="none"/>
        </w:rPr>
      </w:pPr>
      <w:r>
        <w:rPr>
          <w:rFonts w:ascii="宋体" w:hAnsi="宋体"/>
          <w:color w:val="auto"/>
          <w:sz w:val="24"/>
          <w:highlight w:val="none"/>
        </w:rPr>
        <w:t>根据职业教育的特点，</w:t>
      </w:r>
      <w:r>
        <w:rPr>
          <w:rFonts w:hint="eastAsia" w:ascii="宋体" w:hAnsi="宋体"/>
          <w:color w:val="auto"/>
          <w:sz w:val="24"/>
          <w:highlight w:val="none"/>
        </w:rPr>
        <w:t>合理设置以工作过程为导向的项目任务化</w:t>
      </w:r>
      <w:r>
        <w:rPr>
          <w:rFonts w:ascii="宋体" w:hAnsi="宋体"/>
          <w:color w:val="auto"/>
          <w:sz w:val="24"/>
          <w:highlight w:val="none"/>
        </w:rPr>
        <w:t>实践</w:t>
      </w:r>
      <w:r>
        <w:rPr>
          <w:rFonts w:hint="eastAsia" w:ascii="宋体" w:hAnsi="宋体"/>
          <w:color w:val="auto"/>
          <w:sz w:val="24"/>
          <w:highlight w:val="none"/>
        </w:rPr>
        <w:t>性</w:t>
      </w:r>
      <w:r>
        <w:rPr>
          <w:rFonts w:ascii="宋体" w:hAnsi="宋体"/>
          <w:color w:val="auto"/>
          <w:sz w:val="24"/>
          <w:highlight w:val="none"/>
        </w:rPr>
        <w:t>课程</w:t>
      </w:r>
      <w:r>
        <w:rPr>
          <w:rFonts w:hint="eastAsia" w:ascii="宋体" w:hAnsi="宋体"/>
          <w:color w:val="auto"/>
          <w:sz w:val="24"/>
          <w:highlight w:val="none"/>
        </w:rPr>
        <w:t>并加强项目任务的实施</w:t>
      </w:r>
      <w:r>
        <w:rPr>
          <w:rFonts w:ascii="宋体" w:hAnsi="宋体"/>
          <w:color w:val="auto"/>
          <w:sz w:val="24"/>
          <w:highlight w:val="none"/>
        </w:rPr>
        <w:t>。实践性教学内容要严格按</w:t>
      </w:r>
      <w:r>
        <w:rPr>
          <w:rFonts w:hint="eastAsia" w:ascii="宋体" w:hAnsi="宋体"/>
          <w:color w:val="auto"/>
          <w:sz w:val="24"/>
          <w:highlight w:val="none"/>
        </w:rPr>
        <w:t>人才培养方案</w:t>
      </w:r>
      <w:r>
        <w:rPr>
          <w:rFonts w:ascii="宋体" w:hAnsi="宋体"/>
          <w:color w:val="auto"/>
          <w:sz w:val="24"/>
          <w:highlight w:val="none"/>
        </w:rPr>
        <w:t>和</w:t>
      </w:r>
      <w:r>
        <w:rPr>
          <w:rFonts w:hint="eastAsia" w:ascii="宋体" w:hAnsi="宋体"/>
          <w:color w:val="auto"/>
          <w:sz w:val="24"/>
          <w:highlight w:val="none"/>
        </w:rPr>
        <w:t>课程标准</w:t>
      </w:r>
      <w:r>
        <w:rPr>
          <w:rFonts w:ascii="宋体" w:hAnsi="宋体"/>
          <w:color w:val="auto"/>
          <w:sz w:val="24"/>
          <w:highlight w:val="none"/>
        </w:rPr>
        <w:t>的要求进行教学，保证课时，保证质量。任课教师要组织好每一节实践课教学，训练学生的专业基本技能和</w:t>
      </w:r>
      <w:r>
        <w:rPr>
          <w:rFonts w:hint="eastAsia" w:ascii="宋体" w:hAnsi="宋体"/>
          <w:color w:val="auto"/>
          <w:sz w:val="24"/>
          <w:highlight w:val="none"/>
        </w:rPr>
        <w:t>综合</w:t>
      </w:r>
      <w:r>
        <w:rPr>
          <w:rFonts w:ascii="宋体" w:hAnsi="宋体"/>
          <w:color w:val="auto"/>
          <w:sz w:val="24"/>
          <w:highlight w:val="none"/>
        </w:rPr>
        <w:t>能力</w:t>
      </w:r>
      <w:r>
        <w:rPr>
          <w:rFonts w:hint="eastAsia" w:ascii="宋体" w:hAnsi="宋体"/>
          <w:color w:val="auto"/>
          <w:sz w:val="24"/>
          <w:highlight w:val="none"/>
        </w:rPr>
        <w:t>；充分发挥校内实习基地的教学资源，做到教学做合一，体现工学结合、做中学、学中做。</w:t>
      </w:r>
    </w:p>
    <w:p>
      <w:pPr>
        <w:pStyle w:val="7"/>
        <w:spacing w:line="440" w:lineRule="exact"/>
        <w:ind w:firstLine="420"/>
        <w:rPr>
          <w:rFonts w:hAnsi="宋体" w:cs="Times New Roman"/>
          <w:color w:val="auto"/>
          <w:sz w:val="24"/>
          <w:szCs w:val="24"/>
          <w:highlight w:val="none"/>
        </w:rPr>
      </w:pPr>
      <w:r>
        <w:rPr>
          <w:rFonts w:hint="eastAsia" w:hAnsi="宋体"/>
          <w:color w:val="auto"/>
          <w:sz w:val="24"/>
          <w:highlight w:val="none"/>
        </w:rPr>
        <w:t>（4）校外</w:t>
      </w:r>
      <w:r>
        <w:rPr>
          <w:rFonts w:hAnsi="宋体" w:cs="Times New Roman"/>
          <w:color w:val="auto"/>
          <w:sz w:val="24"/>
          <w:szCs w:val="24"/>
          <w:highlight w:val="none"/>
        </w:rPr>
        <w:t>实习实训</w:t>
      </w:r>
      <w:r>
        <w:rPr>
          <w:rFonts w:hint="eastAsia" w:hAnsi="宋体" w:cs="Times New Roman"/>
          <w:color w:val="auto"/>
          <w:sz w:val="24"/>
          <w:szCs w:val="24"/>
          <w:highlight w:val="none"/>
        </w:rPr>
        <w:t>的组织管理</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跟岗实习和</w:t>
      </w:r>
      <w:r>
        <w:rPr>
          <w:rFonts w:ascii="宋体" w:hAnsi="宋体"/>
          <w:color w:val="auto"/>
          <w:sz w:val="24"/>
          <w:highlight w:val="none"/>
        </w:rPr>
        <w:t>顶岗实习</w:t>
      </w:r>
      <w:r>
        <w:rPr>
          <w:rFonts w:hint="eastAsia" w:ascii="宋体" w:hAnsi="宋体"/>
          <w:color w:val="auto"/>
          <w:sz w:val="24"/>
          <w:highlight w:val="none"/>
        </w:rPr>
        <w:t>是</w:t>
      </w:r>
      <w:r>
        <w:rPr>
          <w:rFonts w:ascii="宋体" w:hAnsi="宋体"/>
          <w:color w:val="auto"/>
          <w:sz w:val="24"/>
          <w:highlight w:val="none"/>
        </w:rPr>
        <w:t>工学结合人才培养模式的</w:t>
      </w:r>
      <w:r>
        <w:rPr>
          <w:rFonts w:hint="eastAsia" w:ascii="宋体" w:hAnsi="宋体"/>
          <w:color w:val="auto"/>
          <w:sz w:val="24"/>
          <w:highlight w:val="none"/>
        </w:rPr>
        <w:t>两个</w:t>
      </w:r>
      <w:r>
        <w:rPr>
          <w:rFonts w:ascii="宋体" w:hAnsi="宋体"/>
          <w:color w:val="auto"/>
          <w:sz w:val="24"/>
          <w:highlight w:val="none"/>
        </w:rPr>
        <w:t>重要组成部分，相较于校内教学组织而言，更需规范和管理。为此，学校制订了《校外</w:t>
      </w:r>
      <w:r>
        <w:rPr>
          <w:rFonts w:hint="eastAsia" w:ascii="宋体" w:hAnsi="宋体"/>
          <w:color w:val="auto"/>
          <w:sz w:val="24"/>
          <w:highlight w:val="none"/>
        </w:rPr>
        <w:t>跟</w:t>
      </w:r>
      <w:r>
        <w:rPr>
          <w:rFonts w:ascii="宋体" w:hAnsi="宋体"/>
          <w:color w:val="auto"/>
          <w:sz w:val="24"/>
          <w:highlight w:val="none"/>
        </w:rPr>
        <w:t>岗实习管理制度》</w:t>
      </w:r>
      <w:r>
        <w:rPr>
          <w:rFonts w:hint="eastAsia" w:ascii="宋体" w:hAnsi="宋体"/>
          <w:color w:val="auto"/>
          <w:sz w:val="24"/>
          <w:highlight w:val="none"/>
        </w:rPr>
        <w:t>和</w:t>
      </w:r>
      <w:r>
        <w:rPr>
          <w:rFonts w:ascii="宋体" w:hAnsi="宋体"/>
          <w:color w:val="auto"/>
          <w:sz w:val="24"/>
          <w:highlight w:val="none"/>
        </w:rPr>
        <w:t>《校外顶岗实习管理制度》</w:t>
      </w:r>
      <w:r>
        <w:rPr>
          <w:rFonts w:hint="eastAsia" w:ascii="宋体" w:hAnsi="宋体"/>
          <w:color w:val="auto"/>
          <w:sz w:val="24"/>
          <w:highlight w:val="none"/>
        </w:rPr>
        <w:t>。在跟岗实习期间，专业教师适应“互联网+职业教育”新要求，利用现代信息技术开设多门专业网络课程，学生要求选修5门继续学习，做到网络平台学习和跟岗实习紧密结合；在顶岗实习期间，制定了</w:t>
      </w:r>
      <w:r>
        <w:rPr>
          <w:rFonts w:ascii="宋体" w:hAnsi="宋体"/>
          <w:color w:val="auto"/>
          <w:sz w:val="24"/>
          <w:highlight w:val="none"/>
        </w:rPr>
        <w:t>一系列学生顶岗实习的作业文件，包括：《学生顶岗实习协议书》、《顶岗实习任务书》、《兼职教师顶岗实习周记》、《指导教师日志》、《学生实习日志》、《顶岗实习鉴定表》，以这些作业文件内容指导顶岗实习全过程，使顶岗实习教学环节有组织、有计划、有考核，有落实，保证了人才培养方案的顺利实施。</w:t>
      </w:r>
    </w:p>
    <w:p>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（5）</w:t>
      </w:r>
      <w:r>
        <w:rPr>
          <w:rFonts w:ascii="宋体" w:hAnsi="宋体"/>
          <w:color w:val="auto"/>
          <w:sz w:val="24"/>
          <w:highlight w:val="none"/>
        </w:rPr>
        <w:t>对学生考核的管理</w:t>
      </w:r>
    </w:p>
    <w:p>
      <w:pPr>
        <w:spacing w:line="360" w:lineRule="auto"/>
        <w:ind w:firstLine="480" w:firstLineChars="200"/>
        <w:rPr>
          <w:rFonts w:ascii="宋体" w:hAnsi="宋体"/>
          <w:color w:val="auto"/>
          <w:sz w:val="24"/>
          <w:highlight w:val="none"/>
        </w:rPr>
      </w:pPr>
      <w:r>
        <w:rPr>
          <w:rFonts w:ascii="宋体" w:hAnsi="宋体"/>
          <w:color w:val="auto"/>
          <w:sz w:val="24"/>
          <w:highlight w:val="none"/>
        </w:rPr>
        <w:t>凡</w:t>
      </w:r>
      <w:r>
        <w:rPr>
          <w:rFonts w:hint="eastAsia" w:ascii="宋体" w:hAnsi="宋体"/>
          <w:color w:val="auto"/>
          <w:sz w:val="24"/>
          <w:highlight w:val="none"/>
        </w:rPr>
        <w:t>是培养方案</w:t>
      </w:r>
      <w:r>
        <w:rPr>
          <w:rFonts w:ascii="宋体" w:hAnsi="宋体"/>
          <w:color w:val="auto"/>
          <w:sz w:val="24"/>
          <w:highlight w:val="none"/>
        </w:rPr>
        <w:t>规定开设的课程都要对学生进行考核</w:t>
      </w:r>
      <w:r>
        <w:rPr>
          <w:rFonts w:hint="eastAsia" w:ascii="宋体" w:hAnsi="宋体"/>
          <w:color w:val="auto"/>
          <w:sz w:val="24"/>
          <w:highlight w:val="none"/>
        </w:rPr>
        <w:t>，严</w:t>
      </w:r>
      <w:r>
        <w:rPr>
          <w:rFonts w:ascii="宋体" w:hAnsi="宋体"/>
          <w:color w:val="auto"/>
          <w:sz w:val="24"/>
          <w:highlight w:val="none"/>
        </w:rPr>
        <w:t>格落实培养目标和培养规格要求，加大过程考核、实践技能考核成绩在课程总成绩中的比重</w:t>
      </w:r>
      <w:r>
        <w:rPr>
          <w:rFonts w:hint="eastAsia" w:ascii="宋体" w:hAnsi="宋体"/>
          <w:color w:val="auto"/>
          <w:sz w:val="24"/>
          <w:highlight w:val="none"/>
        </w:rPr>
        <w:t>，</w:t>
      </w:r>
      <w:r>
        <w:rPr>
          <w:rFonts w:ascii="宋体" w:hAnsi="宋体"/>
          <w:color w:val="auto"/>
          <w:sz w:val="24"/>
          <w:highlight w:val="none"/>
        </w:rPr>
        <w:t>健全多元化考核评价体系，完善学生学习过程监测、评价与反馈机制，引导学生自我管理、主动学习，提高学习效率。强化实习、实训、毕业设计（论文）等实践性教学环节的全过程管理与考核评价。</w:t>
      </w:r>
    </w:p>
    <w:p>
      <w:pPr>
        <w:pStyle w:val="3"/>
        <w:snapToGrid w:val="0"/>
        <w:spacing w:before="0" w:after="0" w:line="360" w:lineRule="auto"/>
        <w:ind w:firstLine="640" w:firstLineChars="200"/>
        <w:rPr>
          <w:b w:val="0"/>
          <w:bCs/>
          <w:color w:val="auto"/>
          <w:highlight w:val="none"/>
        </w:rPr>
      </w:pPr>
      <w:bookmarkStart w:id="109" w:name="_Toc6906"/>
      <w:bookmarkStart w:id="110" w:name="_Toc458088739"/>
      <w:bookmarkStart w:id="111" w:name="_Toc458095097"/>
      <w:bookmarkStart w:id="112" w:name="_Toc20779"/>
      <w:bookmarkStart w:id="113" w:name="_Toc458089352"/>
      <w:bookmarkStart w:id="114" w:name="_Toc458088973"/>
      <w:bookmarkStart w:id="115" w:name="_Toc361942966"/>
      <w:r>
        <w:rPr>
          <w:rFonts w:hint="eastAsia"/>
          <w:b w:val="0"/>
          <w:bCs/>
          <w:color w:val="auto"/>
          <w:highlight w:val="none"/>
        </w:rPr>
        <w:t>二、双师教学团队建设的保障</w:t>
      </w:r>
      <w:bookmarkEnd w:id="109"/>
      <w:bookmarkEnd w:id="110"/>
      <w:bookmarkEnd w:id="111"/>
      <w:bookmarkEnd w:id="112"/>
      <w:bookmarkEnd w:id="113"/>
      <w:bookmarkEnd w:id="114"/>
      <w:bookmarkEnd w:id="115"/>
    </w:p>
    <w:p>
      <w:pPr>
        <w:pStyle w:val="4"/>
        <w:spacing w:before="0" w:after="0" w:line="360" w:lineRule="auto"/>
        <w:ind w:firstLine="300" w:firstLineChars="100"/>
        <w:rPr>
          <w:rFonts w:hint="eastAsia" w:ascii="黑体" w:hAnsi="黑体" w:eastAsia="黑体" w:cs="黑体"/>
          <w:b w:val="0"/>
          <w:bCs/>
          <w:color w:val="auto"/>
          <w:kern w:val="2"/>
          <w:sz w:val="30"/>
          <w:szCs w:val="30"/>
          <w:highlight w:val="none"/>
          <w:lang w:val="en-US" w:eastAsia="zh-CN" w:bidi="ar-SA"/>
        </w:rPr>
      </w:pPr>
      <w:bookmarkStart w:id="116" w:name="_Toc27617"/>
      <w:bookmarkStart w:id="117" w:name="_Toc28429"/>
      <w:bookmarkStart w:id="118" w:name="_Toc13483"/>
      <w:bookmarkStart w:id="119" w:name="_Toc14390"/>
      <w:bookmarkStart w:id="120" w:name="_Toc266266414"/>
      <w:r>
        <w:rPr>
          <w:rFonts w:hint="eastAsia" w:ascii="黑体" w:hAnsi="黑体" w:eastAsia="黑体" w:cs="黑体"/>
          <w:b w:val="0"/>
          <w:bCs/>
          <w:color w:val="auto"/>
          <w:kern w:val="2"/>
          <w:sz w:val="30"/>
          <w:szCs w:val="30"/>
          <w:highlight w:val="none"/>
          <w:lang w:val="en-US" w:eastAsia="zh-CN" w:bidi="ar-SA"/>
        </w:rPr>
        <w:t>（一）教学团队的结构</w:t>
      </w:r>
      <w:bookmarkEnd w:id="116"/>
      <w:bookmarkEnd w:id="117"/>
      <w:bookmarkEnd w:id="118"/>
      <w:bookmarkEnd w:id="119"/>
      <w:bookmarkEnd w:id="120"/>
    </w:p>
    <w:p>
      <w:pPr>
        <w:spacing w:line="360" w:lineRule="auto"/>
        <w:ind w:firstLine="470" w:firstLineChars="196"/>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eastAsia="zh-CN"/>
        </w:rPr>
        <w:t>.</w:t>
      </w:r>
      <w:r>
        <w:rPr>
          <w:rFonts w:hint="eastAsia" w:ascii="宋体" w:hAnsi="宋体"/>
          <w:color w:val="auto"/>
          <w:sz w:val="24"/>
          <w:highlight w:val="none"/>
        </w:rPr>
        <w:t>教学团队的构成</w:t>
      </w:r>
    </w:p>
    <w:p>
      <w:pPr>
        <w:spacing w:line="360" w:lineRule="auto"/>
        <w:ind w:firstLine="460" w:firstLineChars="192"/>
        <w:rPr>
          <w:rFonts w:ascii="宋体" w:hAnsi="宋体"/>
          <w:color w:val="auto"/>
          <w:sz w:val="24"/>
          <w:highlight w:val="none"/>
        </w:rPr>
      </w:pPr>
      <w:bookmarkStart w:id="121" w:name="_Toc265790477"/>
      <w:r>
        <w:rPr>
          <w:rFonts w:hint="eastAsia" w:ascii="宋体" w:hAnsi="宋体"/>
          <w:color w:val="auto"/>
          <w:sz w:val="24"/>
          <w:highlight w:val="none"/>
        </w:rPr>
        <w:t>本专业的教学团队由本院专任教师和企业兼职教师共同构成。</w:t>
      </w:r>
      <w:bookmarkEnd w:id="121"/>
    </w:p>
    <w:p>
      <w:pPr>
        <w:spacing w:line="360" w:lineRule="auto"/>
        <w:ind w:firstLine="470" w:firstLineChars="196"/>
        <w:rPr>
          <w:rFonts w:ascii="宋体" w:hAnsi="宋体"/>
          <w:color w:val="auto"/>
          <w:sz w:val="24"/>
          <w:highlight w:val="none"/>
        </w:rPr>
      </w:pPr>
      <w:r>
        <w:rPr>
          <w:rFonts w:hint="eastAsia" w:ascii="宋体" w:hAnsi="宋体"/>
          <w:color w:val="auto"/>
          <w:sz w:val="24"/>
          <w:highlight w:val="none"/>
        </w:rPr>
        <w:t>（1）</w:t>
      </w:r>
      <w:r>
        <w:rPr>
          <w:rFonts w:ascii="宋体" w:hAnsi="宋体"/>
          <w:color w:val="auto"/>
          <w:sz w:val="24"/>
          <w:highlight w:val="none"/>
        </w:rPr>
        <w:t>校内专任教师</w:t>
      </w:r>
    </w:p>
    <w:p>
      <w:pPr>
        <w:spacing w:line="360" w:lineRule="auto"/>
        <w:ind w:firstLine="480" w:firstLineChars="200"/>
        <w:rPr>
          <w:rFonts w:ascii="宋体" w:hAnsi="宋体"/>
          <w:bCs/>
          <w:color w:val="auto"/>
          <w:sz w:val="24"/>
          <w:highlight w:val="none"/>
        </w:rPr>
      </w:pPr>
      <w:r>
        <w:rPr>
          <w:rFonts w:hint="eastAsia" w:ascii="宋体" w:hAnsi="宋体"/>
          <w:color w:val="auto"/>
          <w:sz w:val="24"/>
          <w:highlight w:val="none"/>
        </w:rPr>
        <w:t>本</w:t>
      </w:r>
      <w:r>
        <w:rPr>
          <w:rFonts w:ascii="宋体" w:hAnsi="宋体"/>
          <w:color w:val="auto"/>
          <w:sz w:val="24"/>
          <w:highlight w:val="none"/>
        </w:rPr>
        <w:t>专业师资力量比较雄厚</w:t>
      </w:r>
      <w:r>
        <w:rPr>
          <w:rFonts w:hint="eastAsia" w:ascii="宋体" w:hAnsi="宋体"/>
          <w:color w:val="auto"/>
          <w:sz w:val="24"/>
          <w:highlight w:val="none"/>
        </w:rPr>
        <w:t>，共配有专任教师11名，其中，具有教授1人，副教授3人，专任教师中高职称比例36.4%；</w:t>
      </w:r>
      <w:r>
        <w:rPr>
          <w:rFonts w:ascii="宋体" w:hAnsi="宋体"/>
          <w:color w:val="auto"/>
          <w:sz w:val="24"/>
          <w:highlight w:val="none"/>
        </w:rPr>
        <w:t>专任核心课程教师</w:t>
      </w:r>
      <w:r>
        <w:rPr>
          <w:rFonts w:hint="eastAsia" w:ascii="宋体" w:hAnsi="宋体"/>
          <w:color w:val="auto"/>
          <w:sz w:val="24"/>
          <w:highlight w:val="none"/>
        </w:rPr>
        <w:t>5</w:t>
      </w:r>
      <w:r>
        <w:rPr>
          <w:rFonts w:ascii="宋体" w:hAnsi="宋体"/>
          <w:color w:val="auto"/>
          <w:sz w:val="24"/>
          <w:highlight w:val="none"/>
        </w:rPr>
        <w:t>名，</w:t>
      </w:r>
      <w:r>
        <w:rPr>
          <w:rFonts w:hint="eastAsia" w:ascii="宋体" w:hAnsi="宋体"/>
          <w:color w:val="auto"/>
          <w:sz w:val="24"/>
          <w:highlight w:val="none"/>
        </w:rPr>
        <w:t>其中1</w:t>
      </w:r>
      <w:r>
        <w:rPr>
          <w:rFonts w:ascii="宋体" w:hAnsi="宋体"/>
          <w:color w:val="auto"/>
          <w:sz w:val="24"/>
          <w:highlight w:val="none"/>
        </w:rPr>
        <w:t>名专业带头人、</w:t>
      </w:r>
      <w:r>
        <w:rPr>
          <w:rFonts w:hint="eastAsia" w:ascii="宋体" w:hAnsi="宋体"/>
          <w:color w:val="auto"/>
          <w:sz w:val="24"/>
          <w:highlight w:val="none"/>
        </w:rPr>
        <w:t xml:space="preserve">  4</w:t>
      </w:r>
      <w:r>
        <w:rPr>
          <w:rFonts w:ascii="宋体" w:hAnsi="宋体"/>
          <w:color w:val="auto"/>
          <w:sz w:val="24"/>
          <w:highlight w:val="none"/>
        </w:rPr>
        <w:t>名</w:t>
      </w:r>
      <w:r>
        <w:rPr>
          <w:rFonts w:hint="eastAsia" w:ascii="宋体" w:hAnsi="宋体"/>
          <w:color w:val="auto"/>
          <w:sz w:val="24"/>
          <w:highlight w:val="none"/>
        </w:rPr>
        <w:t>专业</w:t>
      </w:r>
      <w:r>
        <w:rPr>
          <w:rFonts w:ascii="宋体" w:hAnsi="宋体"/>
          <w:color w:val="auto"/>
          <w:sz w:val="24"/>
          <w:highlight w:val="none"/>
        </w:rPr>
        <w:t>骨干教师、</w:t>
      </w:r>
      <w:r>
        <w:rPr>
          <w:rFonts w:hint="eastAsia" w:ascii="宋体" w:hAnsi="宋体"/>
          <w:color w:val="auto"/>
          <w:sz w:val="24"/>
          <w:highlight w:val="none"/>
        </w:rPr>
        <w:t>11</w:t>
      </w:r>
      <w:r>
        <w:rPr>
          <w:rFonts w:ascii="宋体" w:hAnsi="宋体"/>
          <w:color w:val="auto"/>
          <w:sz w:val="24"/>
          <w:highlight w:val="none"/>
        </w:rPr>
        <w:t>名“双师”素质教师</w:t>
      </w:r>
      <w:r>
        <w:rPr>
          <w:rFonts w:hint="eastAsia" w:ascii="宋体" w:hAnsi="宋体"/>
          <w:color w:val="auto"/>
          <w:sz w:val="24"/>
          <w:highlight w:val="none"/>
        </w:rPr>
        <w:t>，在</w:t>
      </w:r>
      <w:r>
        <w:rPr>
          <w:rFonts w:ascii="宋体" w:hAnsi="宋体"/>
          <w:color w:val="auto"/>
          <w:sz w:val="24"/>
          <w:highlight w:val="none"/>
        </w:rPr>
        <w:t>专任核心课程</w:t>
      </w:r>
      <w:r>
        <w:rPr>
          <w:rFonts w:hint="eastAsia" w:ascii="宋体" w:hAnsi="宋体"/>
          <w:color w:val="auto"/>
          <w:sz w:val="24"/>
          <w:highlight w:val="none"/>
        </w:rPr>
        <w:t>中双师型教师比例为100%；青年教师</w:t>
      </w:r>
      <w:r>
        <w:rPr>
          <w:rFonts w:ascii="宋体" w:hAnsi="宋体"/>
          <w:color w:val="auto"/>
          <w:sz w:val="24"/>
          <w:highlight w:val="none"/>
        </w:rPr>
        <w:t>均为研究生学历</w:t>
      </w:r>
      <w:r>
        <w:rPr>
          <w:rFonts w:hint="eastAsia" w:ascii="宋体" w:hAnsi="宋体"/>
          <w:color w:val="auto"/>
          <w:sz w:val="24"/>
          <w:highlight w:val="none"/>
        </w:rPr>
        <w:t>，其中，博士3人，硕士8人；本团队是一支年龄、职称、及学历结构合理，理论与实践水平较高，责任心强的团队。</w:t>
      </w:r>
    </w:p>
    <w:p>
      <w:pPr>
        <w:spacing w:line="360" w:lineRule="auto"/>
        <w:jc w:val="center"/>
        <w:rPr>
          <w:rFonts w:ascii="宋体" w:hAnsi="宋体"/>
          <w:bCs/>
          <w:color w:val="auto"/>
          <w:sz w:val="24"/>
          <w:highlight w:val="none"/>
        </w:rPr>
      </w:pPr>
      <w:r>
        <w:rPr>
          <w:rFonts w:hint="eastAsia" w:ascii="宋体" w:hAnsi="宋体"/>
          <w:bCs/>
          <w:color w:val="auto"/>
          <w:sz w:val="24"/>
          <w:highlight w:val="none"/>
        </w:rPr>
        <w:t>表5.2   校内主要专任教师配置情况</w:t>
      </w:r>
    </w:p>
    <w:tbl>
      <w:tblPr>
        <w:tblStyle w:val="14"/>
        <w:tblW w:w="852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47"/>
        <w:gridCol w:w="1385"/>
        <w:gridCol w:w="745"/>
        <w:gridCol w:w="2355"/>
        <w:gridCol w:w="755"/>
        <w:gridCol w:w="1712"/>
        <w:gridCol w:w="72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0" w:hRule="atLeast"/>
          <w:jc w:val="center"/>
        </w:trPr>
        <w:tc>
          <w:tcPr>
            <w:tcW w:w="847"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姓名</w:t>
            </w:r>
          </w:p>
        </w:tc>
        <w:tc>
          <w:tcPr>
            <w:tcW w:w="138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学历/学位</w:t>
            </w:r>
          </w:p>
        </w:tc>
        <w:tc>
          <w:tcPr>
            <w:tcW w:w="74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职称</w:t>
            </w:r>
          </w:p>
        </w:tc>
        <w:tc>
          <w:tcPr>
            <w:tcW w:w="235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职业资格证书</w:t>
            </w:r>
          </w:p>
        </w:tc>
        <w:tc>
          <w:tcPr>
            <w:tcW w:w="75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专业</w:t>
            </w:r>
          </w:p>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方向</w:t>
            </w:r>
          </w:p>
        </w:tc>
        <w:tc>
          <w:tcPr>
            <w:tcW w:w="1712"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承担教学任务</w:t>
            </w:r>
          </w:p>
        </w:tc>
        <w:tc>
          <w:tcPr>
            <w:tcW w:w="723"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47"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olor w:val="auto"/>
                <w:kern w:val="0"/>
                <w:szCs w:val="21"/>
                <w:highlight w:val="none"/>
              </w:rPr>
              <w:t>吉晋兰</w:t>
            </w:r>
          </w:p>
        </w:tc>
        <w:tc>
          <w:tcPr>
            <w:tcW w:w="138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olor w:val="auto"/>
                <w:szCs w:val="21"/>
                <w:highlight w:val="none"/>
              </w:rPr>
              <w:t>博士研究生/博士学位</w:t>
            </w:r>
          </w:p>
        </w:tc>
        <w:tc>
          <w:tcPr>
            <w:tcW w:w="74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olor w:val="auto"/>
                <w:kern w:val="0"/>
                <w:szCs w:val="21"/>
                <w:highlight w:val="none"/>
              </w:rPr>
              <w:t>教授</w:t>
            </w:r>
          </w:p>
        </w:tc>
        <w:tc>
          <w:tcPr>
            <w:tcW w:w="235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化学检验工一级、</w:t>
            </w:r>
          </w:p>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化妆品配制工三级</w:t>
            </w:r>
          </w:p>
        </w:tc>
        <w:tc>
          <w:tcPr>
            <w:tcW w:w="755" w:type="dxa"/>
            <w:noWrap/>
            <w:vAlign w:val="center"/>
          </w:tcPr>
          <w:p>
            <w:pPr>
              <w:pStyle w:val="23"/>
              <w:spacing w:line="300" w:lineRule="exact"/>
              <w:ind w:firstLine="0" w:firstLineChars="0"/>
              <w:jc w:val="center"/>
              <w:rPr>
                <w:rFonts w:ascii="宋体" w:hAnsi="宋体"/>
                <w:color w:val="auto"/>
                <w:szCs w:val="21"/>
                <w:highlight w:val="none"/>
              </w:rPr>
            </w:pPr>
            <w:r>
              <w:rPr>
                <w:rFonts w:hint="eastAsia" w:ascii="宋体" w:hAnsi="宋体"/>
                <w:color w:val="auto"/>
                <w:szCs w:val="21"/>
                <w:highlight w:val="none"/>
              </w:rPr>
              <w:t>环境</w:t>
            </w:r>
          </w:p>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olor w:val="auto"/>
                <w:szCs w:val="21"/>
                <w:highlight w:val="none"/>
              </w:rPr>
              <w:t>化学</w:t>
            </w:r>
          </w:p>
        </w:tc>
        <w:tc>
          <w:tcPr>
            <w:tcW w:w="1712" w:type="dxa"/>
            <w:noWrap/>
            <w:vAlign w:val="center"/>
          </w:tcPr>
          <w:p>
            <w:pPr>
              <w:widowControl/>
              <w:spacing w:line="350" w:lineRule="atLeast"/>
              <w:jc w:val="center"/>
              <w:textAlignment w:val="center"/>
              <w:rPr>
                <w:rFonts w:ascii="宋体" w:hAnsi="宋体"/>
                <w:color w:val="auto"/>
                <w:kern w:val="0"/>
                <w:szCs w:val="21"/>
                <w:highlight w:val="none"/>
              </w:rPr>
            </w:pPr>
            <w:r>
              <w:rPr>
                <w:rFonts w:hint="eastAsia" w:ascii="宋体" w:hAnsi="宋体"/>
                <w:color w:val="auto"/>
                <w:kern w:val="0"/>
                <w:szCs w:val="21"/>
                <w:highlight w:val="none"/>
              </w:rPr>
              <w:t>化工安全与环保</w:t>
            </w:r>
          </w:p>
          <w:p>
            <w:pPr>
              <w:widowControl/>
              <w:spacing w:line="350" w:lineRule="atLeast"/>
              <w:jc w:val="center"/>
              <w:textAlignment w:val="center"/>
              <w:rPr>
                <w:rFonts w:ascii="宋体" w:hAnsi="宋体"/>
                <w:color w:val="auto"/>
                <w:kern w:val="0"/>
                <w:szCs w:val="21"/>
                <w:highlight w:val="none"/>
              </w:rPr>
            </w:pPr>
            <w:r>
              <w:rPr>
                <w:rFonts w:hint="eastAsia" w:ascii="宋体" w:hAnsi="宋体"/>
                <w:color w:val="auto"/>
                <w:kern w:val="0"/>
                <w:szCs w:val="21"/>
                <w:highlight w:val="none"/>
              </w:rPr>
              <w:t>煤化工工艺学</w:t>
            </w:r>
          </w:p>
        </w:tc>
        <w:tc>
          <w:tcPr>
            <w:tcW w:w="723" w:type="dxa"/>
            <w:noWrap/>
            <w:vAlign w:val="center"/>
          </w:tcPr>
          <w:p>
            <w:pPr>
              <w:pStyle w:val="23"/>
              <w:spacing w:line="300" w:lineRule="exact"/>
              <w:ind w:firstLine="0" w:firstLineChars="0"/>
              <w:jc w:val="center"/>
              <w:rPr>
                <w:rFonts w:ascii="宋体" w:hAnsi="宋体" w:cs="Times New Roman"/>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47" w:type="dxa"/>
            <w:noWrap/>
            <w:vAlign w:val="center"/>
          </w:tcPr>
          <w:p>
            <w:pPr>
              <w:pStyle w:val="23"/>
              <w:spacing w:line="300" w:lineRule="exact"/>
              <w:ind w:firstLine="0" w:firstLineChars="0"/>
              <w:rPr>
                <w:rFonts w:ascii="宋体" w:hAnsi="宋体" w:cs="Times New Roman"/>
                <w:color w:val="auto"/>
                <w:szCs w:val="21"/>
                <w:highlight w:val="none"/>
              </w:rPr>
            </w:pPr>
            <w:r>
              <w:rPr>
                <w:rFonts w:hint="eastAsia" w:ascii="宋体" w:hAnsi="宋体" w:cs="Times New Roman"/>
                <w:color w:val="auto"/>
                <w:szCs w:val="21"/>
                <w:highlight w:val="none"/>
              </w:rPr>
              <w:t>牛学丽</w:t>
            </w:r>
          </w:p>
        </w:tc>
        <w:tc>
          <w:tcPr>
            <w:tcW w:w="138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olor w:val="auto"/>
                <w:szCs w:val="21"/>
                <w:highlight w:val="none"/>
              </w:rPr>
              <w:t>博士研究生/博士学位</w:t>
            </w:r>
          </w:p>
        </w:tc>
        <w:tc>
          <w:tcPr>
            <w:tcW w:w="74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olor w:val="auto"/>
                <w:kern w:val="0"/>
                <w:szCs w:val="21"/>
                <w:highlight w:val="none"/>
              </w:rPr>
              <w:t>副教授</w:t>
            </w:r>
          </w:p>
        </w:tc>
        <w:tc>
          <w:tcPr>
            <w:tcW w:w="235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尿素合成工考评员证、</w:t>
            </w:r>
          </w:p>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化工总控工高级技师证</w:t>
            </w:r>
          </w:p>
        </w:tc>
        <w:tc>
          <w:tcPr>
            <w:tcW w:w="75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有机化学</w:t>
            </w:r>
          </w:p>
        </w:tc>
        <w:tc>
          <w:tcPr>
            <w:tcW w:w="1712" w:type="dxa"/>
            <w:noWrap/>
            <w:vAlign w:val="center"/>
          </w:tcPr>
          <w:p>
            <w:pPr>
              <w:pStyle w:val="23"/>
              <w:spacing w:line="300" w:lineRule="exact"/>
              <w:ind w:firstLine="420"/>
              <w:rPr>
                <w:rFonts w:ascii="宋体" w:hAnsi="宋体" w:cs="Times New Roman"/>
                <w:color w:val="auto"/>
                <w:szCs w:val="21"/>
                <w:highlight w:val="none"/>
              </w:rPr>
            </w:pPr>
            <w:r>
              <w:rPr>
                <w:rFonts w:hint="eastAsia" w:ascii="宋体" w:hAnsi="宋体" w:cs="Times New Roman"/>
                <w:color w:val="auto"/>
                <w:szCs w:val="21"/>
                <w:highlight w:val="none"/>
              </w:rPr>
              <w:t>有机化学</w:t>
            </w:r>
          </w:p>
          <w:p>
            <w:pPr>
              <w:pStyle w:val="23"/>
              <w:spacing w:line="300" w:lineRule="exact"/>
              <w:ind w:firstLine="420"/>
              <w:rPr>
                <w:rFonts w:ascii="宋体" w:hAnsi="宋体" w:cs="Times New Roman"/>
                <w:color w:val="auto"/>
                <w:szCs w:val="21"/>
                <w:highlight w:val="none"/>
              </w:rPr>
            </w:pPr>
            <w:r>
              <w:rPr>
                <w:rFonts w:hint="eastAsia" w:ascii="宋体" w:hAnsi="宋体" w:cs="Times New Roman"/>
                <w:color w:val="auto"/>
                <w:szCs w:val="21"/>
                <w:highlight w:val="none"/>
              </w:rPr>
              <w:t>仪器分析</w:t>
            </w:r>
          </w:p>
        </w:tc>
        <w:tc>
          <w:tcPr>
            <w:tcW w:w="723" w:type="dxa"/>
            <w:noWrap/>
            <w:vAlign w:val="center"/>
          </w:tcPr>
          <w:p>
            <w:pPr>
              <w:pStyle w:val="23"/>
              <w:spacing w:line="300" w:lineRule="exact"/>
              <w:ind w:firstLine="0" w:firstLineChars="0"/>
              <w:jc w:val="center"/>
              <w:rPr>
                <w:rFonts w:ascii="宋体" w:hAnsi="宋体" w:cs="Times New Roman"/>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47"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席琦</w:t>
            </w:r>
          </w:p>
        </w:tc>
        <w:tc>
          <w:tcPr>
            <w:tcW w:w="138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olor w:val="auto"/>
                <w:kern w:val="0"/>
                <w:szCs w:val="21"/>
                <w:highlight w:val="none"/>
              </w:rPr>
              <w:t>本科/硕士</w:t>
            </w:r>
          </w:p>
        </w:tc>
        <w:tc>
          <w:tcPr>
            <w:tcW w:w="74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olor w:val="auto"/>
                <w:kern w:val="0"/>
                <w:szCs w:val="21"/>
                <w:highlight w:val="none"/>
              </w:rPr>
              <w:t>副教授</w:t>
            </w:r>
          </w:p>
        </w:tc>
        <w:tc>
          <w:tcPr>
            <w:tcW w:w="235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尿素合成工考评员证、</w:t>
            </w:r>
          </w:p>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化工总控工高级技师证</w:t>
            </w:r>
          </w:p>
        </w:tc>
        <w:tc>
          <w:tcPr>
            <w:tcW w:w="75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化学</w:t>
            </w:r>
          </w:p>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教育</w:t>
            </w:r>
          </w:p>
        </w:tc>
        <w:tc>
          <w:tcPr>
            <w:tcW w:w="1712"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无机及分析化学</w:t>
            </w:r>
          </w:p>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化工文献检索</w:t>
            </w:r>
          </w:p>
        </w:tc>
        <w:tc>
          <w:tcPr>
            <w:tcW w:w="723" w:type="dxa"/>
            <w:noWrap/>
            <w:vAlign w:val="center"/>
          </w:tcPr>
          <w:p>
            <w:pPr>
              <w:pStyle w:val="23"/>
              <w:spacing w:line="300" w:lineRule="exact"/>
              <w:ind w:firstLine="0" w:firstLineChars="0"/>
              <w:jc w:val="center"/>
              <w:rPr>
                <w:rFonts w:ascii="宋体" w:hAnsi="宋体" w:cs="Times New Roman"/>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47"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olor w:val="auto"/>
                <w:kern w:val="0"/>
                <w:szCs w:val="21"/>
                <w:highlight w:val="none"/>
              </w:rPr>
              <w:t>苗海霞</w:t>
            </w:r>
          </w:p>
        </w:tc>
        <w:tc>
          <w:tcPr>
            <w:tcW w:w="138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olor w:val="auto"/>
                <w:szCs w:val="21"/>
                <w:highlight w:val="none"/>
              </w:rPr>
              <w:t>博士研究生/博士学位</w:t>
            </w:r>
          </w:p>
        </w:tc>
        <w:tc>
          <w:tcPr>
            <w:tcW w:w="74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副教授</w:t>
            </w:r>
          </w:p>
        </w:tc>
        <w:tc>
          <w:tcPr>
            <w:tcW w:w="235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尿素合成工考评员证、</w:t>
            </w:r>
          </w:p>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化工总控工高级技师证</w:t>
            </w:r>
          </w:p>
        </w:tc>
        <w:tc>
          <w:tcPr>
            <w:tcW w:w="75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olor w:val="auto"/>
                <w:kern w:val="0"/>
                <w:szCs w:val="21"/>
                <w:highlight w:val="none"/>
              </w:rPr>
              <w:t>化学工程</w:t>
            </w:r>
          </w:p>
        </w:tc>
        <w:tc>
          <w:tcPr>
            <w:tcW w:w="1712" w:type="dxa"/>
            <w:noWrap/>
            <w:vAlign w:val="center"/>
          </w:tcPr>
          <w:p>
            <w:pPr>
              <w:pStyle w:val="23"/>
              <w:spacing w:line="300" w:lineRule="exact"/>
              <w:ind w:firstLine="0" w:firstLineChars="0"/>
              <w:jc w:val="center"/>
              <w:rPr>
                <w:rFonts w:ascii="宋体" w:hAnsi="宋体"/>
                <w:color w:val="auto"/>
                <w:kern w:val="0"/>
                <w:szCs w:val="21"/>
                <w:highlight w:val="none"/>
              </w:rPr>
            </w:pPr>
            <w:r>
              <w:rPr>
                <w:rFonts w:hint="eastAsia" w:ascii="宋体" w:hAnsi="宋体"/>
                <w:color w:val="auto"/>
                <w:kern w:val="0"/>
                <w:szCs w:val="21"/>
                <w:highlight w:val="none"/>
              </w:rPr>
              <w:t>化工设备基础</w:t>
            </w:r>
          </w:p>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无机化工</w:t>
            </w:r>
          </w:p>
        </w:tc>
        <w:tc>
          <w:tcPr>
            <w:tcW w:w="723" w:type="dxa"/>
            <w:noWrap/>
            <w:vAlign w:val="center"/>
          </w:tcPr>
          <w:p>
            <w:pPr>
              <w:widowControl/>
              <w:spacing w:line="300" w:lineRule="exact"/>
              <w:jc w:val="center"/>
              <w:rPr>
                <w:rFonts w:ascii="宋体" w:hAnsi="宋体"/>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47"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olor w:val="auto"/>
                <w:kern w:val="0"/>
                <w:szCs w:val="21"/>
                <w:highlight w:val="none"/>
              </w:rPr>
              <w:t>李沁军</w:t>
            </w:r>
          </w:p>
        </w:tc>
        <w:tc>
          <w:tcPr>
            <w:tcW w:w="138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olor w:val="auto"/>
                <w:kern w:val="0"/>
                <w:szCs w:val="21"/>
                <w:highlight w:val="none"/>
              </w:rPr>
              <w:t>本科/学士</w:t>
            </w:r>
          </w:p>
        </w:tc>
        <w:tc>
          <w:tcPr>
            <w:tcW w:w="74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讲师</w:t>
            </w:r>
          </w:p>
        </w:tc>
        <w:tc>
          <w:tcPr>
            <w:tcW w:w="235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尿素合成工考评员证、</w:t>
            </w:r>
          </w:p>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化工总控工高级技师证</w:t>
            </w:r>
          </w:p>
        </w:tc>
        <w:tc>
          <w:tcPr>
            <w:tcW w:w="75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olor w:val="auto"/>
                <w:kern w:val="0"/>
                <w:szCs w:val="21"/>
                <w:highlight w:val="none"/>
              </w:rPr>
              <w:t>化学工程</w:t>
            </w:r>
          </w:p>
        </w:tc>
        <w:tc>
          <w:tcPr>
            <w:tcW w:w="1712"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化工仪表</w:t>
            </w:r>
          </w:p>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化工设备基础</w:t>
            </w:r>
          </w:p>
        </w:tc>
        <w:tc>
          <w:tcPr>
            <w:tcW w:w="723" w:type="dxa"/>
            <w:noWrap/>
            <w:vAlign w:val="center"/>
          </w:tcPr>
          <w:p>
            <w:pPr>
              <w:pStyle w:val="23"/>
              <w:spacing w:line="300" w:lineRule="exact"/>
              <w:ind w:firstLine="0" w:firstLineChars="0"/>
              <w:jc w:val="center"/>
              <w:rPr>
                <w:rFonts w:ascii="宋体" w:hAnsi="宋体" w:cs="Times New Roman"/>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47"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耿长青</w:t>
            </w:r>
          </w:p>
        </w:tc>
        <w:tc>
          <w:tcPr>
            <w:tcW w:w="138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olor w:val="auto"/>
                <w:szCs w:val="21"/>
                <w:highlight w:val="none"/>
              </w:rPr>
              <w:t>硕士研究生/硕士学位</w:t>
            </w:r>
          </w:p>
        </w:tc>
        <w:tc>
          <w:tcPr>
            <w:tcW w:w="74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讲师</w:t>
            </w:r>
          </w:p>
        </w:tc>
        <w:tc>
          <w:tcPr>
            <w:tcW w:w="235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尿素合成工考评员证、</w:t>
            </w:r>
          </w:p>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化工总控工高级技师证</w:t>
            </w:r>
          </w:p>
        </w:tc>
        <w:tc>
          <w:tcPr>
            <w:tcW w:w="75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应用化工</w:t>
            </w:r>
          </w:p>
        </w:tc>
        <w:tc>
          <w:tcPr>
            <w:tcW w:w="1712"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工业分析</w:t>
            </w:r>
          </w:p>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化工制图</w:t>
            </w:r>
          </w:p>
        </w:tc>
        <w:tc>
          <w:tcPr>
            <w:tcW w:w="723" w:type="dxa"/>
            <w:noWrap/>
            <w:vAlign w:val="center"/>
          </w:tcPr>
          <w:p>
            <w:pPr>
              <w:pStyle w:val="23"/>
              <w:spacing w:line="300" w:lineRule="exact"/>
              <w:ind w:firstLine="0" w:firstLineChars="0"/>
              <w:jc w:val="center"/>
              <w:rPr>
                <w:rFonts w:ascii="宋体" w:hAnsi="宋体" w:cs="Times New Roman"/>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47"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olor w:val="auto"/>
                <w:szCs w:val="21"/>
                <w:highlight w:val="none"/>
              </w:rPr>
              <w:t>王艳芬</w:t>
            </w:r>
          </w:p>
        </w:tc>
        <w:tc>
          <w:tcPr>
            <w:tcW w:w="138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olor w:val="auto"/>
                <w:szCs w:val="21"/>
                <w:highlight w:val="none"/>
              </w:rPr>
              <w:t>硕士研究生/硕士学位</w:t>
            </w:r>
          </w:p>
        </w:tc>
        <w:tc>
          <w:tcPr>
            <w:tcW w:w="74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讲师</w:t>
            </w:r>
          </w:p>
        </w:tc>
        <w:tc>
          <w:tcPr>
            <w:tcW w:w="235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尿素合成工考评员证、</w:t>
            </w:r>
          </w:p>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化工总控工高级技师证</w:t>
            </w:r>
          </w:p>
        </w:tc>
        <w:tc>
          <w:tcPr>
            <w:tcW w:w="75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物理</w:t>
            </w:r>
          </w:p>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化学</w:t>
            </w:r>
          </w:p>
        </w:tc>
        <w:tc>
          <w:tcPr>
            <w:tcW w:w="1712" w:type="dxa"/>
            <w:noWrap/>
            <w:vAlign w:val="center"/>
          </w:tcPr>
          <w:p>
            <w:pPr>
              <w:pStyle w:val="23"/>
              <w:spacing w:line="300" w:lineRule="exact"/>
              <w:ind w:firstLine="0" w:firstLineChars="0"/>
              <w:jc w:val="center"/>
              <w:rPr>
                <w:rFonts w:ascii="宋体" w:hAnsi="宋体"/>
                <w:color w:val="auto"/>
                <w:szCs w:val="21"/>
                <w:highlight w:val="none"/>
              </w:rPr>
            </w:pPr>
            <w:r>
              <w:rPr>
                <w:rFonts w:hint="eastAsia" w:ascii="宋体" w:hAnsi="宋体"/>
                <w:color w:val="auto"/>
                <w:szCs w:val="21"/>
                <w:highlight w:val="none"/>
              </w:rPr>
              <w:t>分析化学实验</w:t>
            </w:r>
          </w:p>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olor w:val="auto"/>
                <w:szCs w:val="21"/>
                <w:highlight w:val="none"/>
              </w:rPr>
              <w:t>化工产品检验</w:t>
            </w:r>
          </w:p>
        </w:tc>
        <w:tc>
          <w:tcPr>
            <w:tcW w:w="723" w:type="dxa"/>
            <w:noWrap/>
            <w:vAlign w:val="center"/>
          </w:tcPr>
          <w:p>
            <w:pPr>
              <w:pStyle w:val="23"/>
              <w:spacing w:line="300" w:lineRule="exact"/>
              <w:ind w:firstLine="0" w:firstLineChars="0"/>
              <w:jc w:val="center"/>
              <w:rPr>
                <w:rFonts w:ascii="宋体" w:hAnsi="宋体" w:cs="Times New Roman"/>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47"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olor w:val="auto"/>
                <w:szCs w:val="21"/>
                <w:highlight w:val="none"/>
              </w:rPr>
              <w:t>李晋国</w:t>
            </w:r>
          </w:p>
        </w:tc>
        <w:tc>
          <w:tcPr>
            <w:tcW w:w="138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olor w:val="auto"/>
                <w:kern w:val="0"/>
                <w:szCs w:val="21"/>
                <w:highlight w:val="none"/>
              </w:rPr>
              <w:t>本科/硕士</w:t>
            </w:r>
          </w:p>
        </w:tc>
        <w:tc>
          <w:tcPr>
            <w:tcW w:w="74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讲师</w:t>
            </w:r>
          </w:p>
        </w:tc>
        <w:tc>
          <w:tcPr>
            <w:tcW w:w="235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尿素合成工考评员证、</w:t>
            </w:r>
          </w:p>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化工总控工高级技师证</w:t>
            </w:r>
          </w:p>
        </w:tc>
        <w:tc>
          <w:tcPr>
            <w:tcW w:w="75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化学教育</w:t>
            </w:r>
          </w:p>
        </w:tc>
        <w:tc>
          <w:tcPr>
            <w:tcW w:w="1712"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有机化学</w:t>
            </w:r>
          </w:p>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基础化学</w:t>
            </w:r>
          </w:p>
        </w:tc>
        <w:tc>
          <w:tcPr>
            <w:tcW w:w="723" w:type="dxa"/>
            <w:noWrap/>
            <w:vAlign w:val="center"/>
          </w:tcPr>
          <w:p>
            <w:pPr>
              <w:pStyle w:val="23"/>
              <w:spacing w:line="300" w:lineRule="exact"/>
              <w:ind w:firstLine="0" w:firstLineChars="0"/>
              <w:jc w:val="center"/>
              <w:rPr>
                <w:rFonts w:ascii="宋体" w:hAnsi="宋体" w:cs="Times New Roman"/>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47"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olor w:val="auto"/>
                <w:szCs w:val="21"/>
                <w:highlight w:val="none"/>
              </w:rPr>
              <w:t>张丽娜</w:t>
            </w:r>
          </w:p>
        </w:tc>
        <w:tc>
          <w:tcPr>
            <w:tcW w:w="138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olor w:val="auto"/>
                <w:szCs w:val="21"/>
                <w:highlight w:val="none"/>
              </w:rPr>
              <w:t>硕士研究生/硕士学位</w:t>
            </w:r>
          </w:p>
        </w:tc>
        <w:tc>
          <w:tcPr>
            <w:tcW w:w="74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讲师</w:t>
            </w:r>
          </w:p>
        </w:tc>
        <w:tc>
          <w:tcPr>
            <w:tcW w:w="235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尿素合成工考评员证、</w:t>
            </w:r>
          </w:p>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化工总控工高级技师证</w:t>
            </w:r>
          </w:p>
        </w:tc>
        <w:tc>
          <w:tcPr>
            <w:tcW w:w="75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无机化工</w:t>
            </w:r>
          </w:p>
        </w:tc>
        <w:tc>
          <w:tcPr>
            <w:tcW w:w="1712"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煤化工工艺学</w:t>
            </w:r>
          </w:p>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化工制图</w:t>
            </w:r>
          </w:p>
        </w:tc>
        <w:tc>
          <w:tcPr>
            <w:tcW w:w="723" w:type="dxa"/>
            <w:noWrap/>
            <w:vAlign w:val="center"/>
          </w:tcPr>
          <w:p>
            <w:pPr>
              <w:pStyle w:val="23"/>
              <w:spacing w:line="300" w:lineRule="exact"/>
              <w:ind w:firstLine="0" w:firstLineChars="0"/>
              <w:jc w:val="center"/>
              <w:rPr>
                <w:rFonts w:ascii="宋体" w:hAnsi="宋体" w:cs="Times New Roman"/>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47"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杨艳梅</w:t>
            </w:r>
          </w:p>
        </w:tc>
        <w:tc>
          <w:tcPr>
            <w:tcW w:w="138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olor w:val="auto"/>
                <w:szCs w:val="21"/>
                <w:highlight w:val="none"/>
              </w:rPr>
              <w:t>硕士研究生/硕士学位</w:t>
            </w:r>
          </w:p>
        </w:tc>
        <w:tc>
          <w:tcPr>
            <w:tcW w:w="74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助教</w:t>
            </w:r>
          </w:p>
        </w:tc>
        <w:tc>
          <w:tcPr>
            <w:tcW w:w="235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化工检验工三级</w:t>
            </w:r>
          </w:p>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化妆品配制工三级</w:t>
            </w:r>
          </w:p>
        </w:tc>
        <w:tc>
          <w:tcPr>
            <w:tcW w:w="755"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化学工程</w:t>
            </w:r>
          </w:p>
        </w:tc>
        <w:tc>
          <w:tcPr>
            <w:tcW w:w="1712" w:type="dxa"/>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化工单元操作</w:t>
            </w:r>
          </w:p>
        </w:tc>
        <w:tc>
          <w:tcPr>
            <w:tcW w:w="723" w:type="dxa"/>
            <w:noWrap/>
            <w:vAlign w:val="center"/>
          </w:tcPr>
          <w:p>
            <w:pPr>
              <w:pStyle w:val="23"/>
              <w:spacing w:line="300" w:lineRule="exact"/>
              <w:ind w:firstLine="0" w:firstLineChars="0"/>
              <w:jc w:val="center"/>
              <w:rPr>
                <w:rFonts w:ascii="宋体" w:hAnsi="宋体" w:cs="Times New Roman"/>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25" w:hRule="atLeast"/>
          <w:jc w:val="center"/>
        </w:trPr>
        <w:tc>
          <w:tcPr>
            <w:tcW w:w="847" w:type="dxa"/>
            <w:tcBorders>
              <w:bottom w:val="single" w:color="auto" w:sz="4" w:space="0"/>
            </w:tcBorders>
            <w:noWrap/>
            <w:vAlign w:val="center"/>
          </w:tcPr>
          <w:p>
            <w:pPr>
              <w:jc w:val="center"/>
              <w:rPr>
                <w:rFonts w:ascii="宋体" w:hAnsi="宋体"/>
                <w:color w:val="auto"/>
                <w:szCs w:val="21"/>
                <w:highlight w:val="none"/>
              </w:rPr>
            </w:pPr>
            <w:r>
              <w:rPr>
                <w:rFonts w:hint="eastAsia" w:ascii="宋体" w:hAnsi="宋体"/>
                <w:color w:val="auto"/>
                <w:szCs w:val="21"/>
                <w:highlight w:val="none"/>
              </w:rPr>
              <w:t>毛倩</w:t>
            </w:r>
          </w:p>
        </w:tc>
        <w:tc>
          <w:tcPr>
            <w:tcW w:w="1385" w:type="dxa"/>
            <w:tcBorders>
              <w:bottom w:val="single" w:color="auto" w:sz="4" w:space="0"/>
            </w:tcBorders>
            <w:noWrap/>
            <w:vAlign w:val="center"/>
          </w:tcPr>
          <w:p>
            <w:pPr>
              <w:pStyle w:val="23"/>
              <w:spacing w:line="300" w:lineRule="exact"/>
              <w:ind w:firstLine="0" w:firstLineChars="0"/>
              <w:jc w:val="center"/>
              <w:rPr>
                <w:rFonts w:ascii="宋体" w:hAnsi="宋体"/>
                <w:color w:val="auto"/>
                <w:szCs w:val="21"/>
                <w:highlight w:val="none"/>
              </w:rPr>
            </w:pPr>
            <w:r>
              <w:rPr>
                <w:rFonts w:hint="eastAsia" w:ascii="宋体" w:hAnsi="宋体"/>
                <w:color w:val="auto"/>
                <w:szCs w:val="21"/>
                <w:highlight w:val="none"/>
              </w:rPr>
              <w:t>硕士研究生/硕士学位</w:t>
            </w:r>
          </w:p>
        </w:tc>
        <w:tc>
          <w:tcPr>
            <w:tcW w:w="745" w:type="dxa"/>
            <w:tcBorders>
              <w:bottom w:val="single" w:color="auto" w:sz="4" w:space="0"/>
            </w:tcBorders>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助教</w:t>
            </w:r>
          </w:p>
        </w:tc>
        <w:tc>
          <w:tcPr>
            <w:tcW w:w="2355" w:type="dxa"/>
            <w:tcBorders>
              <w:bottom w:val="single" w:color="auto" w:sz="4" w:space="0"/>
            </w:tcBorders>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化工检验工三级</w:t>
            </w:r>
          </w:p>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化妆品配制工三级</w:t>
            </w:r>
          </w:p>
        </w:tc>
        <w:tc>
          <w:tcPr>
            <w:tcW w:w="755" w:type="dxa"/>
            <w:tcBorders>
              <w:bottom w:val="single" w:color="auto" w:sz="4" w:space="0"/>
            </w:tcBorders>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物理化学</w:t>
            </w:r>
          </w:p>
        </w:tc>
        <w:tc>
          <w:tcPr>
            <w:tcW w:w="1712" w:type="dxa"/>
            <w:tcBorders>
              <w:bottom w:val="single" w:color="auto" w:sz="4" w:space="0"/>
            </w:tcBorders>
            <w:noWrap/>
            <w:vAlign w:val="center"/>
          </w:tcPr>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化工安全与环保</w:t>
            </w:r>
          </w:p>
          <w:p>
            <w:pPr>
              <w:pStyle w:val="23"/>
              <w:spacing w:line="30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化工产品检验</w:t>
            </w:r>
          </w:p>
        </w:tc>
        <w:tc>
          <w:tcPr>
            <w:tcW w:w="723" w:type="dxa"/>
            <w:tcBorders>
              <w:bottom w:val="single" w:color="auto" w:sz="4" w:space="0"/>
            </w:tcBorders>
            <w:noWrap/>
            <w:vAlign w:val="center"/>
          </w:tcPr>
          <w:p>
            <w:pPr>
              <w:pStyle w:val="23"/>
              <w:spacing w:line="300" w:lineRule="exact"/>
              <w:ind w:firstLine="0" w:firstLineChars="0"/>
              <w:jc w:val="center"/>
              <w:rPr>
                <w:rFonts w:ascii="宋体" w:hAnsi="宋体" w:cs="Times New Roman"/>
                <w:color w:val="auto"/>
                <w:szCs w:val="21"/>
                <w:highlight w:val="none"/>
              </w:rPr>
            </w:pPr>
          </w:p>
          <w:p>
            <w:pPr>
              <w:pStyle w:val="23"/>
              <w:spacing w:line="300" w:lineRule="exact"/>
              <w:ind w:firstLine="0" w:firstLineChars="0"/>
              <w:jc w:val="center"/>
              <w:rPr>
                <w:rFonts w:ascii="宋体" w:hAnsi="宋体" w:cs="Times New Roman"/>
                <w:color w:val="auto"/>
                <w:szCs w:val="21"/>
                <w:highlight w:val="none"/>
              </w:rPr>
            </w:pPr>
          </w:p>
          <w:p>
            <w:pPr>
              <w:pStyle w:val="23"/>
              <w:spacing w:line="300" w:lineRule="exact"/>
              <w:ind w:firstLine="0" w:firstLineChars="0"/>
              <w:jc w:val="center"/>
              <w:rPr>
                <w:rFonts w:ascii="宋体" w:hAnsi="宋体" w:cs="Times New Roman"/>
                <w:color w:val="auto"/>
                <w:szCs w:val="21"/>
                <w:highlight w:val="none"/>
              </w:rPr>
            </w:pPr>
          </w:p>
          <w:p>
            <w:pPr>
              <w:pStyle w:val="23"/>
              <w:spacing w:line="300" w:lineRule="exact"/>
              <w:ind w:firstLine="0" w:firstLineChars="0"/>
              <w:jc w:val="center"/>
              <w:rPr>
                <w:rFonts w:ascii="宋体" w:hAnsi="宋体" w:cs="Times New Roman"/>
                <w:color w:val="auto"/>
                <w:szCs w:val="21"/>
                <w:highlight w:val="none"/>
              </w:rPr>
            </w:pPr>
          </w:p>
        </w:tc>
      </w:tr>
    </w:tbl>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（2）兼职教师</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本专业</w:t>
      </w:r>
      <w:r>
        <w:rPr>
          <w:rFonts w:ascii="宋体" w:hAnsi="宋体"/>
          <w:color w:val="auto"/>
          <w:sz w:val="24"/>
          <w:highlight w:val="none"/>
        </w:rPr>
        <w:t>从行业企业聘请有</w:t>
      </w:r>
      <w:r>
        <w:rPr>
          <w:rFonts w:hint="eastAsia" w:ascii="宋体" w:hAnsi="宋体"/>
          <w:color w:val="auto"/>
          <w:sz w:val="24"/>
          <w:highlight w:val="none"/>
        </w:rPr>
        <w:t>6</w:t>
      </w:r>
      <w:r>
        <w:rPr>
          <w:rFonts w:ascii="宋体" w:hAnsi="宋体"/>
          <w:color w:val="auto"/>
          <w:sz w:val="24"/>
          <w:highlight w:val="none"/>
        </w:rPr>
        <w:t>名既有一定理论水平又有丰富实践经验的技术人员、能工巧匠担任兼职教师，</w:t>
      </w:r>
      <w:r>
        <w:rPr>
          <w:rFonts w:hint="eastAsia" w:ascii="宋体" w:hAnsi="宋体"/>
          <w:color w:val="auto"/>
          <w:sz w:val="24"/>
          <w:highlight w:val="none"/>
        </w:rPr>
        <w:t>这些兼职教师</w:t>
      </w:r>
      <w:r>
        <w:rPr>
          <w:rFonts w:ascii="宋体" w:hAnsi="宋体"/>
          <w:color w:val="auto"/>
          <w:sz w:val="24"/>
          <w:highlight w:val="none"/>
        </w:rPr>
        <w:t>参与</w:t>
      </w:r>
      <w:r>
        <w:rPr>
          <w:rFonts w:hint="eastAsia" w:ascii="宋体" w:hAnsi="宋体"/>
          <w:color w:val="auto"/>
          <w:sz w:val="24"/>
          <w:highlight w:val="none"/>
        </w:rPr>
        <w:t>了人才</w:t>
      </w:r>
      <w:r>
        <w:rPr>
          <w:rFonts w:ascii="宋体" w:hAnsi="宋体"/>
          <w:color w:val="auto"/>
          <w:sz w:val="24"/>
          <w:highlight w:val="none"/>
        </w:rPr>
        <w:t>培养方案</w:t>
      </w:r>
      <w:r>
        <w:rPr>
          <w:rFonts w:hint="eastAsia" w:ascii="宋体" w:hAnsi="宋体"/>
          <w:color w:val="auto"/>
          <w:sz w:val="24"/>
          <w:highlight w:val="none"/>
        </w:rPr>
        <w:t>的制定与修订</w:t>
      </w:r>
      <w:r>
        <w:rPr>
          <w:rFonts w:ascii="宋体" w:hAnsi="宋体"/>
          <w:color w:val="auto"/>
          <w:sz w:val="24"/>
          <w:highlight w:val="none"/>
        </w:rPr>
        <w:t>、课程体系</w:t>
      </w:r>
      <w:r>
        <w:rPr>
          <w:rFonts w:hint="eastAsia" w:ascii="宋体" w:hAnsi="宋体"/>
          <w:color w:val="auto"/>
          <w:sz w:val="24"/>
          <w:highlight w:val="none"/>
        </w:rPr>
        <w:t>的开发</w:t>
      </w:r>
      <w:r>
        <w:rPr>
          <w:rFonts w:ascii="宋体" w:hAnsi="宋体"/>
          <w:color w:val="auto"/>
          <w:sz w:val="24"/>
          <w:highlight w:val="none"/>
        </w:rPr>
        <w:t>、课程标准</w:t>
      </w:r>
      <w:r>
        <w:rPr>
          <w:rFonts w:hint="eastAsia" w:ascii="宋体" w:hAnsi="宋体"/>
          <w:color w:val="auto"/>
          <w:sz w:val="24"/>
          <w:highlight w:val="none"/>
        </w:rPr>
        <w:t>的制定</w:t>
      </w:r>
      <w:r>
        <w:rPr>
          <w:rFonts w:ascii="宋体" w:hAnsi="宋体"/>
          <w:color w:val="auto"/>
          <w:sz w:val="24"/>
          <w:highlight w:val="none"/>
        </w:rPr>
        <w:t>及教学项目的开发</w:t>
      </w:r>
      <w:r>
        <w:rPr>
          <w:rFonts w:hint="eastAsia" w:ascii="宋体" w:hAnsi="宋体"/>
          <w:color w:val="auto"/>
          <w:sz w:val="24"/>
          <w:highlight w:val="none"/>
        </w:rPr>
        <w:t>以</w:t>
      </w:r>
      <w:r>
        <w:rPr>
          <w:rFonts w:ascii="宋体" w:hAnsi="宋体"/>
          <w:color w:val="auto"/>
          <w:sz w:val="24"/>
          <w:highlight w:val="none"/>
        </w:rPr>
        <w:t>及</w:t>
      </w:r>
      <w:r>
        <w:rPr>
          <w:rFonts w:hint="eastAsia" w:ascii="宋体" w:hAnsi="宋体"/>
          <w:color w:val="auto"/>
          <w:sz w:val="24"/>
          <w:highlight w:val="none"/>
        </w:rPr>
        <w:t>从事了大量的</w:t>
      </w:r>
      <w:r>
        <w:rPr>
          <w:rFonts w:ascii="宋体" w:hAnsi="宋体"/>
          <w:color w:val="auto"/>
          <w:sz w:val="24"/>
          <w:highlight w:val="none"/>
        </w:rPr>
        <w:t>实践教学</w:t>
      </w:r>
      <w:r>
        <w:rPr>
          <w:rFonts w:hint="eastAsia" w:ascii="宋体" w:hAnsi="宋体"/>
          <w:color w:val="auto"/>
          <w:sz w:val="24"/>
          <w:highlight w:val="none"/>
        </w:rPr>
        <w:t>工作</w:t>
      </w:r>
      <w:r>
        <w:rPr>
          <w:rFonts w:ascii="宋体" w:hAnsi="宋体"/>
          <w:color w:val="auto"/>
          <w:sz w:val="24"/>
          <w:highlight w:val="none"/>
        </w:rPr>
        <w:t>。</w:t>
      </w:r>
    </w:p>
    <w:p>
      <w:pPr>
        <w:spacing w:line="360" w:lineRule="auto"/>
        <w:jc w:val="center"/>
        <w:rPr>
          <w:rFonts w:ascii="宋体" w:hAnsi="宋体"/>
          <w:bCs/>
          <w:color w:val="auto"/>
          <w:sz w:val="24"/>
          <w:highlight w:val="none"/>
        </w:rPr>
      </w:pPr>
      <w:r>
        <w:rPr>
          <w:rFonts w:hint="eastAsia" w:ascii="宋体" w:hAnsi="宋体"/>
          <w:bCs/>
          <w:color w:val="auto"/>
          <w:sz w:val="24"/>
          <w:highlight w:val="none"/>
        </w:rPr>
        <w:t>表 5.3  校外兼职教师配置情况</w:t>
      </w:r>
    </w:p>
    <w:tbl>
      <w:tblPr>
        <w:tblStyle w:val="14"/>
        <w:tblW w:w="852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51"/>
        <w:gridCol w:w="895"/>
        <w:gridCol w:w="2811"/>
        <w:gridCol w:w="1702"/>
        <w:gridCol w:w="246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11" w:hRule="atLeast"/>
          <w:jc w:val="center"/>
        </w:trPr>
        <w:tc>
          <w:tcPr>
            <w:tcW w:w="651" w:type="dxa"/>
            <w:noWrap/>
            <w:vAlign w:val="center"/>
          </w:tcPr>
          <w:p>
            <w:pPr>
              <w:pStyle w:val="23"/>
              <w:spacing w:line="38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序号</w:t>
            </w:r>
          </w:p>
        </w:tc>
        <w:tc>
          <w:tcPr>
            <w:tcW w:w="895" w:type="dxa"/>
            <w:noWrap/>
            <w:vAlign w:val="center"/>
          </w:tcPr>
          <w:p>
            <w:pPr>
              <w:pStyle w:val="23"/>
              <w:spacing w:line="38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姓名</w:t>
            </w:r>
          </w:p>
        </w:tc>
        <w:tc>
          <w:tcPr>
            <w:tcW w:w="2811" w:type="dxa"/>
            <w:noWrap/>
            <w:vAlign w:val="center"/>
          </w:tcPr>
          <w:p>
            <w:pPr>
              <w:pStyle w:val="23"/>
              <w:spacing w:line="38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所在企业</w:t>
            </w:r>
          </w:p>
        </w:tc>
        <w:tc>
          <w:tcPr>
            <w:tcW w:w="1702" w:type="dxa"/>
            <w:noWrap/>
            <w:vAlign w:val="center"/>
          </w:tcPr>
          <w:p>
            <w:pPr>
              <w:pStyle w:val="23"/>
              <w:spacing w:line="38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职务</w:t>
            </w:r>
          </w:p>
        </w:tc>
        <w:tc>
          <w:tcPr>
            <w:tcW w:w="2463" w:type="dxa"/>
            <w:noWrap/>
            <w:vAlign w:val="center"/>
          </w:tcPr>
          <w:p>
            <w:pPr>
              <w:pStyle w:val="23"/>
              <w:spacing w:line="380" w:lineRule="exact"/>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承担教学任务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651" w:type="dxa"/>
            <w:noWrap/>
            <w:vAlign w:val="center"/>
          </w:tcPr>
          <w:p>
            <w:pPr>
              <w:widowControl/>
              <w:spacing w:line="380" w:lineRule="exact"/>
              <w:jc w:val="center"/>
              <w:rPr>
                <w:rFonts w:ascii="宋体" w:hAnsi="宋体"/>
                <w:color w:val="auto"/>
                <w:kern w:val="0"/>
                <w:szCs w:val="21"/>
                <w:highlight w:val="none"/>
              </w:rPr>
            </w:pPr>
            <w:r>
              <w:rPr>
                <w:rFonts w:hint="eastAsia" w:ascii="宋体" w:hAnsi="宋体"/>
                <w:color w:val="auto"/>
                <w:kern w:val="0"/>
                <w:szCs w:val="21"/>
                <w:highlight w:val="none"/>
              </w:rPr>
              <w:t>1</w:t>
            </w:r>
          </w:p>
        </w:tc>
        <w:tc>
          <w:tcPr>
            <w:tcW w:w="895" w:type="dxa"/>
            <w:noWrap/>
            <w:vAlign w:val="center"/>
          </w:tcPr>
          <w:p>
            <w:pPr>
              <w:pStyle w:val="23"/>
              <w:ind w:firstLine="0" w:firstLineChars="0"/>
              <w:jc w:val="center"/>
              <w:rPr>
                <w:rFonts w:ascii="宋体" w:hAnsi="宋体"/>
                <w:color w:val="auto"/>
                <w:kern w:val="0"/>
                <w:szCs w:val="21"/>
                <w:highlight w:val="none"/>
              </w:rPr>
            </w:pPr>
            <w:r>
              <w:rPr>
                <w:rFonts w:hint="eastAsia" w:ascii="宋体" w:hAnsi="宋体" w:cs="Times New Roman"/>
                <w:color w:val="auto"/>
                <w:szCs w:val="21"/>
                <w:highlight w:val="none"/>
              </w:rPr>
              <w:t>杨国华</w:t>
            </w:r>
          </w:p>
        </w:tc>
        <w:tc>
          <w:tcPr>
            <w:tcW w:w="2811" w:type="dxa"/>
            <w:noWrap/>
            <w:vAlign w:val="center"/>
          </w:tcPr>
          <w:p>
            <w:pPr>
              <w:pStyle w:val="23"/>
              <w:ind w:firstLine="0" w:firstLineChars="0"/>
              <w:jc w:val="center"/>
              <w:rPr>
                <w:rFonts w:ascii="宋体" w:hAnsi="宋体"/>
                <w:color w:val="auto"/>
                <w:kern w:val="0"/>
                <w:szCs w:val="21"/>
                <w:highlight w:val="none"/>
              </w:rPr>
            </w:pPr>
            <w:r>
              <w:rPr>
                <w:rFonts w:hint="eastAsia" w:ascii="宋体" w:hAnsi="宋体" w:cs="Times New Roman"/>
                <w:color w:val="auto"/>
                <w:szCs w:val="21"/>
                <w:highlight w:val="none"/>
              </w:rPr>
              <w:t>兰花集团</w:t>
            </w:r>
          </w:p>
        </w:tc>
        <w:tc>
          <w:tcPr>
            <w:tcW w:w="1702" w:type="dxa"/>
            <w:noWrap/>
            <w:vAlign w:val="center"/>
          </w:tcPr>
          <w:p>
            <w:pPr>
              <w:pStyle w:val="23"/>
              <w:ind w:firstLine="0" w:firstLineChars="0"/>
              <w:jc w:val="center"/>
              <w:rPr>
                <w:rFonts w:ascii="宋体" w:hAnsi="宋体"/>
                <w:color w:val="auto"/>
                <w:kern w:val="0"/>
                <w:szCs w:val="21"/>
                <w:highlight w:val="none"/>
              </w:rPr>
            </w:pPr>
            <w:r>
              <w:rPr>
                <w:rFonts w:hint="eastAsia" w:ascii="宋体" w:hAnsi="宋体" w:cs="Times New Roman"/>
                <w:color w:val="auto"/>
                <w:szCs w:val="21"/>
                <w:highlight w:val="none"/>
              </w:rPr>
              <w:t>人事处副处长</w:t>
            </w:r>
          </w:p>
        </w:tc>
        <w:tc>
          <w:tcPr>
            <w:tcW w:w="2463" w:type="dxa"/>
            <w:noWrap/>
            <w:vAlign w:val="center"/>
          </w:tcPr>
          <w:p>
            <w:pPr>
              <w:widowControl/>
              <w:spacing w:line="380" w:lineRule="exact"/>
              <w:jc w:val="center"/>
              <w:rPr>
                <w:rFonts w:ascii="宋体" w:hAnsi="宋体"/>
                <w:color w:val="auto"/>
                <w:kern w:val="0"/>
                <w:szCs w:val="21"/>
                <w:highlight w:val="none"/>
              </w:rPr>
            </w:pPr>
            <w:r>
              <w:rPr>
                <w:rFonts w:hint="eastAsia" w:ascii="宋体" w:hAnsi="宋体"/>
                <w:color w:val="auto"/>
                <w:kern w:val="0"/>
                <w:szCs w:val="21"/>
                <w:highlight w:val="none"/>
              </w:rPr>
              <w:t>学生职业素养培训</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651" w:type="dxa"/>
            <w:noWrap/>
            <w:vAlign w:val="center"/>
          </w:tcPr>
          <w:p>
            <w:pPr>
              <w:widowControl/>
              <w:spacing w:line="380" w:lineRule="exact"/>
              <w:jc w:val="center"/>
              <w:rPr>
                <w:rFonts w:ascii="宋体" w:hAnsi="宋体"/>
                <w:color w:val="auto"/>
                <w:kern w:val="0"/>
                <w:szCs w:val="21"/>
                <w:highlight w:val="none"/>
              </w:rPr>
            </w:pPr>
            <w:r>
              <w:rPr>
                <w:rFonts w:hint="eastAsia" w:ascii="宋体" w:hAnsi="宋体"/>
                <w:color w:val="auto"/>
                <w:kern w:val="0"/>
                <w:szCs w:val="21"/>
                <w:highlight w:val="none"/>
              </w:rPr>
              <w:t>2</w:t>
            </w:r>
          </w:p>
        </w:tc>
        <w:tc>
          <w:tcPr>
            <w:tcW w:w="895" w:type="dxa"/>
            <w:noWrap/>
            <w:vAlign w:val="center"/>
          </w:tcPr>
          <w:p>
            <w:pPr>
              <w:pStyle w:val="23"/>
              <w:ind w:firstLine="0" w:firstLineChars="0"/>
              <w:jc w:val="center"/>
              <w:rPr>
                <w:rFonts w:ascii="宋体" w:hAnsi="宋体"/>
                <w:color w:val="auto"/>
                <w:kern w:val="0"/>
                <w:szCs w:val="21"/>
                <w:highlight w:val="none"/>
              </w:rPr>
            </w:pPr>
            <w:r>
              <w:rPr>
                <w:rFonts w:hint="eastAsia" w:ascii="宋体" w:hAnsi="宋体" w:cs="Times New Roman"/>
                <w:color w:val="auto"/>
                <w:szCs w:val="21"/>
                <w:highlight w:val="none"/>
              </w:rPr>
              <w:t>崔进军</w:t>
            </w:r>
          </w:p>
        </w:tc>
        <w:tc>
          <w:tcPr>
            <w:tcW w:w="2811" w:type="dxa"/>
            <w:noWrap/>
            <w:vAlign w:val="center"/>
          </w:tcPr>
          <w:p>
            <w:pPr>
              <w:pStyle w:val="23"/>
              <w:ind w:firstLine="0" w:firstLineChars="0"/>
              <w:jc w:val="center"/>
              <w:rPr>
                <w:rFonts w:ascii="宋体" w:hAnsi="宋体"/>
                <w:color w:val="auto"/>
                <w:kern w:val="0"/>
                <w:szCs w:val="21"/>
                <w:highlight w:val="none"/>
              </w:rPr>
            </w:pPr>
            <w:r>
              <w:rPr>
                <w:rFonts w:hint="eastAsia" w:ascii="宋体" w:hAnsi="宋体" w:cs="Times New Roman"/>
                <w:color w:val="auto"/>
                <w:szCs w:val="21"/>
                <w:highlight w:val="none"/>
              </w:rPr>
              <w:t>山西兰花科创阳化分公司</w:t>
            </w:r>
          </w:p>
        </w:tc>
        <w:tc>
          <w:tcPr>
            <w:tcW w:w="1702" w:type="dxa"/>
            <w:noWrap/>
            <w:vAlign w:val="center"/>
          </w:tcPr>
          <w:p>
            <w:pPr>
              <w:pStyle w:val="23"/>
              <w:ind w:firstLine="0" w:firstLineChars="0"/>
              <w:jc w:val="center"/>
              <w:rPr>
                <w:rFonts w:ascii="宋体" w:hAnsi="宋体"/>
                <w:color w:val="auto"/>
                <w:kern w:val="0"/>
                <w:szCs w:val="21"/>
                <w:highlight w:val="none"/>
              </w:rPr>
            </w:pPr>
            <w:r>
              <w:rPr>
                <w:rFonts w:hint="eastAsia" w:ascii="宋体" w:hAnsi="宋体" w:cs="Times New Roman"/>
                <w:color w:val="auto"/>
                <w:szCs w:val="21"/>
                <w:highlight w:val="none"/>
              </w:rPr>
              <w:t>技术科科长</w:t>
            </w:r>
          </w:p>
        </w:tc>
        <w:tc>
          <w:tcPr>
            <w:tcW w:w="2463" w:type="dxa"/>
            <w:noWrap/>
            <w:vAlign w:val="center"/>
          </w:tcPr>
          <w:p>
            <w:pPr>
              <w:widowControl/>
              <w:spacing w:line="380" w:lineRule="exact"/>
              <w:jc w:val="center"/>
              <w:rPr>
                <w:rFonts w:ascii="宋体" w:hAnsi="宋体"/>
                <w:color w:val="auto"/>
                <w:kern w:val="0"/>
                <w:szCs w:val="21"/>
                <w:highlight w:val="none"/>
              </w:rPr>
            </w:pPr>
            <w:r>
              <w:rPr>
                <w:rFonts w:hint="eastAsia" w:ascii="宋体" w:hAnsi="宋体"/>
                <w:color w:val="auto"/>
                <w:kern w:val="0"/>
                <w:szCs w:val="21"/>
                <w:highlight w:val="none"/>
              </w:rPr>
              <w:t>典型工艺与设备维护</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651" w:type="dxa"/>
            <w:noWrap/>
            <w:vAlign w:val="center"/>
          </w:tcPr>
          <w:p>
            <w:pPr>
              <w:widowControl/>
              <w:spacing w:line="380" w:lineRule="exact"/>
              <w:jc w:val="center"/>
              <w:rPr>
                <w:rFonts w:ascii="宋体" w:hAnsi="宋体"/>
                <w:color w:val="auto"/>
                <w:kern w:val="0"/>
                <w:szCs w:val="21"/>
                <w:highlight w:val="none"/>
              </w:rPr>
            </w:pPr>
            <w:r>
              <w:rPr>
                <w:rFonts w:hint="eastAsia" w:ascii="宋体" w:hAnsi="宋体"/>
                <w:color w:val="auto"/>
                <w:kern w:val="0"/>
                <w:szCs w:val="21"/>
                <w:highlight w:val="none"/>
              </w:rPr>
              <w:t>3</w:t>
            </w:r>
          </w:p>
        </w:tc>
        <w:tc>
          <w:tcPr>
            <w:tcW w:w="895" w:type="dxa"/>
            <w:noWrap/>
            <w:vAlign w:val="center"/>
          </w:tcPr>
          <w:p>
            <w:pPr>
              <w:pStyle w:val="23"/>
              <w:ind w:firstLine="0" w:firstLineChars="0"/>
              <w:jc w:val="center"/>
              <w:rPr>
                <w:rFonts w:ascii="宋体" w:hAnsi="宋体"/>
                <w:color w:val="auto"/>
                <w:kern w:val="0"/>
                <w:szCs w:val="21"/>
                <w:highlight w:val="none"/>
              </w:rPr>
            </w:pPr>
            <w:r>
              <w:rPr>
                <w:rFonts w:hint="eastAsia" w:ascii="宋体" w:hAnsi="宋体" w:cs="Times New Roman"/>
                <w:color w:val="auto"/>
                <w:szCs w:val="21"/>
                <w:highlight w:val="none"/>
              </w:rPr>
              <w:t>王维兵</w:t>
            </w:r>
          </w:p>
        </w:tc>
        <w:tc>
          <w:tcPr>
            <w:tcW w:w="2811" w:type="dxa"/>
            <w:noWrap/>
            <w:vAlign w:val="center"/>
          </w:tcPr>
          <w:p>
            <w:pPr>
              <w:pStyle w:val="23"/>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山西兰花科创化肥公司</w:t>
            </w:r>
          </w:p>
        </w:tc>
        <w:tc>
          <w:tcPr>
            <w:tcW w:w="1702" w:type="dxa"/>
            <w:noWrap/>
            <w:vAlign w:val="center"/>
          </w:tcPr>
          <w:p>
            <w:pPr>
              <w:pStyle w:val="23"/>
              <w:ind w:firstLine="0" w:firstLineChars="0"/>
              <w:jc w:val="center"/>
              <w:rPr>
                <w:rFonts w:ascii="宋体" w:hAnsi="宋体"/>
                <w:color w:val="auto"/>
                <w:kern w:val="0"/>
                <w:szCs w:val="21"/>
                <w:highlight w:val="none"/>
              </w:rPr>
            </w:pPr>
            <w:r>
              <w:rPr>
                <w:rFonts w:hint="eastAsia" w:ascii="宋体" w:hAnsi="宋体" w:cs="Times New Roman"/>
                <w:color w:val="auto"/>
                <w:szCs w:val="21"/>
                <w:highlight w:val="none"/>
              </w:rPr>
              <w:t>生产科科长</w:t>
            </w:r>
          </w:p>
        </w:tc>
        <w:tc>
          <w:tcPr>
            <w:tcW w:w="2463" w:type="dxa"/>
            <w:noWrap/>
            <w:vAlign w:val="center"/>
          </w:tcPr>
          <w:p>
            <w:pPr>
              <w:widowControl/>
              <w:spacing w:line="380" w:lineRule="exact"/>
              <w:jc w:val="center"/>
              <w:rPr>
                <w:rFonts w:ascii="宋体" w:hAnsi="宋体"/>
                <w:color w:val="auto"/>
                <w:kern w:val="0"/>
                <w:szCs w:val="21"/>
                <w:highlight w:val="none"/>
              </w:rPr>
            </w:pPr>
            <w:r>
              <w:rPr>
                <w:rFonts w:hint="eastAsia" w:ascii="宋体" w:hAnsi="宋体"/>
                <w:color w:val="auto"/>
                <w:kern w:val="0"/>
                <w:szCs w:val="21"/>
                <w:highlight w:val="none"/>
              </w:rPr>
              <w:t>尿素合成工艺与设备维护</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651" w:type="dxa"/>
            <w:noWrap/>
            <w:vAlign w:val="center"/>
          </w:tcPr>
          <w:p>
            <w:pPr>
              <w:widowControl/>
              <w:spacing w:line="380" w:lineRule="exact"/>
              <w:jc w:val="center"/>
              <w:rPr>
                <w:rFonts w:ascii="宋体" w:hAnsi="宋体"/>
                <w:color w:val="auto"/>
                <w:kern w:val="0"/>
                <w:szCs w:val="21"/>
                <w:highlight w:val="none"/>
              </w:rPr>
            </w:pPr>
            <w:r>
              <w:rPr>
                <w:rFonts w:hint="eastAsia" w:ascii="宋体" w:hAnsi="宋体"/>
                <w:color w:val="auto"/>
                <w:kern w:val="0"/>
                <w:szCs w:val="21"/>
                <w:highlight w:val="none"/>
              </w:rPr>
              <w:t>4</w:t>
            </w:r>
          </w:p>
        </w:tc>
        <w:tc>
          <w:tcPr>
            <w:tcW w:w="895" w:type="dxa"/>
            <w:noWrap/>
            <w:vAlign w:val="center"/>
          </w:tcPr>
          <w:p>
            <w:pPr>
              <w:pStyle w:val="23"/>
              <w:ind w:firstLine="0" w:firstLineChars="0"/>
              <w:jc w:val="center"/>
              <w:rPr>
                <w:rFonts w:ascii="宋体" w:hAnsi="宋体"/>
                <w:color w:val="auto"/>
                <w:kern w:val="0"/>
                <w:szCs w:val="21"/>
                <w:highlight w:val="none"/>
              </w:rPr>
            </w:pPr>
            <w:r>
              <w:rPr>
                <w:rFonts w:hint="eastAsia" w:ascii="宋体" w:hAnsi="宋体" w:cs="Times New Roman"/>
                <w:color w:val="auto"/>
                <w:szCs w:val="21"/>
                <w:highlight w:val="none"/>
              </w:rPr>
              <w:t>王波</w:t>
            </w:r>
          </w:p>
        </w:tc>
        <w:tc>
          <w:tcPr>
            <w:tcW w:w="2811" w:type="dxa"/>
            <w:noWrap/>
            <w:vAlign w:val="center"/>
          </w:tcPr>
          <w:p>
            <w:pPr>
              <w:pStyle w:val="23"/>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晋城化肥股份有限公司</w:t>
            </w:r>
          </w:p>
        </w:tc>
        <w:tc>
          <w:tcPr>
            <w:tcW w:w="1702" w:type="dxa"/>
            <w:noWrap/>
            <w:vAlign w:val="center"/>
          </w:tcPr>
          <w:p>
            <w:pPr>
              <w:pStyle w:val="23"/>
              <w:ind w:firstLine="0" w:firstLineChars="0"/>
              <w:jc w:val="center"/>
              <w:rPr>
                <w:rFonts w:ascii="宋体" w:hAnsi="宋体"/>
                <w:color w:val="auto"/>
                <w:kern w:val="0"/>
                <w:szCs w:val="21"/>
                <w:highlight w:val="none"/>
              </w:rPr>
            </w:pPr>
            <w:r>
              <w:rPr>
                <w:rFonts w:hint="eastAsia" w:ascii="宋体" w:hAnsi="宋体" w:cs="Times New Roman"/>
                <w:color w:val="auto"/>
                <w:szCs w:val="21"/>
                <w:highlight w:val="none"/>
              </w:rPr>
              <w:t>人力资源处处长</w:t>
            </w:r>
          </w:p>
        </w:tc>
        <w:tc>
          <w:tcPr>
            <w:tcW w:w="2463" w:type="dxa"/>
            <w:noWrap/>
            <w:vAlign w:val="center"/>
          </w:tcPr>
          <w:p>
            <w:pPr>
              <w:widowControl/>
              <w:spacing w:line="380" w:lineRule="exact"/>
              <w:jc w:val="center"/>
              <w:rPr>
                <w:rFonts w:ascii="宋体" w:hAnsi="宋体"/>
                <w:color w:val="auto"/>
                <w:kern w:val="0"/>
                <w:szCs w:val="21"/>
                <w:highlight w:val="none"/>
              </w:rPr>
            </w:pPr>
            <w:r>
              <w:rPr>
                <w:rFonts w:hint="eastAsia" w:ascii="宋体" w:hAnsi="宋体"/>
                <w:color w:val="auto"/>
                <w:kern w:val="0"/>
                <w:szCs w:val="21"/>
                <w:highlight w:val="none"/>
              </w:rPr>
              <w:t>企业文化与学生成才途径</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651" w:type="dxa"/>
            <w:noWrap/>
            <w:vAlign w:val="center"/>
          </w:tcPr>
          <w:p>
            <w:pPr>
              <w:widowControl/>
              <w:spacing w:line="380" w:lineRule="exact"/>
              <w:jc w:val="center"/>
              <w:rPr>
                <w:rFonts w:ascii="宋体" w:hAnsi="宋体"/>
                <w:color w:val="auto"/>
                <w:kern w:val="0"/>
                <w:szCs w:val="21"/>
                <w:highlight w:val="none"/>
              </w:rPr>
            </w:pPr>
            <w:r>
              <w:rPr>
                <w:rFonts w:hint="eastAsia" w:ascii="宋体" w:hAnsi="宋体"/>
                <w:color w:val="auto"/>
                <w:kern w:val="0"/>
                <w:szCs w:val="21"/>
                <w:highlight w:val="none"/>
              </w:rPr>
              <w:t>5</w:t>
            </w:r>
          </w:p>
        </w:tc>
        <w:tc>
          <w:tcPr>
            <w:tcW w:w="895" w:type="dxa"/>
            <w:noWrap/>
            <w:vAlign w:val="center"/>
          </w:tcPr>
          <w:p>
            <w:pPr>
              <w:pStyle w:val="23"/>
              <w:ind w:firstLine="0" w:firstLineChars="0"/>
              <w:jc w:val="center"/>
              <w:rPr>
                <w:rFonts w:ascii="宋体" w:hAnsi="宋体"/>
                <w:color w:val="auto"/>
                <w:kern w:val="0"/>
                <w:szCs w:val="21"/>
                <w:highlight w:val="none"/>
              </w:rPr>
            </w:pPr>
            <w:r>
              <w:rPr>
                <w:rFonts w:hint="eastAsia" w:ascii="宋体" w:hAnsi="宋体" w:cs="Times New Roman"/>
                <w:color w:val="auto"/>
                <w:szCs w:val="21"/>
                <w:highlight w:val="none"/>
              </w:rPr>
              <w:t>刘卫军</w:t>
            </w:r>
          </w:p>
        </w:tc>
        <w:tc>
          <w:tcPr>
            <w:tcW w:w="2811" w:type="dxa"/>
            <w:noWrap/>
            <w:vAlign w:val="center"/>
          </w:tcPr>
          <w:p>
            <w:pPr>
              <w:pStyle w:val="23"/>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兰花科创阳化分公司</w:t>
            </w:r>
          </w:p>
        </w:tc>
        <w:tc>
          <w:tcPr>
            <w:tcW w:w="1702" w:type="dxa"/>
            <w:noWrap/>
            <w:vAlign w:val="center"/>
          </w:tcPr>
          <w:p>
            <w:pPr>
              <w:pStyle w:val="23"/>
              <w:ind w:firstLine="0" w:firstLineChars="0"/>
              <w:jc w:val="center"/>
              <w:rPr>
                <w:rFonts w:ascii="宋体" w:hAnsi="宋体"/>
                <w:color w:val="auto"/>
                <w:kern w:val="0"/>
                <w:szCs w:val="21"/>
                <w:highlight w:val="none"/>
              </w:rPr>
            </w:pPr>
            <w:r>
              <w:rPr>
                <w:rFonts w:hint="eastAsia" w:ascii="宋体" w:hAnsi="宋体" w:cs="Times New Roman"/>
                <w:color w:val="auto"/>
                <w:szCs w:val="21"/>
                <w:highlight w:val="none"/>
              </w:rPr>
              <w:t>工会主席</w:t>
            </w:r>
          </w:p>
        </w:tc>
        <w:tc>
          <w:tcPr>
            <w:tcW w:w="2463" w:type="dxa"/>
            <w:noWrap/>
            <w:vAlign w:val="center"/>
          </w:tcPr>
          <w:p>
            <w:pPr>
              <w:widowControl/>
              <w:spacing w:line="380" w:lineRule="exact"/>
              <w:jc w:val="center"/>
              <w:rPr>
                <w:rFonts w:ascii="宋体" w:hAnsi="宋体"/>
                <w:color w:val="auto"/>
                <w:kern w:val="0"/>
                <w:szCs w:val="21"/>
                <w:highlight w:val="none"/>
              </w:rPr>
            </w:pPr>
            <w:r>
              <w:rPr>
                <w:rFonts w:hint="eastAsia" w:ascii="宋体" w:hAnsi="宋体"/>
                <w:color w:val="auto"/>
                <w:kern w:val="0"/>
                <w:szCs w:val="21"/>
                <w:highlight w:val="none"/>
              </w:rPr>
              <w:t>企业团队与个人价值</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651" w:type="dxa"/>
            <w:noWrap/>
            <w:vAlign w:val="center"/>
          </w:tcPr>
          <w:p>
            <w:pPr>
              <w:widowControl/>
              <w:spacing w:line="380" w:lineRule="exact"/>
              <w:jc w:val="center"/>
              <w:rPr>
                <w:rFonts w:ascii="宋体" w:hAnsi="宋体"/>
                <w:color w:val="auto"/>
                <w:kern w:val="0"/>
                <w:szCs w:val="21"/>
                <w:highlight w:val="none"/>
              </w:rPr>
            </w:pPr>
            <w:r>
              <w:rPr>
                <w:rFonts w:hint="eastAsia" w:ascii="宋体" w:hAnsi="宋体"/>
                <w:color w:val="auto"/>
                <w:kern w:val="0"/>
                <w:szCs w:val="21"/>
                <w:highlight w:val="none"/>
              </w:rPr>
              <w:t>6</w:t>
            </w:r>
          </w:p>
        </w:tc>
        <w:tc>
          <w:tcPr>
            <w:tcW w:w="895" w:type="dxa"/>
            <w:noWrap/>
            <w:vAlign w:val="center"/>
          </w:tcPr>
          <w:p>
            <w:pPr>
              <w:pStyle w:val="23"/>
              <w:ind w:firstLine="0" w:firstLineChars="0"/>
              <w:jc w:val="center"/>
              <w:rPr>
                <w:rFonts w:ascii="宋体" w:hAnsi="宋体"/>
                <w:color w:val="auto"/>
                <w:kern w:val="0"/>
                <w:szCs w:val="21"/>
                <w:highlight w:val="none"/>
              </w:rPr>
            </w:pPr>
            <w:r>
              <w:rPr>
                <w:rFonts w:hint="eastAsia" w:ascii="宋体" w:hAnsi="宋体" w:cs="Times New Roman"/>
                <w:color w:val="auto"/>
                <w:szCs w:val="21"/>
                <w:highlight w:val="none"/>
              </w:rPr>
              <w:t>王西栋</w:t>
            </w:r>
          </w:p>
        </w:tc>
        <w:tc>
          <w:tcPr>
            <w:tcW w:w="2811" w:type="dxa"/>
            <w:noWrap/>
            <w:vAlign w:val="center"/>
          </w:tcPr>
          <w:p>
            <w:pPr>
              <w:pStyle w:val="23"/>
              <w:ind w:firstLine="0" w:firstLineChars="0"/>
              <w:jc w:val="center"/>
              <w:rPr>
                <w:rFonts w:ascii="宋体" w:hAnsi="宋体" w:cs="Times New Roman"/>
                <w:color w:val="auto"/>
                <w:szCs w:val="21"/>
                <w:highlight w:val="none"/>
              </w:rPr>
            </w:pPr>
            <w:r>
              <w:rPr>
                <w:rFonts w:hint="eastAsia" w:ascii="宋体" w:hAnsi="宋体" w:cs="Times New Roman"/>
                <w:color w:val="auto"/>
                <w:szCs w:val="21"/>
                <w:highlight w:val="none"/>
              </w:rPr>
              <w:t>兰花科创阳化分公司</w:t>
            </w:r>
          </w:p>
        </w:tc>
        <w:tc>
          <w:tcPr>
            <w:tcW w:w="1702" w:type="dxa"/>
            <w:noWrap/>
            <w:vAlign w:val="center"/>
          </w:tcPr>
          <w:p>
            <w:pPr>
              <w:pStyle w:val="23"/>
              <w:ind w:firstLine="0" w:firstLineChars="0"/>
              <w:jc w:val="center"/>
              <w:rPr>
                <w:rFonts w:ascii="宋体" w:hAnsi="宋体"/>
                <w:color w:val="auto"/>
                <w:kern w:val="0"/>
                <w:szCs w:val="21"/>
                <w:highlight w:val="none"/>
              </w:rPr>
            </w:pPr>
            <w:r>
              <w:rPr>
                <w:rFonts w:hint="eastAsia" w:ascii="宋体" w:hAnsi="宋体" w:cs="Times New Roman"/>
                <w:color w:val="auto"/>
                <w:szCs w:val="21"/>
                <w:highlight w:val="none"/>
              </w:rPr>
              <w:t>厂长</w:t>
            </w:r>
          </w:p>
        </w:tc>
        <w:tc>
          <w:tcPr>
            <w:tcW w:w="2463" w:type="dxa"/>
            <w:noWrap/>
            <w:vAlign w:val="center"/>
          </w:tcPr>
          <w:p>
            <w:pPr>
              <w:widowControl/>
              <w:spacing w:line="380" w:lineRule="exact"/>
              <w:jc w:val="center"/>
              <w:rPr>
                <w:rFonts w:ascii="宋体" w:hAnsi="宋体"/>
                <w:color w:val="auto"/>
                <w:kern w:val="0"/>
                <w:szCs w:val="21"/>
                <w:highlight w:val="none"/>
              </w:rPr>
            </w:pPr>
            <w:r>
              <w:rPr>
                <w:rFonts w:hint="eastAsia" w:ascii="宋体" w:hAnsi="宋体"/>
                <w:color w:val="auto"/>
                <w:kern w:val="0"/>
                <w:szCs w:val="21"/>
                <w:highlight w:val="none"/>
              </w:rPr>
              <w:t>合成氨工艺流程与设备</w:t>
            </w:r>
          </w:p>
        </w:tc>
      </w:tr>
    </w:tbl>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w:t>
      </w:r>
      <w:r>
        <w:rPr>
          <w:rFonts w:hint="eastAsia" w:ascii="宋体" w:hAnsi="宋体"/>
          <w:color w:val="auto"/>
          <w:sz w:val="24"/>
          <w:highlight w:val="none"/>
          <w:lang w:eastAsia="zh-CN"/>
        </w:rPr>
        <w:t>.</w:t>
      </w:r>
      <w:r>
        <w:rPr>
          <w:rFonts w:hint="eastAsia" w:ascii="宋体" w:hAnsi="宋体"/>
          <w:color w:val="auto"/>
          <w:sz w:val="24"/>
          <w:highlight w:val="none"/>
        </w:rPr>
        <w:t>协同教学的组织形式</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根据项目任务化教学和现场实训教学的需要，按照教师间合理组合、分工明确、优势互补、个性匹配的原则组建“双师”结构协同教学的教学团队，主要组织形式有：</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（1）教师间的协同</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校内项目教学，校内专任教学主要承担专业知识、基本理论、方法步骤、教学组织等任务，校外兼职教师主要承担实验实训、技能训练、案例分析、工程设计等方面的教学任务，双方共同配合，共同对学生进行教学和评价。</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企业实训实习教学，由校外兼职教师为主，校内专任教师为辅，兼职教师主要承担专项技能训练、项目任务实施、技术服务指导等教学任务，专任教师主要承担实习的组织并配合兼职教师完成实习实训的考核评价。</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（2）学生间的协同</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学生根据项目教学的需要，自愿组成学习小组，分工合作，</w:t>
      </w:r>
      <w:r>
        <w:rPr>
          <w:rFonts w:ascii="宋体" w:hAnsi="宋体"/>
          <w:color w:val="auto"/>
          <w:sz w:val="24"/>
          <w:highlight w:val="none"/>
        </w:rPr>
        <w:t>完成信息收集、制定工作计划、做出决策、任务实施、检查及工作成果评价</w:t>
      </w:r>
      <w:r>
        <w:rPr>
          <w:rFonts w:hint="eastAsia" w:ascii="宋体" w:hAnsi="宋体"/>
          <w:color w:val="auto"/>
          <w:sz w:val="24"/>
          <w:highlight w:val="none"/>
        </w:rPr>
        <w:t>等环节。</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（3）课程间的协同</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 xml:space="preserve">打破课程之间的壁垒，按照项目或任务，将各课程内容重新组织，各教师进行跨课程间的协作，共同完成一门课程的教学。跨课程进行协同教学，有利于激发学生学习的积极性和主动性，有利于学生知识的融合，提高分析问题、解决问题的能力。 </w:t>
      </w:r>
    </w:p>
    <w:p>
      <w:pPr>
        <w:pStyle w:val="4"/>
        <w:spacing w:before="0" w:after="0" w:line="360" w:lineRule="auto"/>
        <w:ind w:firstLine="300" w:firstLineChars="100"/>
        <w:rPr>
          <w:rFonts w:hint="eastAsia" w:ascii="黑体" w:hAnsi="黑体" w:eastAsia="黑体" w:cs="黑体"/>
          <w:b w:val="0"/>
          <w:bCs/>
          <w:color w:val="auto"/>
          <w:kern w:val="2"/>
          <w:sz w:val="30"/>
          <w:szCs w:val="30"/>
          <w:highlight w:val="none"/>
          <w:lang w:val="en-US" w:eastAsia="zh-CN" w:bidi="ar-SA"/>
        </w:rPr>
      </w:pPr>
      <w:bookmarkStart w:id="122" w:name="_Toc6427"/>
      <w:r>
        <w:rPr>
          <w:rFonts w:hint="eastAsia" w:ascii="黑体" w:hAnsi="黑体" w:eastAsia="黑体" w:cs="黑体"/>
          <w:b w:val="0"/>
          <w:bCs/>
          <w:color w:val="auto"/>
          <w:kern w:val="2"/>
          <w:sz w:val="30"/>
          <w:szCs w:val="30"/>
          <w:highlight w:val="none"/>
          <w:lang w:val="en-US" w:eastAsia="zh-CN" w:bidi="ar-SA"/>
        </w:rPr>
        <w:t>（二）教学团队水平</w:t>
      </w:r>
      <w:bookmarkEnd w:id="122"/>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近5年本专业教师主持并完成多项科研及应用技术开发课题，该专业教师有多人在行业、社会学术团体中兼任要职。</w:t>
      </w:r>
    </w:p>
    <w:p>
      <w:pPr>
        <w:spacing w:line="440" w:lineRule="exact"/>
        <w:ind w:firstLine="480" w:firstLineChars="200"/>
        <w:jc w:val="center"/>
        <w:rPr>
          <w:rFonts w:ascii="宋体" w:hAnsi="宋体"/>
          <w:bCs/>
          <w:color w:val="auto"/>
          <w:sz w:val="24"/>
          <w:highlight w:val="none"/>
        </w:rPr>
      </w:pPr>
      <w:r>
        <w:rPr>
          <w:rFonts w:hint="eastAsia" w:ascii="宋体" w:hAnsi="宋体"/>
          <w:bCs/>
          <w:color w:val="auto"/>
          <w:sz w:val="24"/>
          <w:highlight w:val="none"/>
        </w:rPr>
        <w:t>表 5.4 煤化工技术教师完成的教学改革与科研情况</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5129"/>
        <w:gridCol w:w="807"/>
        <w:gridCol w:w="914"/>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bCs/>
                <w:color w:val="auto"/>
                <w:szCs w:val="21"/>
                <w:highlight w:val="none"/>
              </w:rPr>
            </w:pPr>
            <w:r>
              <w:rPr>
                <w:rFonts w:hint="eastAsia" w:ascii="宋体" w:hAnsi="宋体"/>
                <w:bCs/>
                <w:color w:val="auto"/>
                <w:szCs w:val="21"/>
                <w:highlight w:val="none"/>
              </w:rPr>
              <w:t>序号</w:t>
            </w:r>
          </w:p>
        </w:tc>
        <w:tc>
          <w:tcPr>
            <w:tcW w:w="5129"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bCs/>
                <w:color w:val="auto"/>
                <w:szCs w:val="21"/>
                <w:highlight w:val="none"/>
              </w:rPr>
            </w:pPr>
            <w:r>
              <w:rPr>
                <w:rFonts w:hint="eastAsia" w:ascii="宋体" w:hAnsi="宋体"/>
                <w:bCs/>
                <w:color w:val="auto"/>
                <w:szCs w:val="21"/>
                <w:highlight w:val="none"/>
              </w:rPr>
              <w:t>课题名称</w:t>
            </w:r>
          </w:p>
        </w:tc>
        <w:tc>
          <w:tcPr>
            <w:tcW w:w="8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bCs/>
                <w:color w:val="auto"/>
                <w:szCs w:val="21"/>
                <w:highlight w:val="none"/>
              </w:rPr>
            </w:pPr>
            <w:r>
              <w:rPr>
                <w:rFonts w:hint="eastAsia" w:ascii="宋体" w:hAnsi="宋体"/>
                <w:bCs/>
                <w:color w:val="auto"/>
                <w:szCs w:val="21"/>
                <w:highlight w:val="none"/>
              </w:rPr>
              <w:t>时间</w:t>
            </w:r>
          </w:p>
        </w:tc>
        <w:tc>
          <w:tcPr>
            <w:tcW w:w="914"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bCs/>
                <w:color w:val="auto"/>
                <w:szCs w:val="21"/>
                <w:highlight w:val="none"/>
              </w:rPr>
            </w:pPr>
            <w:r>
              <w:rPr>
                <w:rFonts w:hint="eastAsia" w:ascii="宋体" w:hAnsi="宋体"/>
                <w:bCs/>
                <w:color w:val="auto"/>
                <w:szCs w:val="21"/>
                <w:highlight w:val="none"/>
              </w:rPr>
              <w:t>来源</w:t>
            </w:r>
          </w:p>
        </w:tc>
        <w:tc>
          <w:tcPr>
            <w:tcW w:w="1184"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bCs/>
                <w:color w:val="auto"/>
                <w:szCs w:val="21"/>
                <w:highlight w:val="none"/>
              </w:rPr>
            </w:pPr>
            <w:r>
              <w:rPr>
                <w:rFonts w:hint="eastAsia" w:ascii="宋体" w:hAnsi="宋体"/>
                <w:bCs/>
                <w:color w:val="auto"/>
                <w:szCs w:val="21"/>
                <w:highlight w:val="none"/>
              </w:rPr>
              <w:t>主持人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1</w:t>
            </w:r>
          </w:p>
        </w:tc>
        <w:tc>
          <w:tcPr>
            <w:tcW w:w="5129"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宋体" w:hAnsi="宋体"/>
                <w:color w:val="auto"/>
                <w:szCs w:val="21"/>
                <w:highlight w:val="none"/>
              </w:rPr>
            </w:pPr>
            <w:r>
              <w:rPr>
                <w:rFonts w:hint="eastAsia" w:ascii="宋体" w:hAnsi="宋体"/>
                <w:color w:val="auto"/>
                <w:szCs w:val="21"/>
                <w:highlight w:val="none"/>
              </w:rPr>
              <w:t>改善铸管力学性能的工艺研究</w:t>
            </w:r>
          </w:p>
        </w:tc>
        <w:tc>
          <w:tcPr>
            <w:tcW w:w="8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2018</w:t>
            </w:r>
          </w:p>
        </w:tc>
        <w:tc>
          <w:tcPr>
            <w:tcW w:w="914"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宋体" w:hAnsi="宋体"/>
                <w:color w:val="auto"/>
                <w:szCs w:val="21"/>
                <w:highlight w:val="none"/>
              </w:rPr>
            </w:pPr>
            <w:r>
              <w:rPr>
                <w:rFonts w:hint="eastAsia" w:ascii="宋体" w:hAnsi="宋体"/>
                <w:color w:val="auto"/>
                <w:szCs w:val="21"/>
                <w:highlight w:val="none"/>
              </w:rPr>
              <w:t>横向</w:t>
            </w:r>
          </w:p>
        </w:tc>
        <w:tc>
          <w:tcPr>
            <w:tcW w:w="1184"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吉晋兰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2</w:t>
            </w:r>
          </w:p>
        </w:tc>
        <w:tc>
          <w:tcPr>
            <w:tcW w:w="5129" w:type="dxa"/>
            <w:tcBorders>
              <w:top w:val="single" w:color="auto" w:sz="4" w:space="0"/>
              <w:left w:val="single" w:color="auto" w:sz="4" w:space="0"/>
              <w:bottom w:val="single" w:color="auto" w:sz="4" w:space="0"/>
              <w:right w:val="single" w:color="auto" w:sz="4" w:space="0"/>
            </w:tcBorders>
            <w:noWrap/>
            <w:vAlign w:val="center"/>
          </w:tcPr>
          <w:p>
            <w:pPr>
              <w:tabs>
                <w:tab w:val="left" w:pos="3040"/>
              </w:tabs>
              <w:spacing w:line="440" w:lineRule="exact"/>
              <w:rPr>
                <w:rFonts w:ascii="宋体" w:hAnsi="宋体"/>
                <w:color w:val="auto"/>
                <w:szCs w:val="21"/>
                <w:highlight w:val="none"/>
              </w:rPr>
            </w:pPr>
            <w:r>
              <w:rPr>
                <w:rFonts w:hint="eastAsia" w:ascii="宋体" w:hAnsi="宋体"/>
                <w:color w:val="auto"/>
                <w:szCs w:val="21"/>
                <w:highlight w:val="none"/>
              </w:rPr>
              <w:t>酮肟与过渡金属构筑氮杂金属冠醚的合成、晶体结构及性质研究</w:t>
            </w:r>
          </w:p>
        </w:tc>
        <w:tc>
          <w:tcPr>
            <w:tcW w:w="8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2018</w:t>
            </w:r>
          </w:p>
        </w:tc>
        <w:tc>
          <w:tcPr>
            <w:tcW w:w="914"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宋体" w:hAnsi="宋体"/>
                <w:color w:val="auto"/>
                <w:szCs w:val="21"/>
                <w:highlight w:val="none"/>
              </w:rPr>
            </w:pPr>
            <w:r>
              <w:rPr>
                <w:rFonts w:hint="eastAsia" w:ascii="宋体" w:hAnsi="宋体"/>
                <w:color w:val="auto"/>
                <w:szCs w:val="21"/>
                <w:highlight w:val="none"/>
              </w:rPr>
              <w:t>院级</w:t>
            </w:r>
          </w:p>
        </w:tc>
        <w:tc>
          <w:tcPr>
            <w:tcW w:w="1184"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宋体" w:hAnsi="宋体"/>
                <w:color w:val="auto"/>
                <w:szCs w:val="21"/>
                <w:highlight w:val="none"/>
              </w:rPr>
            </w:pPr>
            <w:r>
              <w:rPr>
                <w:rFonts w:hint="eastAsia" w:ascii="宋体" w:hAnsi="宋体"/>
                <w:color w:val="auto"/>
                <w:szCs w:val="21"/>
                <w:highlight w:val="none"/>
              </w:rPr>
              <w:t>牛学丽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3</w:t>
            </w:r>
          </w:p>
        </w:tc>
        <w:tc>
          <w:tcPr>
            <w:tcW w:w="5129" w:type="dxa"/>
            <w:tcBorders>
              <w:top w:val="single" w:color="auto" w:sz="4" w:space="0"/>
              <w:left w:val="single" w:color="auto" w:sz="4" w:space="0"/>
              <w:bottom w:val="single" w:color="auto" w:sz="4" w:space="0"/>
              <w:right w:val="single" w:color="auto" w:sz="4" w:space="0"/>
            </w:tcBorders>
            <w:noWrap/>
            <w:vAlign w:val="center"/>
          </w:tcPr>
          <w:p>
            <w:pPr>
              <w:widowControl/>
              <w:rPr>
                <w:rFonts w:ascii="宋体" w:hAnsi="宋体"/>
                <w:color w:val="auto"/>
                <w:szCs w:val="21"/>
                <w:highlight w:val="none"/>
              </w:rPr>
            </w:pPr>
            <w:r>
              <w:rPr>
                <w:rFonts w:hint="eastAsia" w:ascii="宋体" w:hAnsi="宋体"/>
                <w:color w:val="auto"/>
                <w:szCs w:val="21"/>
                <w:highlight w:val="none"/>
              </w:rPr>
              <w:t>VOCs催化燃烧技术中介孔ZSM-5负载型催化剂的结构设计、合成及性能研究</w:t>
            </w:r>
          </w:p>
        </w:tc>
        <w:tc>
          <w:tcPr>
            <w:tcW w:w="807"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宋体" w:hAnsi="宋体"/>
                <w:color w:val="auto"/>
                <w:szCs w:val="21"/>
                <w:highlight w:val="none"/>
              </w:rPr>
            </w:pPr>
            <w:r>
              <w:rPr>
                <w:rFonts w:hint="eastAsia" w:ascii="宋体" w:hAnsi="宋体"/>
                <w:color w:val="auto"/>
                <w:szCs w:val="21"/>
                <w:highlight w:val="none"/>
              </w:rPr>
              <w:t>2016</w:t>
            </w:r>
          </w:p>
        </w:tc>
        <w:tc>
          <w:tcPr>
            <w:tcW w:w="914"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宋体" w:hAnsi="宋体"/>
                <w:color w:val="auto"/>
                <w:szCs w:val="21"/>
                <w:highlight w:val="none"/>
              </w:rPr>
            </w:pPr>
            <w:r>
              <w:rPr>
                <w:rFonts w:hint="eastAsia" w:ascii="宋体" w:hAnsi="宋体"/>
                <w:color w:val="auto"/>
                <w:szCs w:val="21"/>
                <w:highlight w:val="none"/>
              </w:rPr>
              <w:t>院级</w:t>
            </w:r>
          </w:p>
        </w:tc>
        <w:tc>
          <w:tcPr>
            <w:tcW w:w="1184"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苗海霞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4</w:t>
            </w:r>
          </w:p>
        </w:tc>
        <w:tc>
          <w:tcPr>
            <w:tcW w:w="5129"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宋体" w:hAnsi="宋体"/>
                <w:color w:val="auto"/>
                <w:szCs w:val="21"/>
                <w:highlight w:val="none"/>
              </w:rPr>
            </w:pPr>
            <w:r>
              <w:rPr>
                <w:rFonts w:hint="eastAsia"/>
                <w:color w:val="auto"/>
                <w:highlight w:val="none"/>
              </w:rPr>
              <w:t>高比表面积ZSM-5吸附废水中苯胺的研究</w:t>
            </w:r>
          </w:p>
        </w:tc>
        <w:tc>
          <w:tcPr>
            <w:tcW w:w="807"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宋体" w:hAnsi="宋体"/>
                <w:color w:val="auto"/>
                <w:szCs w:val="21"/>
                <w:highlight w:val="none"/>
              </w:rPr>
            </w:pPr>
            <w:r>
              <w:rPr>
                <w:rFonts w:hint="eastAsia" w:ascii="宋体" w:hAnsi="宋体"/>
                <w:color w:val="auto"/>
                <w:szCs w:val="21"/>
                <w:highlight w:val="none"/>
              </w:rPr>
              <w:t>2016</w:t>
            </w:r>
          </w:p>
        </w:tc>
        <w:tc>
          <w:tcPr>
            <w:tcW w:w="914"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宋体" w:hAnsi="宋体"/>
                <w:color w:val="auto"/>
                <w:szCs w:val="21"/>
                <w:highlight w:val="none"/>
              </w:rPr>
            </w:pPr>
            <w:r>
              <w:rPr>
                <w:rFonts w:hint="eastAsia" w:ascii="宋体" w:hAnsi="宋体"/>
                <w:color w:val="auto"/>
                <w:szCs w:val="21"/>
                <w:highlight w:val="none"/>
              </w:rPr>
              <w:t>院级</w:t>
            </w:r>
          </w:p>
        </w:tc>
        <w:tc>
          <w:tcPr>
            <w:tcW w:w="1184"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牛学丽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宋体" w:hAnsi="宋体"/>
                <w:color w:val="auto"/>
                <w:szCs w:val="21"/>
                <w:highlight w:val="none"/>
              </w:rPr>
            </w:pPr>
            <w:r>
              <w:rPr>
                <w:rFonts w:hint="eastAsia" w:ascii="宋体" w:hAnsi="宋体"/>
                <w:color w:val="auto"/>
                <w:szCs w:val="21"/>
                <w:highlight w:val="none"/>
              </w:rPr>
              <w:t>5</w:t>
            </w:r>
          </w:p>
        </w:tc>
        <w:tc>
          <w:tcPr>
            <w:tcW w:w="5129" w:type="dxa"/>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color w:val="auto"/>
                <w:szCs w:val="21"/>
                <w:highlight w:val="none"/>
              </w:rPr>
            </w:pPr>
            <w:r>
              <w:rPr>
                <w:rFonts w:hint="eastAsia" w:ascii="宋体" w:hAnsi="宋体"/>
                <w:color w:val="auto"/>
                <w:szCs w:val="21"/>
                <w:highlight w:val="none"/>
              </w:rPr>
              <w:t>垃圾临时堆放点非均质土壤中重金属的迁移及防治技术研究</w:t>
            </w:r>
          </w:p>
        </w:tc>
        <w:tc>
          <w:tcPr>
            <w:tcW w:w="807"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宋体" w:hAnsi="宋体"/>
                <w:color w:val="auto"/>
                <w:szCs w:val="21"/>
                <w:highlight w:val="none"/>
              </w:rPr>
            </w:pPr>
            <w:r>
              <w:rPr>
                <w:rFonts w:hint="eastAsia" w:ascii="宋体" w:hAnsi="宋体"/>
                <w:color w:val="auto"/>
                <w:szCs w:val="21"/>
                <w:highlight w:val="none"/>
              </w:rPr>
              <w:t>2015</w:t>
            </w:r>
          </w:p>
        </w:tc>
        <w:tc>
          <w:tcPr>
            <w:tcW w:w="914"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省级</w:t>
            </w:r>
          </w:p>
        </w:tc>
        <w:tc>
          <w:tcPr>
            <w:tcW w:w="1184"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吉晋兰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6</w:t>
            </w:r>
          </w:p>
        </w:tc>
        <w:tc>
          <w:tcPr>
            <w:tcW w:w="5129"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项目化教学法在工业分析检验专业基础课程中的应用</w:t>
            </w:r>
          </w:p>
        </w:tc>
        <w:tc>
          <w:tcPr>
            <w:tcW w:w="8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2015</w:t>
            </w:r>
          </w:p>
        </w:tc>
        <w:tc>
          <w:tcPr>
            <w:tcW w:w="914"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院级</w:t>
            </w:r>
          </w:p>
        </w:tc>
        <w:tc>
          <w:tcPr>
            <w:tcW w:w="1184"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ascii="宋体" w:hAnsi="宋体"/>
                <w:color w:val="auto"/>
                <w:szCs w:val="21"/>
                <w:highlight w:val="none"/>
              </w:rPr>
              <w:t>张丽娜</w:t>
            </w:r>
          </w:p>
        </w:tc>
      </w:tr>
    </w:tbl>
    <w:p>
      <w:pPr>
        <w:spacing w:line="440" w:lineRule="exact"/>
        <w:rPr>
          <w:rFonts w:ascii="宋体" w:hAnsi="宋体"/>
          <w:bCs/>
          <w:color w:val="auto"/>
          <w:sz w:val="24"/>
          <w:highlight w:val="none"/>
        </w:rPr>
      </w:pPr>
    </w:p>
    <w:p>
      <w:pPr>
        <w:spacing w:line="440" w:lineRule="exact"/>
        <w:ind w:firstLine="1800" w:firstLineChars="750"/>
        <w:rPr>
          <w:rFonts w:ascii="宋体" w:hAnsi="宋体"/>
          <w:bCs/>
          <w:color w:val="auto"/>
          <w:sz w:val="24"/>
          <w:highlight w:val="none"/>
        </w:rPr>
      </w:pPr>
      <w:r>
        <w:rPr>
          <w:rFonts w:hint="eastAsia" w:ascii="宋体" w:hAnsi="宋体"/>
          <w:bCs/>
          <w:color w:val="auto"/>
          <w:sz w:val="24"/>
          <w:highlight w:val="none"/>
        </w:rPr>
        <w:t>表5.5 煤化工技术专业教师发表论文情况一览表</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
        <w:gridCol w:w="4720"/>
        <w:gridCol w:w="822"/>
        <w:gridCol w:w="1487"/>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bCs/>
                <w:color w:val="auto"/>
                <w:szCs w:val="21"/>
                <w:highlight w:val="none"/>
              </w:rPr>
            </w:pPr>
            <w:r>
              <w:rPr>
                <w:rFonts w:hint="eastAsia" w:ascii="Times New Roman" w:hAnsi="Times New Roman" w:eastAsiaTheme="majorEastAsia" w:cstheme="majorEastAsia"/>
                <w:bCs/>
                <w:color w:val="auto"/>
                <w:szCs w:val="21"/>
                <w:highlight w:val="none"/>
              </w:rPr>
              <w:t>序号</w:t>
            </w:r>
          </w:p>
        </w:tc>
        <w:tc>
          <w:tcPr>
            <w:tcW w:w="4720"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bCs/>
                <w:color w:val="auto"/>
                <w:szCs w:val="21"/>
                <w:highlight w:val="none"/>
              </w:rPr>
            </w:pPr>
            <w:r>
              <w:rPr>
                <w:rFonts w:hint="eastAsia" w:ascii="Times New Roman" w:hAnsi="Times New Roman" w:eastAsiaTheme="majorEastAsia" w:cstheme="majorEastAsia"/>
                <w:bCs/>
                <w:color w:val="auto"/>
                <w:szCs w:val="21"/>
                <w:highlight w:val="none"/>
              </w:rPr>
              <w:t>论文题目</w:t>
            </w:r>
          </w:p>
        </w:tc>
        <w:tc>
          <w:tcPr>
            <w:tcW w:w="822"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bCs/>
                <w:color w:val="auto"/>
                <w:szCs w:val="21"/>
                <w:highlight w:val="none"/>
              </w:rPr>
            </w:pPr>
            <w:r>
              <w:rPr>
                <w:rFonts w:hint="eastAsia" w:ascii="Times New Roman" w:hAnsi="Times New Roman" w:eastAsiaTheme="majorEastAsia" w:cstheme="majorEastAsia"/>
                <w:bCs/>
                <w:color w:val="auto"/>
                <w:szCs w:val="21"/>
                <w:highlight w:val="none"/>
              </w:rPr>
              <w:t>发表</w:t>
            </w:r>
          </w:p>
          <w:p>
            <w:pPr>
              <w:jc w:val="center"/>
              <w:rPr>
                <w:rFonts w:ascii="Times New Roman" w:hAnsi="Times New Roman" w:eastAsiaTheme="majorEastAsia" w:cstheme="majorEastAsia"/>
                <w:bCs/>
                <w:color w:val="auto"/>
                <w:szCs w:val="21"/>
                <w:highlight w:val="none"/>
              </w:rPr>
            </w:pPr>
            <w:r>
              <w:rPr>
                <w:rFonts w:hint="eastAsia" w:ascii="Times New Roman" w:hAnsi="Times New Roman" w:eastAsiaTheme="majorEastAsia" w:cstheme="majorEastAsia"/>
                <w:bCs/>
                <w:color w:val="auto"/>
                <w:szCs w:val="21"/>
                <w:highlight w:val="none"/>
              </w:rPr>
              <w:t>时间</w:t>
            </w:r>
          </w:p>
        </w:tc>
        <w:tc>
          <w:tcPr>
            <w:tcW w:w="1487"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bCs/>
                <w:color w:val="auto"/>
                <w:szCs w:val="21"/>
                <w:highlight w:val="none"/>
              </w:rPr>
            </w:pPr>
            <w:r>
              <w:rPr>
                <w:rFonts w:hint="eastAsia" w:ascii="Times New Roman" w:hAnsi="Times New Roman" w:eastAsiaTheme="majorEastAsia" w:cstheme="majorEastAsia"/>
                <w:bCs/>
                <w:color w:val="auto"/>
                <w:szCs w:val="21"/>
                <w:highlight w:val="none"/>
              </w:rPr>
              <w:t>刊物名称</w:t>
            </w:r>
          </w:p>
        </w:tc>
        <w:tc>
          <w:tcPr>
            <w:tcW w:w="875"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bCs/>
                <w:color w:val="auto"/>
                <w:szCs w:val="21"/>
                <w:highlight w:val="none"/>
              </w:rPr>
            </w:pPr>
            <w:r>
              <w:rPr>
                <w:rFonts w:hint="eastAsia" w:ascii="Times New Roman" w:hAnsi="Times New Roman" w:eastAsiaTheme="majorEastAsia" w:cstheme="majorEastAsia"/>
                <w:bCs/>
                <w:color w:val="auto"/>
                <w:szCs w:val="21"/>
                <w:highlight w:val="none"/>
              </w:rPr>
              <w:t>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1</w:t>
            </w:r>
          </w:p>
        </w:tc>
        <w:tc>
          <w:tcPr>
            <w:tcW w:w="4720"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护肤品的部分质量指标检测及选用建议</w:t>
            </w:r>
          </w:p>
        </w:tc>
        <w:tc>
          <w:tcPr>
            <w:tcW w:w="822"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2018</w:t>
            </w:r>
          </w:p>
        </w:tc>
        <w:tc>
          <w:tcPr>
            <w:tcW w:w="1487"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晋城职业技术学院学报</w:t>
            </w:r>
          </w:p>
        </w:tc>
        <w:tc>
          <w:tcPr>
            <w:tcW w:w="875"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 xml:space="preserve">陈香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2</w:t>
            </w:r>
          </w:p>
        </w:tc>
        <w:tc>
          <w:tcPr>
            <w:tcW w:w="4720" w:type="dxa"/>
            <w:tcBorders>
              <w:top w:val="single" w:color="auto" w:sz="4" w:space="0"/>
              <w:left w:val="single" w:color="auto" w:sz="4" w:space="0"/>
              <w:bottom w:val="single" w:color="auto" w:sz="4" w:space="0"/>
              <w:right w:val="single" w:color="auto" w:sz="4" w:space="0"/>
            </w:tcBorders>
            <w:noWrap/>
            <w:vAlign w:val="center"/>
          </w:tcPr>
          <w:p>
            <w:pPr>
              <w:jc w:val="left"/>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Crystal structure of bis(μ2-3-formyl-5-methoxy-2-oxidobenzoato-k3O,O’:O’)-hexapyridine-dicadmium(II) – pyridine (1/1), C53H47Cd2N7O10.</w:t>
            </w:r>
          </w:p>
        </w:tc>
        <w:tc>
          <w:tcPr>
            <w:tcW w:w="822"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2018</w:t>
            </w:r>
          </w:p>
        </w:tc>
        <w:tc>
          <w:tcPr>
            <w:tcW w:w="1487"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 xml:space="preserve"> Z. Kristallogr. NCS</w:t>
            </w:r>
          </w:p>
        </w:tc>
        <w:tc>
          <w:tcPr>
            <w:tcW w:w="875"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牛学丽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3</w:t>
            </w:r>
          </w:p>
        </w:tc>
        <w:tc>
          <w:tcPr>
            <w:tcW w:w="4720"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Crystal structure of tetramethylammonium bis(acetate-k1O)-terakis(μ3-3-((hydroxyimino)methyl)-5-methoxy-2- oxidobenzoate-k5O,O’:O’,N:O”) tetrazinc(II) ¬¬- water(1/2/2), C62H96Zn4N10O28.</w:t>
            </w:r>
          </w:p>
        </w:tc>
        <w:tc>
          <w:tcPr>
            <w:tcW w:w="822"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2018</w:t>
            </w:r>
          </w:p>
        </w:tc>
        <w:tc>
          <w:tcPr>
            <w:tcW w:w="1487"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 xml:space="preserve"> Z. Kristallogr. NCS</w:t>
            </w:r>
          </w:p>
        </w:tc>
        <w:tc>
          <w:tcPr>
            <w:tcW w:w="875"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牛学丽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4</w:t>
            </w:r>
          </w:p>
        </w:tc>
        <w:tc>
          <w:tcPr>
            <w:tcW w:w="4720"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化合物{[C6H3(CH3)2]2BOH}2 的晶体合成及结构分析</w:t>
            </w:r>
          </w:p>
        </w:tc>
        <w:tc>
          <w:tcPr>
            <w:tcW w:w="822"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2018</w:t>
            </w:r>
          </w:p>
        </w:tc>
        <w:tc>
          <w:tcPr>
            <w:tcW w:w="1487"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泰山学院学报</w:t>
            </w:r>
          </w:p>
        </w:tc>
        <w:tc>
          <w:tcPr>
            <w:tcW w:w="875"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牛学丽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5</w:t>
            </w:r>
          </w:p>
        </w:tc>
        <w:tc>
          <w:tcPr>
            <w:tcW w:w="4720"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茚三酮-1,2-二肟合成方法优化</w:t>
            </w:r>
          </w:p>
        </w:tc>
        <w:tc>
          <w:tcPr>
            <w:tcW w:w="822"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2018</w:t>
            </w:r>
          </w:p>
        </w:tc>
        <w:tc>
          <w:tcPr>
            <w:tcW w:w="1487"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太原师范学院学报（自然科学版）</w:t>
            </w:r>
          </w:p>
        </w:tc>
        <w:tc>
          <w:tcPr>
            <w:tcW w:w="875"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牛学丽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6</w:t>
            </w:r>
          </w:p>
        </w:tc>
        <w:tc>
          <w:tcPr>
            <w:tcW w:w="4720"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Prediction of the Permeability-reducing Effect of Cement Infiltration into Sandy Soils</w:t>
            </w:r>
          </w:p>
        </w:tc>
        <w:tc>
          <w:tcPr>
            <w:tcW w:w="822"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highlight w:val="none"/>
              </w:rPr>
              <w:t>2017</w:t>
            </w:r>
          </w:p>
        </w:tc>
        <w:tc>
          <w:tcPr>
            <w:tcW w:w="1487"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highlight w:val="none"/>
              </w:rPr>
              <w:t>Water Science and Technology:Water Supply</w:t>
            </w:r>
          </w:p>
        </w:tc>
        <w:tc>
          <w:tcPr>
            <w:tcW w:w="875"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吉晋兰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7</w:t>
            </w:r>
          </w:p>
        </w:tc>
        <w:tc>
          <w:tcPr>
            <w:tcW w:w="4720"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Analysis of the Main Factors Influencing the Permeability-Reducing Effect of Cement Infiltration in a River Sediment Matrix</w:t>
            </w:r>
          </w:p>
        </w:tc>
        <w:tc>
          <w:tcPr>
            <w:tcW w:w="822"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2017</w:t>
            </w:r>
          </w:p>
        </w:tc>
        <w:tc>
          <w:tcPr>
            <w:tcW w:w="1487"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KSCE Journal of Civil Engineering</w:t>
            </w:r>
          </w:p>
        </w:tc>
        <w:tc>
          <w:tcPr>
            <w:tcW w:w="875"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吉晋兰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8</w:t>
            </w:r>
          </w:p>
        </w:tc>
        <w:tc>
          <w:tcPr>
            <w:tcW w:w="4720"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入渗水质对水泥潜入沙性土壤的阻渗效果影响分析</w:t>
            </w:r>
          </w:p>
        </w:tc>
        <w:tc>
          <w:tcPr>
            <w:tcW w:w="822"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2016</w:t>
            </w:r>
          </w:p>
        </w:tc>
        <w:tc>
          <w:tcPr>
            <w:tcW w:w="1487"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灌溉排水学报</w:t>
            </w:r>
            <w:r>
              <w:rPr>
                <w:rFonts w:hint="eastAsia" w:ascii="Times New Roman" w:hAnsi="Times New Roman" w:eastAsiaTheme="majorEastAsia" w:cstheme="majorEastAsia"/>
                <w:color w:val="auto"/>
                <w:szCs w:val="21"/>
                <w:highlight w:val="none"/>
              </w:rPr>
              <w:tab/>
            </w:r>
          </w:p>
        </w:tc>
        <w:tc>
          <w:tcPr>
            <w:tcW w:w="875"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吉晋兰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9</w:t>
            </w:r>
          </w:p>
        </w:tc>
        <w:tc>
          <w:tcPr>
            <w:tcW w:w="4720"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color w:val="auto"/>
                <w:highlight w:val="none"/>
              </w:rPr>
              <w:t xml:space="preserve">Impact of Postponed Water Feeding Time on </w:t>
            </w:r>
            <w:r>
              <w:rPr>
                <w:rFonts w:hint="eastAsia"/>
                <w:color w:val="auto"/>
                <w:highlight w:val="none"/>
              </w:rPr>
              <w:t>t</w:t>
            </w:r>
            <w:r>
              <w:rPr>
                <w:color w:val="auto"/>
                <w:highlight w:val="none"/>
              </w:rPr>
              <w:t>he Infiltration-Reducing Effect of Cement into Alluvial Soils</w:t>
            </w:r>
          </w:p>
        </w:tc>
        <w:tc>
          <w:tcPr>
            <w:tcW w:w="822"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color w:val="auto"/>
                <w:szCs w:val="21"/>
                <w:highlight w:val="none"/>
              </w:rPr>
              <w:t>20</w:t>
            </w:r>
            <w:r>
              <w:rPr>
                <w:rFonts w:hint="eastAsia"/>
                <w:color w:val="auto"/>
                <w:szCs w:val="21"/>
                <w:highlight w:val="none"/>
              </w:rPr>
              <w:t>15</w:t>
            </w:r>
          </w:p>
        </w:tc>
        <w:tc>
          <w:tcPr>
            <w:tcW w:w="1487"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color w:val="auto"/>
                <w:highlight w:val="none"/>
              </w:rPr>
              <w:t>Fresenius Environmental Bulletin</w:t>
            </w:r>
          </w:p>
        </w:tc>
        <w:tc>
          <w:tcPr>
            <w:tcW w:w="875"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吉晋兰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10</w:t>
            </w:r>
          </w:p>
        </w:tc>
        <w:tc>
          <w:tcPr>
            <w:tcW w:w="4720"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color w:val="auto"/>
                <w:highlight w:val="none"/>
              </w:rPr>
              <w:t>水泥潜入方式对底泥基质的减渗效果影响</w:t>
            </w:r>
          </w:p>
        </w:tc>
        <w:tc>
          <w:tcPr>
            <w:tcW w:w="822"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2015</w:t>
            </w:r>
          </w:p>
        </w:tc>
        <w:tc>
          <w:tcPr>
            <w:tcW w:w="1487"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color w:val="auto"/>
                <w:highlight w:val="none"/>
              </w:rPr>
              <w:t>太原理工大学学报</w:t>
            </w:r>
          </w:p>
        </w:tc>
        <w:tc>
          <w:tcPr>
            <w:tcW w:w="875"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吉晋兰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11</w:t>
            </w:r>
          </w:p>
        </w:tc>
        <w:tc>
          <w:tcPr>
            <w:tcW w:w="4720" w:type="dxa"/>
            <w:tcBorders>
              <w:top w:val="single" w:color="auto" w:sz="4" w:space="0"/>
              <w:left w:val="single" w:color="auto" w:sz="4" w:space="0"/>
              <w:bottom w:val="single" w:color="auto" w:sz="4" w:space="0"/>
              <w:right w:val="single" w:color="auto" w:sz="4" w:space="0"/>
            </w:tcBorders>
            <w:noWrap/>
            <w:vAlign w:val="center"/>
          </w:tcPr>
          <w:p>
            <w:pPr>
              <w:jc w:val="center"/>
              <w:rPr>
                <w:color w:val="auto"/>
                <w:highlight w:val="none"/>
              </w:rPr>
            </w:pPr>
            <w:r>
              <w:rPr>
                <w:color w:val="auto"/>
                <w:highlight w:val="none"/>
              </w:rPr>
              <w:t>高职院校学生环境素养与提升对策研究</w:t>
            </w:r>
          </w:p>
        </w:tc>
        <w:tc>
          <w:tcPr>
            <w:tcW w:w="822"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2015</w:t>
            </w:r>
          </w:p>
        </w:tc>
        <w:tc>
          <w:tcPr>
            <w:tcW w:w="1487" w:type="dxa"/>
            <w:tcBorders>
              <w:top w:val="single" w:color="auto" w:sz="4" w:space="0"/>
              <w:left w:val="single" w:color="auto" w:sz="4" w:space="0"/>
              <w:bottom w:val="single" w:color="auto" w:sz="4" w:space="0"/>
              <w:right w:val="single" w:color="auto" w:sz="4" w:space="0"/>
            </w:tcBorders>
            <w:noWrap/>
            <w:vAlign w:val="center"/>
          </w:tcPr>
          <w:p>
            <w:pPr>
              <w:rPr>
                <w:color w:val="auto"/>
                <w:highlight w:val="none"/>
              </w:rPr>
            </w:pPr>
            <w:r>
              <w:rPr>
                <w:rFonts w:hint="eastAsia"/>
                <w:color w:val="auto"/>
                <w:highlight w:val="none"/>
              </w:rPr>
              <w:t>晋城职业技术学院学报</w:t>
            </w:r>
          </w:p>
        </w:tc>
        <w:tc>
          <w:tcPr>
            <w:tcW w:w="875"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宋体" w:hAnsi="宋体" w:cs="宋体"/>
                <w:color w:val="auto"/>
                <w:kern w:val="0"/>
                <w:szCs w:val="21"/>
                <w:highlight w:val="none"/>
              </w:rPr>
              <w:t>吉晋兰</w:t>
            </w:r>
          </w:p>
        </w:tc>
      </w:tr>
    </w:tbl>
    <w:p>
      <w:pPr>
        <w:spacing w:line="440" w:lineRule="exact"/>
        <w:rPr>
          <w:rFonts w:ascii="宋体" w:hAnsi="宋体"/>
          <w:bCs/>
          <w:color w:val="auto"/>
          <w:sz w:val="24"/>
          <w:highlight w:val="none"/>
        </w:rPr>
      </w:pPr>
    </w:p>
    <w:p>
      <w:pPr>
        <w:spacing w:line="440" w:lineRule="exact"/>
        <w:ind w:firstLine="480" w:firstLineChars="200"/>
        <w:jc w:val="center"/>
        <w:rPr>
          <w:rFonts w:ascii="宋体" w:hAnsi="宋体"/>
          <w:bCs/>
          <w:color w:val="auto"/>
          <w:sz w:val="24"/>
          <w:highlight w:val="none"/>
        </w:rPr>
      </w:pPr>
      <w:r>
        <w:rPr>
          <w:rFonts w:hint="eastAsia" w:ascii="宋体" w:hAnsi="宋体"/>
          <w:bCs/>
          <w:color w:val="auto"/>
          <w:sz w:val="24"/>
          <w:highlight w:val="none"/>
        </w:rPr>
        <w:t>表5.6 煤化工技术专业教师在行业、社会学术团体中</w:t>
      </w:r>
    </w:p>
    <w:p>
      <w:pPr>
        <w:spacing w:line="440" w:lineRule="exact"/>
        <w:ind w:firstLine="480" w:firstLineChars="200"/>
        <w:jc w:val="center"/>
        <w:rPr>
          <w:rFonts w:ascii="宋体" w:hAnsi="宋体"/>
          <w:bCs/>
          <w:color w:val="auto"/>
          <w:sz w:val="24"/>
          <w:highlight w:val="none"/>
        </w:rPr>
      </w:pPr>
      <w:r>
        <w:rPr>
          <w:rFonts w:hint="eastAsia" w:ascii="宋体" w:hAnsi="宋体"/>
          <w:bCs/>
          <w:color w:val="auto"/>
          <w:sz w:val="24"/>
          <w:highlight w:val="none"/>
        </w:rPr>
        <w:t>兼职情况一览表</w:t>
      </w:r>
    </w:p>
    <w:tbl>
      <w:tblPr>
        <w:tblStyle w:val="1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1107"/>
        <w:gridCol w:w="3080"/>
        <w:gridCol w:w="2641"/>
        <w:gridCol w:w="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序号</w:t>
            </w:r>
          </w:p>
        </w:tc>
        <w:tc>
          <w:tcPr>
            <w:tcW w:w="11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姓名</w:t>
            </w:r>
          </w:p>
        </w:tc>
        <w:tc>
          <w:tcPr>
            <w:tcW w:w="308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服务企业</w:t>
            </w:r>
          </w:p>
        </w:tc>
        <w:tc>
          <w:tcPr>
            <w:tcW w:w="2641"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任务</w:t>
            </w:r>
          </w:p>
        </w:tc>
        <w:tc>
          <w:tcPr>
            <w:tcW w:w="84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tcBorders>
              <w:top w:val="single" w:color="auto" w:sz="4" w:space="0"/>
              <w:left w:val="single" w:color="auto" w:sz="4" w:space="0"/>
              <w:bottom w:val="single" w:color="auto" w:sz="4" w:space="0"/>
              <w:right w:val="single" w:color="auto" w:sz="4" w:space="0"/>
            </w:tcBorders>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1</w:t>
            </w:r>
          </w:p>
        </w:tc>
        <w:tc>
          <w:tcPr>
            <w:tcW w:w="1107" w:type="dxa"/>
            <w:tcBorders>
              <w:top w:val="single" w:color="auto" w:sz="4" w:space="0"/>
              <w:left w:val="single" w:color="auto" w:sz="4" w:space="0"/>
              <w:bottom w:val="single" w:color="auto" w:sz="4" w:space="0"/>
              <w:right w:val="single" w:color="auto" w:sz="4" w:space="0"/>
            </w:tcBorders>
            <w:noWrap/>
            <w:vAlign w:val="center"/>
          </w:tcPr>
          <w:p>
            <w:pPr>
              <w:pStyle w:val="23"/>
              <w:spacing w:line="300" w:lineRule="exact"/>
              <w:ind w:firstLine="0" w:firstLineChars="0"/>
              <w:jc w:val="center"/>
              <w:rPr>
                <w:rFonts w:ascii="宋体" w:hAnsi="宋体"/>
                <w:color w:val="auto"/>
                <w:szCs w:val="21"/>
                <w:highlight w:val="none"/>
              </w:rPr>
            </w:pPr>
            <w:r>
              <w:rPr>
                <w:rFonts w:hint="eastAsia" w:ascii="宋体" w:hAnsi="宋体"/>
                <w:color w:val="auto"/>
                <w:szCs w:val="21"/>
                <w:highlight w:val="none"/>
              </w:rPr>
              <w:t>吉晋兰</w:t>
            </w:r>
          </w:p>
        </w:tc>
        <w:tc>
          <w:tcPr>
            <w:tcW w:w="308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晋城天泽集团</w:t>
            </w:r>
          </w:p>
        </w:tc>
        <w:tc>
          <w:tcPr>
            <w:tcW w:w="2641"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化工环保</w:t>
            </w:r>
          </w:p>
        </w:tc>
        <w:tc>
          <w:tcPr>
            <w:tcW w:w="84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2</w:t>
            </w:r>
          </w:p>
        </w:tc>
        <w:tc>
          <w:tcPr>
            <w:tcW w:w="1107" w:type="dxa"/>
            <w:tcBorders>
              <w:top w:val="single" w:color="auto" w:sz="4" w:space="0"/>
              <w:left w:val="single" w:color="auto" w:sz="4" w:space="0"/>
              <w:bottom w:val="single" w:color="auto" w:sz="4" w:space="0"/>
              <w:right w:val="single" w:color="auto" w:sz="4" w:space="0"/>
            </w:tcBorders>
            <w:noWrap/>
            <w:vAlign w:val="center"/>
          </w:tcPr>
          <w:p>
            <w:pPr>
              <w:pStyle w:val="23"/>
              <w:spacing w:line="300" w:lineRule="exact"/>
              <w:ind w:firstLine="0" w:firstLineChars="0"/>
              <w:jc w:val="center"/>
              <w:rPr>
                <w:rFonts w:ascii="宋体" w:hAnsi="宋体"/>
                <w:color w:val="auto"/>
                <w:szCs w:val="21"/>
                <w:highlight w:val="none"/>
              </w:rPr>
            </w:pPr>
            <w:r>
              <w:rPr>
                <w:rFonts w:hint="eastAsia" w:ascii="宋体" w:hAnsi="宋体"/>
                <w:color w:val="auto"/>
                <w:szCs w:val="21"/>
                <w:highlight w:val="none"/>
              </w:rPr>
              <w:t>姬爱国</w:t>
            </w:r>
          </w:p>
        </w:tc>
        <w:tc>
          <w:tcPr>
            <w:tcW w:w="308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晋城市泽锦生物科技有限公司</w:t>
            </w:r>
          </w:p>
        </w:tc>
        <w:tc>
          <w:tcPr>
            <w:tcW w:w="2641"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微生物肥料配方</w:t>
            </w:r>
          </w:p>
          <w:p>
            <w:pPr>
              <w:spacing w:line="440" w:lineRule="exact"/>
              <w:jc w:val="center"/>
              <w:rPr>
                <w:rFonts w:ascii="宋体" w:hAnsi="宋体"/>
                <w:color w:val="auto"/>
                <w:szCs w:val="21"/>
                <w:highlight w:val="none"/>
              </w:rPr>
            </w:pPr>
            <w:r>
              <w:rPr>
                <w:rFonts w:hint="eastAsia" w:ascii="宋体" w:hAnsi="宋体"/>
                <w:color w:val="auto"/>
                <w:szCs w:val="21"/>
                <w:highlight w:val="none"/>
              </w:rPr>
              <w:t>及养分分析</w:t>
            </w:r>
          </w:p>
        </w:tc>
        <w:tc>
          <w:tcPr>
            <w:tcW w:w="84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3</w:t>
            </w:r>
          </w:p>
        </w:tc>
        <w:tc>
          <w:tcPr>
            <w:tcW w:w="1107" w:type="dxa"/>
            <w:tcBorders>
              <w:top w:val="single" w:color="auto" w:sz="4" w:space="0"/>
              <w:left w:val="single" w:color="auto" w:sz="4" w:space="0"/>
              <w:bottom w:val="single" w:color="auto" w:sz="4" w:space="0"/>
              <w:right w:val="single" w:color="auto" w:sz="4" w:space="0"/>
            </w:tcBorders>
            <w:noWrap/>
            <w:vAlign w:val="center"/>
          </w:tcPr>
          <w:p>
            <w:pPr>
              <w:pStyle w:val="23"/>
              <w:spacing w:line="300" w:lineRule="exact"/>
              <w:ind w:firstLine="0" w:firstLineChars="0"/>
              <w:jc w:val="center"/>
              <w:rPr>
                <w:rFonts w:ascii="宋体" w:hAnsi="宋体"/>
                <w:color w:val="auto"/>
                <w:szCs w:val="21"/>
                <w:highlight w:val="none"/>
              </w:rPr>
            </w:pPr>
            <w:r>
              <w:rPr>
                <w:rFonts w:hint="eastAsia" w:ascii="宋体" w:hAnsi="宋体"/>
                <w:color w:val="auto"/>
                <w:kern w:val="0"/>
                <w:szCs w:val="21"/>
                <w:highlight w:val="none"/>
              </w:rPr>
              <w:t>牛学丽</w:t>
            </w:r>
          </w:p>
        </w:tc>
        <w:tc>
          <w:tcPr>
            <w:tcW w:w="308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晋城兰花阳化分公司</w:t>
            </w:r>
          </w:p>
        </w:tc>
        <w:tc>
          <w:tcPr>
            <w:tcW w:w="2641"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无机及有机化工</w:t>
            </w:r>
          </w:p>
        </w:tc>
        <w:tc>
          <w:tcPr>
            <w:tcW w:w="84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5</w:t>
            </w:r>
          </w:p>
        </w:tc>
        <w:tc>
          <w:tcPr>
            <w:tcW w:w="1107" w:type="dxa"/>
            <w:tcBorders>
              <w:top w:val="single" w:color="auto" w:sz="4" w:space="0"/>
              <w:left w:val="single" w:color="auto" w:sz="4" w:space="0"/>
              <w:bottom w:val="single" w:color="auto" w:sz="4" w:space="0"/>
              <w:right w:val="single" w:color="auto" w:sz="4" w:space="0"/>
            </w:tcBorders>
            <w:noWrap/>
            <w:vAlign w:val="center"/>
          </w:tcPr>
          <w:p>
            <w:pPr>
              <w:pStyle w:val="23"/>
              <w:spacing w:line="300" w:lineRule="exact"/>
              <w:ind w:firstLine="0" w:firstLineChars="0"/>
              <w:jc w:val="center"/>
              <w:rPr>
                <w:rFonts w:ascii="宋体" w:hAnsi="宋体"/>
                <w:color w:val="auto"/>
                <w:szCs w:val="21"/>
                <w:highlight w:val="none"/>
              </w:rPr>
            </w:pPr>
            <w:r>
              <w:rPr>
                <w:rFonts w:hint="eastAsia" w:ascii="宋体" w:hAnsi="宋体"/>
                <w:color w:val="auto"/>
                <w:kern w:val="0"/>
                <w:szCs w:val="21"/>
                <w:highlight w:val="none"/>
              </w:rPr>
              <w:t>苗海霞</w:t>
            </w:r>
          </w:p>
        </w:tc>
        <w:tc>
          <w:tcPr>
            <w:tcW w:w="308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晋城兰花集团</w:t>
            </w:r>
          </w:p>
        </w:tc>
        <w:tc>
          <w:tcPr>
            <w:tcW w:w="2641"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化工单元操作</w:t>
            </w:r>
          </w:p>
        </w:tc>
        <w:tc>
          <w:tcPr>
            <w:tcW w:w="84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6</w:t>
            </w:r>
          </w:p>
        </w:tc>
        <w:tc>
          <w:tcPr>
            <w:tcW w:w="1107" w:type="dxa"/>
            <w:tcBorders>
              <w:top w:val="single" w:color="auto" w:sz="4" w:space="0"/>
              <w:left w:val="single" w:color="auto" w:sz="4" w:space="0"/>
              <w:bottom w:val="single" w:color="auto" w:sz="4" w:space="0"/>
              <w:right w:val="single" w:color="auto" w:sz="4" w:space="0"/>
            </w:tcBorders>
            <w:noWrap/>
            <w:vAlign w:val="center"/>
          </w:tcPr>
          <w:p>
            <w:pPr>
              <w:pStyle w:val="23"/>
              <w:spacing w:line="300" w:lineRule="exact"/>
              <w:ind w:firstLine="0" w:firstLineChars="0"/>
              <w:jc w:val="center"/>
              <w:rPr>
                <w:rFonts w:ascii="宋体" w:hAnsi="宋体"/>
                <w:color w:val="auto"/>
                <w:szCs w:val="21"/>
                <w:highlight w:val="none"/>
              </w:rPr>
            </w:pPr>
            <w:r>
              <w:rPr>
                <w:rFonts w:hint="eastAsia" w:ascii="宋体" w:hAnsi="宋体"/>
                <w:color w:val="auto"/>
                <w:kern w:val="0"/>
                <w:szCs w:val="21"/>
                <w:highlight w:val="none"/>
              </w:rPr>
              <w:t>李沁军</w:t>
            </w:r>
          </w:p>
        </w:tc>
        <w:tc>
          <w:tcPr>
            <w:tcW w:w="308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晋城化肥股份有限公司</w:t>
            </w:r>
          </w:p>
        </w:tc>
        <w:tc>
          <w:tcPr>
            <w:tcW w:w="2641"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化工仪器仪表使用</w:t>
            </w:r>
          </w:p>
        </w:tc>
        <w:tc>
          <w:tcPr>
            <w:tcW w:w="84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p>
        </w:tc>
      </w:tr>
    </w:tbl>
    <w:p>
      <w:pPr>
        <w:spacing w:line="440" w:lineRule="exact"/>
        <w:rPr>
          <w:rFonts w:ascii="仿宋_GB2312" w:hAnsi="仿宋_GB2312" w:eastAsia="仿宋_GB2312"/>
          <w:b/>
          <w:bCs/>
          <w:color w:val="auto"/>
          <w:szCs w:val="21"/>
          <w:highlight w:val="none"/>
        </w:rPr>
      </w:pPr>
    </w:p>
    <w:p>
      <w:pPr>
        <w:pStyle w:val="4"/>
        <w:spacing w:before="0" w:after="0" w:line="360" w:lineRule="auto"/>
        <w:ind w:firstLine="300" w:firstLineChars="100"/>
        <w:rPr>
          <w:rFonts w:hint="eastAsia" w:ascii="黑体" w:hAnsi="黑体" w:eastAsia="黑体" w:cs="黑体"/>
          <w:b w:val="0"/>
          <w:bCs/>
          <w:color w:val="auto"/>
          <w:kern w:val="2"/>
          <w:sz w:val="30"/>
          <w:szCs w:val="30"/>
          <w:highlight w:val="none"/>
          <w:lang w:val="en-US" w:eastAsia="zh-CN" w:bidi="ar-SA"/>
        </w:rPr>
      </w:pPr>
      <w:bookmarkStart w:id="123" w:name="_Toc15014"/>
      <w:bookmarkStart w:id="124" w:name="_Toc28402"/>
      <w:bookmarkStart w:id="125" w:name="_Toc7670"/>
      <w:bookmarkStart w:id="126" w:name="_Toc16247"/>
      <w:r>
        <w:rPr>
          <w:rFonts w:hint="eastAsia" w:ascii="黑体" w:hAnsi="黑体" w:eastAsia="黑体" w:cs="黑体"/>
          <w:b w:val="0"/>
          <w:bCs/>
          <w:color w:val="auto"/>
          <w:kern w:val="2"/>
          <w:sz w:val="30"/>
          <w:szCs w:val="30"/>
          <w:highlight w:val="none"/>
          <w:lang w:val="en-US" w:eastAsia="zh-CN" w:bidi="ar-SA"/>
        </w:rPr>
        <w:t>（三）培养培训</w:t>
      </w:r>
      <w:bookmarkEnd w:id="123"/>
      <w:bookmarkEnd w:id="124"/>
      <w:bookmarkEnd w:id="125"/>
      <w:bookmarkEnd w:id="126"/>
    </w:p>
    <w:p>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本系目前已经制定了完善的专业教师到对口企事业单位定期实践、校企研讨和实践经验交流制度；建立了相对完善教师继续教育考核制度和政策。</w:t>
      </w:r>
    </w:p>
    <w:p>
      <w:pPr>
        <w:spacing w:line="440" w:lineRule="exact"/>
        <w:ind w:firstLine="480" w:firstLineChars="200"/>
        <w:jc w:val="center"/>
        <w:rPr>
          <w:rFonts w:ascii="宋体" w:hAnsi="宋体"/>
          <w:bCs/>
          <w:color w:val="auto"/>
          <w:sz w:val="24"/>
          <w:highlight w:val="none"/>
        </w:rPr>
      </w:pPr>
      <w:r>
        <w:rPr>
          <w:rFonts w:hint="eastAsia" w:ascii="宋体" w:hAnsi="宋体"/>
          <w:bCs/>
          <w:color w:val="auto"/>
          <w:sz w:val="24"/>
          <w:highlight w:val="none"/>
        </w:rPr>
        <w:t>表5.7 煤化工技术专业教师培训情况一览表</w:t>
      </w:r>
    </w:p>
    <w:tbl>
      <w:tblPr>
        <w:tblStyle w:val="1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
        <w:gridCol w:w="1772"/>
        <w:gridCol w:w="1047"/>
        <w:gridCol w:w="3007"/>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姓名</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培训类别</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培训</w:t>
            </w:r>
          </w:p>
          <w:p>
            <w:pPr>
              <w:spacing w:line="440" w:lineRule="exact"/>
              <w:jc w:val="center"/>
              <w:rPr>
                <w:rFonts w:ascii="宋体" w:hAnsi="宋体"/>
                <w:color w:val="auto"/>
                <w:szCs w:val="21"/>
                <w:highlight w:val="none"/>
              </w:rPr>
            </w:pPr>
            <w:r>
              <w:rPr>
                <w:rFonts w:hint="eastAsia" w:ascii="宋体" w:hAnsi="宋体"/>
                <w:color w:val="auto"/>
                <w:szCs w:val="21"/>
                <w:highlight w:val="none"/>
              </w:rPr>
              <w:t>时间</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培训单位</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宋体" w:hAnsi="宋体"/>
                <w:color w:val="auto"/>
                <w:szCs w:val="21"/>
                <w:highlight w:val="none"/>
              </w:rPr>
            </w:pPr>
            <w:r>
              <w:rPr>
                <w:rFonts w:hint="eastAsia" w:ascii="宋体" w:hAnsi="宋体"/>
                <w:color w:val="auto"/>
                <w:szCs w:val="21"/>
                <w:highlight w:val="none"/>
              </w:rPr>
              <w:t>苗海霞</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宋体" w:hAnsi="宋体"/>
                <w:color w:val="auto"/>
                <w:szCs w:val="21"/>
                <w:highlight w:val="none"/>
              </w:rPr>
            </w:pPr>
            <w:r>
              <w:rPr>
                <w:rFonts w:hint="eastAsia" w:ascii="宋体" w:hAnsi="宋体"/>
                <w:color w:val="auto"/>
                <w:szCs w:val="21"/>
                <w:highlight w:val="none"/>
              </w:rPr>
              <w:t xml:space="preserve">   进企业实训</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宋体" w:hAnsi="宋体"/>
                <w:color w:val="auto"/>
                <w:szCs w:val="21"/>
                <w:highlight w:val="none"/>
              </w:rPr>
            </w:pPr>
            <w:r>
              <w:rPr>
                <w:rFonts w:hint="eastAsia" w:ascii="宋体" w:hAnsi="宋体"/>
                <w:color w:val="auto"/>
                <w:szCs w:val="21"/>
                <w:highlight w:val="none"/>
              </w:rPr>
              <w:t>2019.8</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ind w:firstLine="840" w:firstLineChars="400"/>
              <w:rPr>
                <w:rFonts w:ascii="宋体" w:hAnsi="宋体"/>
                <w:color w:val="auto"/>
                <w:szCs w:val="21"/>
                <w:highlight w:val="none"/>
              </w:rPr>
            </w:pPr>
            <w:r>
              <w:rPr>
                <w:rFonts w:hint="eastAsia" w:ascii="宋体" w:hAnsi="宋体"/>
                <w:color w:val="auto"/>
                <w:szCs w:val="21"/>
                <w:highlight w:val="none"/>
              </w:rPr>
              <w:t>中国化工教育协会</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ind w:firstLine="210" w:firstLineChars="100"/>
              <w:rPr>
                <w:rFonts w:ascii="宋体" w:hAnsi="宋体"/>
                <w:color w:val="auto"/>
                <w:szCs w:val="21"/>
                <w:highlight w:val="none"/>
              </w:rPr>
            </w:pPr>
            <w:r>
              <w:rPr>
                <w:rFonts w:hint="eastAsia" w:ascii="宋体" w:hAnsi="宋体"/>
                <w:color w:val="auto"/>
                <w:szCs w:val="21"/>
                <w:highlight w:val="none"/>
              </w:rPr>
              <w:t>实践培训证书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吉晋兰</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进企业实训</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2019.8</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shd w:val="clear" w:color="auto" w:fill="FFFFFF"/>
              </w:rPr>
            </w:pPr>
            <w:r>
              <w:rPr>
                <w:rFonts w:hint="eastAsia" w:ascii="宋体" w:hAnsi="宋体"/>
                <w:color w:val="auto"/>
                <w:szCs w:val="21"/>
                <w:highlight w:val="none"/>
              </w:rPr>
              <w:t>中国化工协会</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实践培训证书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杨艳梅</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进企业实训</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2019.8</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shd w:val="clear" w:color="auto" w:fill="FFFFFF"/>
              </w:rPr>
            </w:pPr>
            <w:r>
              <w:rPr>
                <w:rFonts w:hint="eastAsia" w:ascii="宋体" w:hAnsi="宋体"/>
                <w:color w:val="auto"/>
                <w:szCs w:val="21"/>
                <w:highlight w:val="none"/>
              </w:rPr>
              <w:t>中国化工协会</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实践培训证书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毛倩</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进企业实训</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2019.8</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shd w:val="clear" w:color="auto" w:fill="FFFFFF"/>
              </w:rPr>
            </w:pPr>
            <w:r>
              <w:rPr>
                <w:rFonts w:hint="eastAsia" w:ascii="宋体" w:hAnsi="宋体"/>
                <w:color w:val="auto"/>
                <w:szCs w:val="21"/>
                <w:highlight w:val="none"/>
              </w:rPr>
              <w:t>中国化工协会</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实践培训证书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席琦</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教学能力培训</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2019.7</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shd w:val="clear" w:color="auto" w:fill="FFFFFF"/>
              </w:rPr>
            </w:pPr>
            <w:r>
              <w:rPr>
                <w:rFonts w:hint="eastAsia" w:ascii="宋体" w:hAnsi="宋体"/>
                <w:color w:val="auto"/>
                <w:szCs w:val="21"/>
                <w:highlight w:val="none"/>
                <w:shd w:val="clear" w:color="auto" w:fill="FFFFFF"/>
              </w:rPr>
              <w:t>全国高职高专教育现代教育技术培训基地</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培训证书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陈香</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教学能力培训</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2019.7</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shd w:val="clear" w:color="auto" w:fill="FFFFFF"/>
              </w:rPr>
            </w:pPr>
            <w:r>
              <w:rPr>
                <w:rFonts w:hint="eastAsia" w:ascii="宋体" w:hAnsi="宋体"/>
                <w:color w:val="auto"/>
                <w:szCs w:val="21"/>
                <w:highlight w:val="none"/>
                <w:shd w:val="clear" w:color="auto" w:fill="FFFFFF"/>
              </w:rPr>
              <w:t>全国高职高专教育现代教育技术培训基地</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培训证书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张丽娜</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教学能力培训</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2019.8</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shd w:val="clear" w:color="auto" w:fill="FFFFFF"/>
              </w:rPr>
            </w:pPr>
            <w:r>
              <w:rPr>
                <w:rFonts w:hint="eastAsia" w:ascii="宋体" w:hAnsi="宋体"/>
                <w:color w:val="auto"/>
                <w:szCs w:val="21"/>
                <w:highlight w:val="none"/>
                <w:shd w:val="clear" w:color="auto" w:fill="FFFFFF"/>
              </w:rPr>
              <w:t>全国高职高专教育现代教育技术培训基地</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培训证书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张丽娜</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化工总控工技能</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2012.7</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shd w:val="clear" w:color="auto" w:fill="FFFFFF"/>
              </w:rPr>
            </w:pPr>
            <w:r>
              <w:rPr>
                <w:rFonts w:hint="eastAsia" w:ascii="宋体" w:hAnsi="宋体"/>
                <w:color w:val="auto"/>
                <w:szCs w:val="21"/>
                <w:highlight w:val="none"/>
                <w:shd w:val="clear" w:color="auto" w:fill="FFFFFF"/>
              </w:rPr>
              <w:t>中国化工教育协会</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化工总控工二级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耿长青</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化工总控工技能</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2012.7</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shd w:val="clear" w:color="auto" w:fill="FFFFFF"/>
              </w:rPr>
              <w:t>中国化工教育协会</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化工总控工二级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杜爱国</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化工总控工技能</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2012.7</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shd w:val="clear" w:color="auto" w:fill="FFFFFF"/>
              </w:rPr>
              <w:t>中国化工教育协会</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化工总控工二级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李晋国</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化工总控工技能</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2012.7</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shd w:val="clear" w:color="auto" w:fill="FFFFFF"/>
              </w:rPr>
              <w:t>中国化工教育协会</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化工总控工二级</w:t>
            </w:r>
          </w:p>
        </w:tc>
      </w:tr>
    </w:tbl>
    <w:p>
      <w:pPr>
        <w:pStyle w:val="4"/>
        <w:spacing w:before="0" w:after="0" w:line="360" w:lineRule="auto"/>
        <w:ind w:firstLine="300" w:firstLineChars="100"/>
        <w:rPr>
          <w:rFonts w:hint="eastAsia" w:ascii="黑体" w:hAnsi="黑体" w:eastAsia="黑体" w:cs="黑体"/>
          <w:b w:val="0"/>
          <w:bCs/>
          <w:color w:val="auto"/>
          <w:kern w:val="2"/>
          <w:sz w:val="30"/>
          <w:szCs w:val="30"/>
          <w:highlight w:val="none"/>
          <w:lang w:val="en-US" w:eastAsia="zh-CN" w:bidi="ar-SA"/>
        </w:rPr>
      </w:pPr>
      <w:bookmarkStart w:id="127" w:name="_Toc6610"/>
      <w:bookmarkStart w:id="128" w:name="_Toc20621"/>
      <w:bookmarkStart w:id="129" w:name="_Toc713"/>
      <w:bookmarkStart w:id="130" w:name="_Toc25813"/>
      <w:r>
        <w:rPr>
          <w:rFonts w:hint="eastAsia" w:ascii="黑体" w:hAnsi="黑体" w:eastAsia="黑体" w:cs="黑体"/>
          <w:b w:val="0"/>
          <w:bCs/>
          <w:color w:val="auto"/>
          <w:kern w:val="2"/>
          <w:sz w:val="30"/>
          <w:szCs w:val="30"/>
          <w:highlight w:val="none"/>
          <w:lang w:val="en-US" w:eastAsia="zh-CN" w:bidi="ar-SA"/>
        </w:rPr>
        <w:t>（四）社会服务</w:t>
      </w:r>
      <w:bookmarkEnd w:id="127"/>
      <w:bookmarkEnd w:id="128"/>
      <w:bookmarkEnd w:id="129"/>
      <w:bookmarkEnd w:id="130"/>
    </w:p>
    <w:p>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本系已建立专业教师密切联系行业、企业的制度，引导和激励教师主动为行业、企业和社会服务；近3年教师开展社会培训工作456人次；技术咨询、技术服务效果好。</w:t>
      </w:r>
    </w:p>
    <w:p>
      <w:pPr>
        <w:spacing w:line="440" w:lineRule="exact"/>
        <w:ind w:firstLine="480" w:firstLineChars="200"/>
        <w:jc w:val="center"/>
        <w:rPr>
          <w:rFonts w:ascii="宋体" w:hAnsi="宋体"/>
          <w:bCs/>
          <w:color w:val="auto"/>
          <w:sz w:val="24"/>
          <w:highlight w:val="none"/>
        </w:rPr>
      </w:pPr>
      <w:r>
        <w:rPr>
          <w:rFonts w:hint="eastAsia" w:ascii="宋体" w:hAnsi="宋体"/>
          <w:bCs/>
          <w:color w:val="auto"/>
          <w:sz w:val="24"/>
          <w:highlight w:val="none"/>
        </w:rPr>
        <w:t>表5.8  专业教师开展社会培训情况一览表</w:t>
      </w:r>
    </w:p>
    <w:tbl>
      <w:tblPr>
        <w:tblStyle w:val="1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8"/>
        <w:gridCol w:w="2557"/>
        <w:gridCol w:w="1788"/>
        <w:gridCol w:w="1672"/>
        <w:gridCol w:w="1105"/>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序号</w:t>
            </w:r>
          </w:p>
        </w:tc>
        <w:tc>
          <w:tcPr>
            <w:tcW w:w="255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培训企业</w:t>
            </w:r>
          </w:p>
        </w:tc>
        <w:tc>
          <w:tcPr>
            <w:tcW w:w="178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培训内容</w:t>
            </w:r>
          </w:p>
        </w:tc>
        <w:tc>
          <w:tcPr>
            <w:tcW w:w="16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培训时间</w:t>
            </w:r>
          </w:p>
        </w:tc>
        <w:tc>
          <w:tcPr>
            <w:tcW w:w="110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被培养</w:t>
            </w:r>
          </w:p>
          <w:p>
            <w:pPr>
              <w:spacing w:line="440" w:lineRule="exact"/>
              <w:jc w:val="center"/>
              <w:rPr>
                <w:rFonts w:ascii="宋体" w:hAnsi="宋体"/>
                <w:color w:val="auto"/>
                <w:szCs w:val="21"/>
                <w:highlight w:val="none"/>
              </w:rPr>
            </w:pPr>
            <w:r>
              <w:rPr>
                <w:rFonts w:hint="eastAsia" w:ascii="宋体" w:hAnsi="宋体"/>
                <w:color w:val="auto"/>
                <w:szCs w:val="21"/>
                <w:highlight w:val="none"/>
              </w:rPr>
              <w:t>人次</w:t>
            </w:r>
          </w:p>
        </w:tc>
        <w:tc>
          <w:tcPr>
            <w:tcW w:w="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1</w:t>
            </w:r>
          </w:p>
        </w:tc>
        <w:tc>
          <w:tcPr>
            <w:tcW w:w="2557" w:type="dxa"/>
            <w:tcBorders>
              <w:top w:val="single" w:color="auto" w:sz="4" w:space="0"/>
              <w:left w:val="single" w:color="auto" w:sz="4" w:space="0"/>
              <w:bottom w:val="single" w:color="auto" w:sz="4" w:space="0"/>
              <w:right w:val="single" w:color="auto" w:sz="4" w:space="0"/>
            </w:tcBorders>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晋城市生态环境局泽州分局</w:t>
            </w:r>
          </w:p>
        </w:tc>
        <w:tc>
          <w:tcPr>
            <w:tcW w:w="178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生态环境应急</w:t>
            </w:r>
          </w:p>
        </w:tc>
        <w:tc>
          <w:tcPr>
            <w:tcW w:w="16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2019.7</w:t>
            </w:r>
          </w:p>
        </w:tc>
        <w:tc>
          <w:tcPr>
            <w:tcW w:w="110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76</w:t>
            </w:r>
          </w:p>
        </w:tc>
        <w:tc>
          <w:tcPr>
            <w:tcW w:w="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2</w:t>
            </w:r>
          </w:p>
        </w:tc>
        <w:tc>
          <w:tcPr>
            <w:tcW w:w="255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晋城市生态环境局开发区分局</w:t>
            </w:r>
          </w:p>
        </w:tc>
        <w:tc>
          <w:tcPr>
            <w:tcW w:w="178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生态环境应急</w:t>
            </w:r>
          </w:p>
        </w:tc>
        <w:tc>
          <w:tcPr>
            <w:tcW w:w="16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2019.7</w:t>
            </w:r>
          </w:p>
        </w:tc>
        <w:tc>
          <w:tcPr>
            <w:tcW w:w="110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43</w:t>
            </w:r>
          </w:p>
        </w:tc>
        <w:tc>
          <w:tcPr>
            <w:tcW w:w="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3</w:t>
            </w:r>
          </w:p>
        </w:tc>
        <w:tc>
          <w:tcPr>
            <w:tcW w:w="2557" w:type="dxa"/>
            <w:tcBorders>
              <w:top w:val="single" w:color="auto" w:sz="4" w:space="0"/>
              <w:left w:val="single" w:color="auto" w:sz="4" w:space="0"/>
              <w:bottom w:val="single" w:color="auto" w:sz="4" w:space="0"/>
              <w:right w:val="single" w:color="auto" w:sz="4" w:space="0"/>
            </w:tcBorders>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山东威高集团</w:t>
            </w:r>
          </w:p>
        </w:tc>
        <w:tc>
          <w:tcPr>
            <w:tcW w:w="178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化工安全</w:t>
            </w:r>
          </w:p>
        </w:tc>
        <w:tc>
          <w:tcPr>
            <w:tcW w:w="16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2017.8</w:t>
            </w:r>
          </w:p>
        </w:tc>
        <w:tc>
          <w:tcPr>
            <w:tcW w:w="110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103</w:t>
            </w:r>
          </w:p>
        </w:tc>
        <w:tc>
          <w:tcPr>
            <w:tcW w:w="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4</w:t>
            </w:r>
          </w:p>
        </w:tc>
        <w:tc>
          <w:tcPr>
            <w:tcW w:w="255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江苏恒盛化工有限公司</w:t>
            </w:r>
          </w:p>
        </w:tc>
        <w:tc>
          <w:tcPr>
            <w:tcW w:w="178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化工安全</w:t>
            </w:r>
          </w:p>
        </w:tc>
        <w:tc>
          <w:tcPr>
            <w:tcW w:w="16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2016.7</w:t>
            </w:r>
          </w:p>
        </w:tc>
        <w:tc>
          <w:tcPr>
            <w:tcW w:w="110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234</w:t>
            </w:r>
          </w:p>
        </w:tc>
        <w:tc>
          <w:tcPr>
            <w:tcW w:w="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color w:val="auto"/>
                <w:szCs w:val="21"/>
                <w:highlight w:val="none"/>
              </w:rPr>
            </w:pPr>
          </w:p>
        </w:tc>
      </w:tr>
    </w:tbl>
    <w:p>
      <w:pPr>
        <w:spacing w:line="440" w:lineRule="exact"/>
        <w:rPr>
          <w:rFonts w:ascii="宋体" w:hAnsi="宋体"/>
          <w:color w:val="auto"/>
          <w:sz w:val="24"/>
          <w:highlight w:val="none"/>
        </w:rPr>
      </w:pPr>
    </w:p>
    <w:p>
      <w:pPr>
        <w:pStyle w:val="3"/>
        <w:snapToGrid w:val="0"/>
        <w:spacing w:before="0" w:after="0" w:line="360" w:lineRule="auto"/>
        <w:ind w:firstLine="640" w:firstLineChars="200"/>
        <w:rPr>
          <w:b w:val="0"/>
          <w:bCs/>
          <w:color w:val="auto"/>
          <w:highlight w:val="none"/>
        </w:rPr>
      </w:pPr>
      <w:bookmarkStart w:id="131" w:name="_Toc458089353"/>
      <w:bookmarkStart w:id="132" w:name="_Toc458088740"/>
      <w:bookmarkStart w:id="133" w:name="_Toc458088974"/>
      <w:bookmarkStart w:id="134" w:name="_Toc458095098"/>
      <w:bookmarkStart w:id="135" w:name="_Toc3091"/>
      <w:bookmarkStart w:id="136" w:name="_Toc11121"/>
      <w:bookmarkStart w:id="137" w:name="_Toc361942967"/>
      <w:r>
        <w:rPr>
          <w:rFonts w:hint="eastAsia"/>
          <w:b w:val="0"/>
          <w:bCs/>
          <w:color w:val="auto"/>
          <w:highlight w:val="none"/>
        </w:rPr>
        <w:t>三、校企合作，共建校内外实习实训基地措施</w:t>
      </w:r>
      <w:bookmarkEnd w:id="131"/>
      <w:bookmarkEnd w:id="132"/>
      <w:bookmarkEnd w:id="133"/>
      <w:bookmarkEnd w:id="134"/>
      <w:bookmarkEnd w:id="135"/>
      <w:bookmarkEnd w:id="136"/>
      <w:bookmarkEnd w:id="137"/>
    </w:p>
    <w:p>
      <w:pPr>
        <w:pStyle w:val="4"/>
        <w:spacing w:before="0" w:after="0" w:line="360" w:lineRule="auto"/>
        <w:ind w:firstLine="300" w:firstLineChars="100"/>
        <w:rPr>
          <w:rFonts w:hint="eastAsia" w:ascii="黑体" w:hAnsi="黑体" w:eastAsia="黑体" w:cs="黑体"/>
          <w:b w:val="0"/>
          <w:bCs/>
          <w:color w:val="auto"/>
          <w:kern w:val="2"/>
          <w:sz w:val="30"/>
          <w:szCs w:val="30"/>
          <w:highlight w:val="none"/>
          <w:lang w:val="en-US" w:eastAsia="zh-CN" w:bidi="ar-SA"/>
        </w:rPr>
      </w:pPr>
      <w:bookmarkStart w:id="138" w:name="_Toc28215"/>
      <w:r>
        <w:rPr>
          <w:rFonts w:hint="eastAsia" w:ascii="黑体" w:hAnsi="黑体" w:eastAsia="黑体" w:cs="黑体"/>
          <w:b w:val="0"/>
          <w:bCs/>
          <w:color w:val="auto"/>
          <w:kern w:val="2"/>
          <w:sz w:val="30"/>
          <w:szCs w:val="30"/>
          <w:highlight w:val="none"/>
          <w:lang w:val="en-US" w:eastAsia="zh-CN" w:bidi="ar-SA"/>
        </w:rPr>
        <w:t>（一）校内实践教学条件</w:t>
      </w:r>
      <w:bookmarkEnd w:id="138"/>
    </w:p>
    <w:p>
      <w:pPr>
        <w:spacing w:line="440" w:lineRule="exact"/>
        <w:ind w:firstLine="480" w:firstLineChars="200"/>
        <w:rPr>
          <w:rFonts w:ascii="宋体" w:hAnsi="宋体"/>
          <w:color w:val="auto"/>
          <w:sz w:val="24"/>
          <w:highlight w:val="none"/>
        </w:rPr>
      </w:pPr>
      <w:r>
        <w:rPr>
          <w:rFonts w:hint="eastAsia" w:ascii="宋体" w:hAnsi="宋体"/>
          <w:color w:val="auto"/>
          <w:sz w:val="24"/>
          <w:highlight w:val="none"/>
        </w:rPr>
        <w:t>煤化工生产技术专业通过校企联合方式共同创建具有真实的岗位训练、具有职场氛围、具有企业文化，以及设备先进、软硬件配套的校内实训基地，现有化工单元实训室、煤化工生产综合实训室、煤质分析室、合成氨仿真实训室等实训室八个，设备仪器总价值500余万元，远远高于理工农医类生均教学科研仪器设备值≥5000元的标准要求。</w:t>
      </w:r>
      <w:r>
        <w:rPr>
          <w:rFonts w:ascii="宋体" w:hAnsi="宋体"/>
          <w:color w:val="auto"/>
          <w:sz w:val="24"/>
          <w:highlight w:val="none"/>
        </w:rPr>
        <w:t>校内实验实训条件为本专业所开设的理实一体化教学、岗位专项技能实训、工种考核等教学提供了保证。</w:t>
      </w:r>
      <w:r>
        <w:rPr>
          <w:rFonts w:hint="eastAsia" w:ascii="宋体" w:hAnsi="宋体"/>
          <w:color w:val="auto"/>
          <w:sz w:val="24"/>
          <w:highlight w:val="none"/>
        </w:rPr>
        <w:t xml:space="preserve">同时与行业、企业密切合作开发实验实训项目，这些实训项目的开设与企业实际、行业发展相适应，完全能满足高端技能型人才培养的工作。 </w:t>
      </w:r>
    </w:p>
    <w:p>
      <w:pPr>
        <w:spacing w:line="360" w:lineRule="auto"/>
        <w:jc w:val="center"/>
        <w:rPr>
          <w:rFonts w:ascii="宋体" w:hAnsi="宋体"/>
          <w:bCs/>
          <w:color w:val="auto"/>
          <w:sz w:val="24"/>
          <w:highlight w:val="none"/>
        </w:rPr>
      </w:pPr>
      <w:r>
        <w:rPr>
          <w:rFonts w:hint="eastAsia" w:ascii="宋体" w:hAnsi="宋体"/>
          <w:bCs/>
          <w:color w:val="auto"/>
          <w:sz w:val="24"/>
          <w:highlight w:val="none"/>
        </w:rPr>
        <w:t>表5.9 校内实习基地情况</w:t>
      </w:r>
    </w:p>
    <w:tbl>
      <w:tblPr>
        <w:tblStyle w:val="14"/>
        <w:tblpPr w:leftFromText="180" w:rightFromText="180" w:vertAnchor="text" w:horzAnchor="page" w:tblpX="1807" w:tblpY="312"/>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2596"/>
        <w:gridCol w:w="5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723" w:type="dxa"/>
            <w:noWrap/>
            <w:vAlign w:val="center"/>
          </w:tcPr>
          <w:p>
            <w:pPr>
              <w:jc w:val="center"/>
              <w:rPr>
                <w:rFonts w:ascii="宋体" w:hAnsi="宋体"/>
                <w:bCs/>
                <w:color w:val="auto"/>
                <w:szCs w:val="21"/>
                <w:highlight w:val="none"/>
              </w:rPr>
            </w:pPr>
            <w:r>
              <w:rPr>
                <w:rFonts w:hint="eastAsia" w:ascii="宋体" w:hAnsi="宋体"/>
                <w:bCs/>
                <w:color w:val="auto"/>
                <w:szCs w:val="21"/>
                <w:highlight w:val="none"/>
              </w:rPr>
              <w:t>序号</w:t>
            </w:r>
          </w:p>
        </w:tc>
        <w:tc>
          <w:tcPr>
            <w:tcW w:w="2596" w:type="dxa"/>
            <w:noWrap/>
            <w:vAlign w:val="center"/>
          </w:tcPr>
          <w:p>
            <w:pPr>
              <w:jc w:val="center"/>
              <w:rPr>
                <w:rFonts w:ascii="宋体" w:hAnsi="宋体"/>
                <w:bCs/>
                <w:color w:val="auto"/>
                <w:szCs w:val="21"/>
                <w:highlight w:val="none"/>
              </w:rPr>
            </w:pPr>
            <w:r>
              <w:rPr>
                <w:rFonts w:hint="eastAsia" w:ascii="宋体" w:hAnsi="宋体"/>
                <w:bCs/>
                <w:color w:val="auto"/>
                <w:szCs w:val="21"/>
                <w:highlight w:val="none"/>
              </w:rPr>
              <w:t>实验实训室名称</w:t>
            </w:r>
          </w:p>
        </w:tc>
        <w:tc>
          <w:tcPr>
            <w:tcW w:w="5203" w:type="dxa"/>
            <w:noWrap/>
            <w:vAlign w:val="center"/>
          </w:tcPr>
          <w:p>
            <w:pPr>
              <w:jc w:val="center"/>
              <w:rPr>
                <w:rFonts w:ascii="宋体" w:hAnsi="宋体"/>
                <w:bCs/>
                <w:color w:val="auto"/>
                <w:szCs w:val="21"/>
                <w:highlight w:val="none"/>
              </w:rPr>
            </w:pPr>
            <w:r>
              <w:rPr>
                <w:rFonts w:hint="eastAsia" w:ascii="宋体" w:hAnsi="宋体"/>
                <w:bCs/>
                <w:color w:val="auto"/>
                <w:szCs w:val="21"/>
                <w:highlight w:val="none"/>
              </w:rPr>
              <w:t>主要实训项目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723" w:type="dxa"/>
            <w:noWrap/>
            <w:vAlign w:val="center"/>
          </w:tcPr>
          <w:p>
            <w:pPr>
              <w:jc w:val="center"/>
              <w:rPr>
                <w:rFonts w:ascii="宋体" w:hAnsi="宋体"/>
                <w:color w:val="auto"/>
                <w:szCs w:val="21"/>
                <w:highlight w:val="none"/>
              </w:rPr>
            </w:pPr>
            <w:r>
              <w:rPr>
                <w:rFonts w:hint="eastAsia" w:ascii="宋体" w:hAnsi="宋体"/>
                <w:color w:val="auto"/>
                <w:szCs w:val="21"/>
                <w:highlight w:val="none"/>
              </w:rPr>
              <w:t>1</w:t>
            </w:r>
          </w:p>
        </w:tc>
        <w:tc>
          <w:tcPr>
            <w:tcW w:w="2596" w:type="dxa"/>
            <w:noWrap/>
            <w:vAlign w:val="center"/>
          </w:tcPr>
          <w:p>
            <w:pPr>
              <w:jc w:val="left"/>
              <w:rPr>
                <w:rFonts w:ascii="宋体" w:hAnsi="宋体"/>
                <w:color w:val="auto"/>
                <w:szCs w:val="21"/>
                <w:highlight w:val="none"/>
              </w:rPr>
            </w:pPr>
            <w:r>
              <w:rPr>
                <w:rFonts w:hint="eastAsia" w:ascii="宋体" w:hAnsi="宋体"/>
                <w:color w:val="auto"/>
                <w:szCs w:val="21"/>
                <w:highlight w:val="none"/>
              </w:rPr>
              <w:t>化工单元实训室</w:t>
            </w:r>
          </w:p>
        </w:tc>
        <w:tc>
          <w:tcPr>
            <w:tcW w:w="5203" w:type="dxa"/>
            <w:noWrap/>
            <w:vAlign w:val="center"/>
          </w:tcPr>
          <w:p>
            <w:pPr>
              <w:jc w:val="left"/>
              <w:rPr>
                <w:rFonts w:ascii="宋体" w:hAnsi="宋体"/>
                <w:color w:val="auto"/>
                <w:szCs w:val="21"/>
                <w:highlight w:val="none"/>
              </w:rPr>
            </w:pPr>
            <w:r>
              <w:rPr>
                <w:rFonts w:hint="eastAsia" w:ascii="宋体" w:hAnsi="宋体"/>
                <w:color w:val="auto"/>
                <w:szCs w:val="21"/>
                <w:highlight w:val="none"/>
              </w:rPr>
              <w:t>伯努力实训、板式精馏实训，传热实训、填料吸收塔、圆筒式加热炉实训、离心泵实训、固定床反应器实训、釜式反应器实训等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noWrap/>
            <w:vAlign w:val="center"/>
          </w:tcPr>
          <w:p>
            <w:pPr>
              <w:jc w:val="center"/>
              <w:rPr>
                <w:rFonts w:ascii="宋体" w:hAnsi="宋体"/>
                <w:color w:val="auto"/>
                <w:szCs w:val="21"/>
                <w:highlight w:val="none"/>
              </w:rPr>
            </w:pPr>
            <w:r>
              <w:rPr>
                <w:rFonts w:hint="eastAsia" w:ascii="宋体" w:hAnsi="宋体"/>
                <w:color w:val="auto"/>
                <w:szCs w:val="21"/>
                <w:highlight w:val="none"/>
              </w:rPr>
              <w:t>2</w:t>
            </w:r>
          </w:p>
        </w:tc>
        <w:tc>
          <w:tcPr>
            <w:tcW w:w="2596" w:type="dxa"/>
            <w:noWrap/>
            <w:vAlign w:val="center"/>
          </w:tcPr>
          <w:p>
            <w:pPr>
              <w:jc w:val="left"/>
              <w:rPr>
                <w:rFonts w:ascii="宋体" w:hAnsi="宋体"/>
                <w:color w:val="auto"/>
                <w:szCs w:val="21"/>
                <w:highlight w:val="none"/>
              </w:rPr>
            </w:pPr>
            <w:r>
              <w:rPr>
                <w:rFonts w:hint="eastAsia" w:ascii="宋体" w:hAnsi="宋体"/>
                <w:color w:val="auto"/>
                <w:szCs w:val="21"/>
                <w:highlight w:val="none"/>
              </w:rPr>
              <w:t>煤化工生产综合实训室</w:t>
            </w:r>
          </w:p>
        </w:tc>
        <w:tc>
          <w:tcPr>
            <w:tcW w:w="5203" w:type="dxa"/>
            <w:noWrap/>
            <w:vAlign w:val="center"/>
          </w:tcPr>
          <w:p>
            <w:pPr>
              <w:jc w:val="left"/>
              <w:rPr>
                <w:rFonts w:ascii="宋体" w:hAnsi="宋体"/>
                <w:color w:val="auto"/>
                <w:szCs w:val="21"/>
                <w:highlight w:val="none"/>
              </w:rPr>
            </w:pPr>
            <w:r>
              <w:rPr>
                <w:rFonts w:hint="eastAsia" w:ascii="宋体" w:hAnsi="宋体"/>
                <w:color w:val="auto"/>
                <w:szCs w:val="21"/>
                <w:highlight w:val="none"/>
              </w:rPr>
              <w:t>用于原料、中间体、产品的分析检测及质量监控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noWrap/>
            <w:vAlign w:val="center"/>
          </w:tcPr>
          <w:p>
            <w:pPr>
              <w:jc w:val="center"/>
              <w:rPr>
                <w:rFonts w:ascii="宋体" w:hAnsi="宋体"/>
                <w:color w:val="auto"/>
                <w:szCs w:val="21"/>
                <w:highlight w:val="none"/>
              </w:rPr>
            </w:pPr>
            <w:r>
              <w:rPr>
                <w:rFonts w:hint="eastAsia" w:ascii="宋体" w:hAnsi="宋体"/>
                <w:color w:val="auto"/>
                <w:szCs w:val="21"/>
                <w:highlight w:val="none"/>
              </w:rPr>
              <w:t>3</w:t>
            </w:r>
          </w:p>
        </w:tc>
        <w:tc>
          <w:tcPr>
            <w:tcW w:w="2596" w:type="dxa"/>
            <w:noWrap/>
            <w:vAlign w:val="center"/>
          </w:tcPr>
          <w:p>
            <w:pPr>
              <w:jc w:val="left"/>
              <w:rPr>
                <w:rFonts w:ascii="宋体" w:hAnsi="宋体"/>
                <w:color w:val="auto"/>
                <w:szCs w:val="21"/>
                <w:highlight w:val="none"/>
              </w:rPr>
            </w:pPr>
            <w:r>
              <w:rPr>
                <w:rFonts w:hint="eastAsia" w:ascii="宋体" w:hAnsi="宋体"/>
                <w:color w:val="auto"/>
                <w:szCs w:val="21"/>
                <w:highlight w:val="none"/>
              </w:rPr>
              <w:t>食品分析实训室</w:t>
            </w:r>
          </w:p>
        </w:tc>
        <w:tc>
          <w:tcPr>
            <w:tcW w:w="5203" w:type="dxa"/>
            <w:noWrap/>
            <w:vAlign w:val="center"/>
          </w:tcPr>
          <w:p>
            <w:pPr>
              <w:jc w:val="left"/>
              <w:rPr>
                <w:rFonts w:ascii="宋体" w:hAnsi="宋体"/>
                <w:color w:val="auto"/>
                <w:szCs w:val="21"/>
                <w:highlight w:val="none"/>
              </w:rPr>
            </w:pPr>
            <w:r>
              <w:rPr>
                <w:rFonts w:hint="eastAsia" w:ascii="宋体" w:hAnsi="宋体"/>
                <w:color w:val="auto"/>
                <w:szCs w:val="21"/>
                <w:highlight w:val="none"/>
              </w:rPr>
              <w:t>食品中营养成分的测定、食品添加剂的测定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noWrap/>
            <w:vAlign w:val="center"/>
          </w:tcPr>
          <w:p>
            <w:pPr>
              <w:jc w:val="center"/>
              <w:rPr>
                <w:rFonts w:ascii="宋体" w:hAnsi="宋体"/>
                <w:color w:val="auto"/>
                <w:szCs w:val="21"/>
                <w:highlight w:val="none"/>
              </w:rPr>
            </w:pPr>
            <w:r>
              <w:rPr>
                <w:rFonts w:hint="eastAsia" w:ascii="宋体" w:hAnsi="宋体"/>
                <w:color w:val="auto"/>
                <w:szCs w:val="21"/>
                <w:highlight w:val="none"/>
              </w:rPr>
              <w:t>4</w:t>
            </w:r>
          </w:p>
        </w:tc>
        <w:tc>
          <w:tcPr>
            <w:tcW w:w="2596" w:type="dxa"/>
            <w:noWrap/>
            <w:vAlign w:val="center"/>
          </w:tcPr>
          <w:p>
            <w:pPr>
              <w:jc w:val="left"/>
              <w:rPr>
                <w:rFonts w:ascii="宋体" w:hAnsi="宋体"/>
                <w:color w:val="auto"/>
                <w:szCs w:val="21"/>
                <w:highlight w:val="none"/>
              </w:rPr>
            </w:pPr>
            <w:r>
              <w:rPr>
                <w:rFonts w:hint="eastAsia" w:ascii="宋体" w:hAnsi="宋体"/>
                <w:color w:val="auto"/>
                <w:szCs w:val="21"/>
                <w:highlight w:val="none"/>
              </w:rPr>
              <w:t>药物分析实训室</w:t>
            </w:r>
          </w:p>
        </w:tc>
        <w:tc>
          <w:tcPr>
            <w:tcW w:w="5203" w:type="dxa"/>
            <w:noWrap/>
            <w:vAlign w:val="center"/>
          </w:tcPr>
          <w:p>
            <w:pPr>
              <w:jc w:val="left"/>
              <w:rPr>
                <w:rFonts w:ascii="宋体" w:hAnsi="宋体"/>
                <w:color w:val="auto"/>
                <w:szCs w:val="21"/>
                <w:highlight w:val="none"/>
              </w:rPr>
            </w:pPr>
            <w:r>
              <w:rPr>
                <w:rFonts w:hint="eastAsia" w:ascii="宋体" w:hAnsi="宋体"/>
                <w:color w:val="auto"/>
                <w:szCs w:val="21"/>
                <w:highlight w:val="none"/>
              </w:rPr>
              <w:t>药物主要有效成分的分析与检测、有毒成分的检测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noWrap/>
            <w:vAlign w:val="center"/>
          </w:tcPr>
          <w:p>
            <w:pPr>
              <w:jc w:val="center"/>
              <w:rPr>
                <w:rFonts w:ascii="宋体" w:hAnsi="宋体"/>
                <w:color w:val="auto"/>
                <w:szCs w:val="21"/>
                <w:highlight w:val="none"/>
              </w:rPr>
            </w:pPr>
            <w:r>
              <w:rPr>
                <w:rFonts w:hint="eastAsia" w:ascii="宋体" w:hAnsi="宋体"/>
                <w:color w:val="auto"/>
                <w:szCs w:val="21"/>
                <w:highlight w:val="none"/>
              </w:rPr>
              <w:t>5</w:t>
            </w:r>
          </w:p>
        </w:tc>
        <w:tc>
          <w:tcPr>
            <w:tcW w:w="2596" w:type="dxa"/>
            <w:noWrap/>
            <w:vAlign w:val="center"/>
          </w:tcPr>
          <w:p>
            <w:pPr>
              <w:jc w:val="left"/>
              <w:rPr>
                <w:rFonts w:ascii="宋体" w:hAnsi="宋体"/>
                <w:color w:val="auto"/>
                <w:szCs w:val="21"/>
                <w:highlight w:val="none"/>
              </w:rPr>
            </w:pPr>
            <w:r>
              <w:rPr>
                <w:rFonts w:hint="eastAsia" w:ascii="宋体" w:hAnsi="宋体"/>
                <w:color w:val="auto"/>
                <w:szCs w:val="21"/>
                <w:highlight w:val="none"/>
              </w:rPr>
              <w:t>样品处理实训室</w:t>
            </w:r>
          </w:p>
        </w:tc>
        <w:tc>
          <w:tcPr>
            <w:tcW w:w="5203" w:type="dxa"/>
            <w:noWrap/>
            <w:vAlign w:val="center"/>
          </w:tcPr>
          <w:p>
            <w:pPr>
              <w:jc w:val="left"/>
              <w:rPr>
                <w:rFonts w:ascii="宋体" w:hAnsi="宋体"/>
                <w:color w:val="auto"/>
                <w:szCs w:val="21"/>
                <w:highlight w:val="none"/>
              </w:rPr>
            </w:pPr>
            <w:r>
              <w:rPr>
                <w:rFonts w:hint="eastAsia" w:ascii="宋体" w:hAnsi="宋体"/>
                <w:color w:val="auto"/>
                <w:szCs w:val="21"/>
                <w:highlight w:val="none"/>
              </w:rPr>
              <w:t>实训采样及样品处理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noWrap/>
            <w:vAlign w:val="center"/>
          </w:tcPr>
          <w:p>
            <w:pPr>
              <w:jc w:val="center"/>
              <w:rPr>
                <w:rFonts w:ascii="宋体" w:hAnsi="宋体"/>
                <w:color w:val="auto"/>
                <w:szCs w:val="21"/>
                <w:highlight w:val="none"/>
              </w:rPr>
            </w:pPr>
            <w:r>
              <w:rPr>
                <w:rFonts w:hint="eastAsia" w:ascii="宋体" w:hAnsi="宋体"/>
                <w:color w:val="auto"/>
                <w:szCs w:val="21"/>
                <w:highlight w:val="none"/>
              </w:rPr>
              <w:t>6</w:t>
            </w:r>
          </w:p>
        </w:tc>
        <w:tc>
          <w:tcPr>
            <w:tcW w:w="2596" w:type="dxa"/>
            <w:noWrap/>
            <w:vAlign w:val="center"/>
          </w:tcPr>
          <w:p>
            <w:pPr>
              <w:jc w:val="left"/>
              <w:rPr>
                <w:rFonts w:ascii="宋体" w:hAnsi="宋体"/>
                <w:color w:val="auto"/>
                <w:szCs w:val="21"/>
                <w:highlight w:val="none"/>
              </w:rPr>
            </w:pPr>
            <w:r>
              <w:rPr>
                <w:rFonts w:hint="eastAsia" w:ascii="宋体" w:hAnsi="宋体"/>
                <w:color w:val="auto"/>
                <w:szCs w:val="21"/>
                <w:highlight w:val="none"/>
              </w:rPr>
              <w:t>煤质分析实训室</w:t>
            </w:r>
          </w:p>
        </w:tc>
        <w:tc>
          <w:tcPr>
            <w:tcW w:w="5203" w:type="dxa"/>
            <w:noWrap/>
            <w:vAlign w:val="center"/>
          </w:tcPr>
          <w:p>
            <w:pPr>
              <w:jc w:val="left"/>
              <w:rPr>
                <w:rFonts w:ascii="宋体" w:hAnsi="宋体"/>
                <w:color w:val="auto"/>
                <w:szCs w:val="21"/>
                <w:highlight w:val="none"/>
              </w:rPr>
            </w:pPr>
            <w:r>
              <w:rPr>
                <w:rFonts w:hint="eastAsia" w:ascii="宋体" w:hAnsi="宋体"/>
                <w:color w:val="auto"/>
                <w:szCs w:val="21"/>
                <w:highlight w:val="none"/>
              </w:rPr>
              <w:t>煤的元素分析和工业分析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noWrap/>
            <w:vAlign w:val="center"/>
          </w:tcPr>
          <w:p>
            <w:pPr>
              <w:jc w:val="center"/>
              <w:rPr>
                <w:rFonts w:ascii="宋体" w:hAnsi="宋体"/>
                <w:color w:val="auto"/>
                <w:szCs w:val="21"/>
                <w:highlight w:val="none"/>
              </w:rPr>
            </w:pPr>
            <w:r>
              <w:rPr>
                <w:rFonts w:hint="eastAsia" w:ascii="宋体" w:hAnsi="宋体"/>
                <w:color w:val="auto"/>
                <w:szCs w:val="21"/>
                <w:highlight w:val="none"/>
              </w:rPr>
              <w:t>7</w:t>
            </w:r>
          </w:p>
        </w:tc>
        <w:tc>
          <w:tcPr>
            <w:tcW w:w="2596" w:type="dxa"/>
            <w:noWrap/>
            <w:vAlign w:val="center"/>
          </w:tcPr>
          <w:p>
            <w:pPr>
              <w:jc w:val="left"/>
              <w:rPr>
                <w:rFonts w:ascii="宋体" w:hAnsi="宋体"/>
                <w:color w:val="auto"/>
                <w:szCs w:val="21"/>
                <w:highlight w:val="none"/>
              </w:rPr>
            </w:pPr>
            <w:r>
              <w:rPr>
                <w:rFonts w:hint="eastAsia" w:ascii="宋体" w:hAnsi="宋体"/>
                <w:color w:val="auto"/>
                <w:szCs w:val="21"/>
                <w:highlight w:val="none"/>
              </w:rPr>
              <w:t>化工单元操作仿真实训室</w:t>
            </w:r>
          </w:p>
        </w:tc>
        <w:tc>
          <w:tcPr>
            <w:tcW w:w="5203" w:type="dxa"/>
            <w:noWrap/>
            <w:vAlign w:val="center"/>
          </w:tcPr>
          <w:p>
            <w:pPr>
              <w:jc w:val="left"/>
              <w:rPr>
                <w:rFonts w:ascii="宋体" w:hAnsi="宋体"/>
                <w:color w:val="auto"/>
                <w:szCs w:val="21"/>
                <w:highlight w:val="none"/>
              </w:rPr>
            </w:pPr>
            <w:r>
              <w:rPr>
                <w:rFonts w:hint="eastAsia" w:ascii="宋体" w:hAnsi="宋体"/>
                <w:color w:val="auto"/>
                <w:szCs w:val="21"/>
                <w:highlight w:val="none"/>
              </w:rPr>
              <w:t>合成氨工艺流程及工艺问题处理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noWrap/>
            <w:vAlign w:val="center"/>
          </w:tcPr>
          <w:p>
            <w:pPr>
              <w:jc w:val="center"/>
              <w:rPr>
                <w:rFonts w:ascii="宋体" w:hAnsi="宋体"/>
                <w:color w:val="auto"/>
                <w:szCs w:val="21"/>
                <w:highlight w:val="none"/>
              </w:rPr>
            </w:pPr>
            <w:r>
              <w:rPr>
                <w:rFonts w:hint="eastAsia" w:ascii="宋体" w:hAnsi="宋体"/>
                <w:color w:val="auto"/>
                <w:szCs w:val="21"/>
                <w:highlight w:val="none"/>
              </w:rPr>
              <w:t>8</w:t>
            </w:r>
          </w:p>
        </w:tc>
        <w:tc>
          <w:tcPr>
            <w:tcW w:w="2596" w:type="dxa"/>
            <w:noWrap/>
            <w:vAlign w:val="center"/>
          </w:tcPr>
          <w:p>
            <w:pPr>
              <w:jc w:val="left"/>
              <w:rPr>
                <w:rFonts w:ascii="宋体" w:hAnsi="宋体"/>
                <w:color w:val="auto"/>
                <w:szCs w:val="21"/>
                <w:highlight w:val="none"/>
              </w:rPr>
            </w:pPr>
            <w:r>
              <w:rPr>
                <w:rFonts w:ascii="Times New Roman" w:hAnsi="Times New Roman"/>
                <w:color w:val="auto"/>
                <w:highlight w:val="none"/>
              </w:rPr>
              <w:t>化工理实一体实训室</w:t>
            </w:r>
          </w:p>
        </w:tc>
        <w:tc>
          <w:tcPr>
            <w:tcW w:w="5203" w:type="dxa"/>
            <w:noWrap/>
            <w:vAlign w:val="center"/>
          </w:tcPr>
          <w:p>
            <w:pPr>
              <w:snapToGrid w:val="0"/>
              <w:jc w:val="left"/>
              <w:rPr>
                <w:rFonts w:ascii="宋体" w:hAnsi="宋体"/>
                <w:color w:val="auto"/>
                <w:szCs w:val="21"/>
                <w:highlight w:val="none"/>
              </w:rPr>
            </w:pPr>
            <w:r>
              <w:rPr>
                <w:rFonts w:hint="eastAsia" w:ascii="宋体" w:hAnsi="宋体"/>
                <w:color w:val="auto"/>
                <w:szCs w:val="21"/>
                <w:highlight w:val="none"/>
              </w:rPr>
              <w:t xml:space="preserve">认识实习、工艺绘图实训、生产操作安全实习、单体设备认知、生产岗位操作记录实训、安全事故应急预案演练等功能。 </w:t>
            </w:r>
          </w:p>
        </w:tc>
      </w:tr>
    </w:tbl>
    <w:p>
      <w:pPr>
        <w:spacing w:line="360" w:lineRule="auto"/>
        <w:jc w:val="center"/>
        <w:rPr>
          <w:rFonts w:ascii="黑体" w:hAnsi="宋体" w:eastAsia="黑体"/>
          <w:color w:val="auto"/>
          <w:sz w:val="18"/>
          <w:szCs w:val="18"/>
          <w:highlight w:val="none"/>
        </w:rPr>
      </w:pPr>
    </w:p>
    <w:p>
      <w:pPr>
        <w:spacing w:line="360" w:lineRule="auto"/>
        <w:jc w:val="center"/>
        <w:rPr>
          <w:rFonts w:ascii="宋体" w:hAnsi="宋体"/>
          <w:bCs/>
          <w:color w:val="auto"/>
          <w:sz w:val="24"/>
          <w:highlight w:val="none"/>
        </w:rPr>
      </w:pPr>
      <w:r>
        <w:rPr>
          <w:rFonts w:hint="eastAsia" w:ascii="宋体" w:hAnsi="宋体"/>
          <w:bCs/>
          <w:color w:val="auto"/>
          <w:sz w:val="24"/>
          <w:highlight w:val="none"/>
        </w:rPr>
        <w:t>表5.10 校内实习基地主要设备一览表</w:t>
      </w:r>
    </w:p>
    <w:tbl>
      <w:tblPr>
        <w:tblStyle w:val="1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3435"/>
        <w:gridCol w:w="1031"/>
        <w:gridCol w:w="859"/>
        <w:gridCol w:w="1375"/>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619" w:type="dxa"/>
            <w:noWrap/>
            <w:vAlign w:val="center"/>
          </w:tcPr>
          <w:p>
            <w:pPr>
              <w:spacing w:line="380" w:lineRule="exact"/>
              <w:jc w:val="center"/>
              <w:rPr>
                <w:rFonts w:ascii="宋体" w:hAnsi="宋体"/>
                <w:color w:val="auto"/>
                <w:szCs w:val="21"/>
                <w:highlight w:val="none"/>
              </w:rPr>
            </w:pPr>
            <w:r>
              <w:rPr>
                <w:rFonts w:hint="eastAsia" w:ascii="宋体" w:hAnsi="宋体"/>
                <w:color w:val="auto"/>
                <w:szCs w:val="21"/>
                <w:highlight w:val="none"/>
              </w:rPr>
              <w:t>序号</w:t>
            </w:r>
          </w:p>
        </w:tc>
        <w:tc>
          <w:tcPr>
            <w:tcW w:w="3435" w:type="dxa"/>
            <w:noWrap/>
            <w:vAlign w:val="center"/>
          </w:tcPr>
          <w:p>
            <w:pPr>
              <w:spacing w:line="380" w:lineRule="exact"/>
              <w:jc w:val="center"/>
              <w:rPr>
                <w:rFonts w:ascii="宋体" w:hAnsi="宋体"/>
                <w:color w:val="auto"/>
                <w:szCs w:val="21"/>
                <w:highlight w:val="none"/>
              </w:rPr>
            </w:pPr>
            <w:r>
              <w:rPr>
                <w:rFonts w:hint="eastAsia" w:ascii="宋体" w:hAnsi="宋体"/>
                <w:color w:val="auto"/>
                <w:szCs w:val="21"/>
                <w:highlight w:val="none"/>
              </w:rPr>
              <w:t>设备名称</w:t>
            </w:r>
          </w:p>
        </w:tc>
        <w:tc>
          <w:tcPr>
            <w:tcW w:w="1031" w:type="dxa"/>
            <w:noWrap/>
            <w:vAlign w:val="center"/>
          </w:tcPr>
          <w:p>
            <w:pPr>
              <w:spacing w:line="380" w:lineRule="exact"/>
              <w:jc w:val="center"/>
              <w:rPr>
                <w:rFonts w:ascii="宋体" w:hAnsi="宋体"/>
                <w:color w:val="auto"/>
                <w:szCs w:val="21"/>
                <w:highlight w:val="none"/>
              </w:rPr>
            </w:pPr>
            <w:r>
              <w:rPr>
                <w:rFonts w:hint="eastAsia" w:ascii="宋体" w:hAnsi="宋体"/>
                <w:color w:val="auto"/>
                <w:szCs w:val="21"/>
                <w:highlight w:val="none"/>
              </w:rPr>
              <w:t>单价</w:t>
            </w:r>
          </w:p>
        </w:tc>
        <w:tc>
          <w:tcPr>
            <w:tcW w:w="859" w:type="dxa"/>
            <w:noWrap/>
            <w:vAlign w:val="center"/>
          </w:tcPr>
          <w:p>
            <w:pPr>
              <w:spacing w:line="380" w:lineRule="exact"/>
              <w:jc w:val="center"/>
              <w:rPr>
                <w:rFonts w:ascii="宋体" w:hAnsi="宋体"/>
                <w:color w:val="auto"/>
                <w:szCs w:val="21"/>
                <w:highlight w:val="none"/>
              </w:rPr>
            </w:pPr>
            <w:r>
              <w:rPr>
                <w:rFonts w:hint="eastAsia" w:ascii="宋体" w:hAnsi="宋体"/>
                <w:color w:val="auto"/>
                <w:szCs w:val="21"/>
                <w:highlight w:val="none"/>
              </w:rPr>
              <w:t>台数</w:t>
            </w:r>
          </w:p>
        </w:tc>
        <w:tc>
          <w:tcPr>
            <w:tcW w:w="1375" w:type="dxa"/>
            <w:noWrap/>
            <w:vAlign w:val="center"/>
          </w:tcPr>
          <w:p>
            <w:pPr>
              <w:spacing w:line="380" w:lineRule="exact"/>
              <w:jc w:val="center"/>
              <w:rPr>
                <w:rFonts w:ascii="宋体" w:hAnsi="宋体"/>
                <w:color w:val="auto"/>
                <w:szCs w:val="21"/>
                <w:highlight w:val="none"/>
              </w:rPr>
            </w:pPr>
            <w:r>
              <w:rPr>
                <w:rFonts w:hint="eastAsia" w:ascii="宋体" w:hAnsi="宋体"/>
                <w:color w:val="auto"/>
                <w:szCs w:val="21"/>
                <w:highlight w:val="none"/>
              </w:rPr>
              <w:t>金额（万元）</w:t>
            </w:r>
          </w:p>
        </w:tc>
        <w:tc>
          <w:tcPr>
            <w:tcW w:w="1203" w:type="dxa"/>
            <w:noWrap/>
            <w:vAlign w:val="center"/>
          </w:tcPr>
          <w:p>
            <w:pPr>
              <w:spacing w:line="380" w:lineRule="exact"/>
              <w:jc w:val="center"/>
              <w:rPr>
                <w:rFonts w:ascii="宋体" w:hAnsi="宋体"/>
                <w:color w:val="auto"/>
                <w:szCs w:val="21"/>
                <w:highlight w:val="none"/>
              </w:rPr>
            </w:pPr>
            <w:r>
              <w:rPr>
                <w:rFonts w:hint="eastAsia" w:ascii="宋体" w:hAnsi="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1</w:t>
            </w:r>
          </w:p>
        </w:tc>
        <w:tc>
          <w:tcPr>
            <w:tcW w:w="343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雷诺实验装置</w:t>
            </w:r>
          </w:p>
        </w:tc>
        <w:tc>
          <w:tcPr>
            <w:tcW w:w="1031"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0.556</w:t>
            </w:r>
          </w:p>
        </w:tc>
        <w:tc>
          <w:tcPr>
            <w:tcW w:w="859"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1套</w:t>
            </w:r>
          </w:p>
        </w:tc>
        <w:tc>
          <w:tcPr>
            <w:tcW w:w="137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0.556</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2</w:t>
            </w:r>
          </w:p>
        </w:tc>
        <w:tc>
          <w:tcPr>
            <w:tcW w:w="343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伯努利方程式</w:t>
            </w:r>
          </w:p>
        </w:tc>
        <w:tc>
          <w:tcPr>
            <w:tcW w:w="1031"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0.555</w:t>
            </w:r>
          </w:p>
        </w:tc>
        <w:tc>
          <w:tcPr>
            <w:tcW w:w="859"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1套</w:t>
            </w:r>
          </w:p>
        </w:tc>
        <w:tc>
          <w:tcPr>
            <w:tcW w:w="137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0.555</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3</w:t>
            </w:r>
          </w:p>
        </w:tc>
        <w:tc>
          <w:tcPr>
            <w:tcW w:w="343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单相流动阻力实验装置</w:t>
            </w:r>
          </w:p>
        </w:tc>
        <w:tc>
          <w:tcPr>
            <w:tcW w:w="1031"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1.3</w:t>
            </w:r>
          </w:p>
        </w:tc>
        <w:tc>
          <w:tcPr>
            <w:tcW w:w="859"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1套</w:t>
            </w:r>
          </w:p>
        </w:tc>
        <w:tc>
          <w:tcPr>
            <w:tcW w:w="137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1.3</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4</w:t>
            </w:r>
          </w:p>
        </w:tc>
        <w:tc>
          <w:tcPr>
            <w:tcW w:w="343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传热实验装置</w:t>
            </w:r>
          </w:p>
        </w:tc>
        <w:tc>
          <w:tcPr>
            <w:tcW w:w="1031"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2.27</w:t>
            </w:r>
          </w:p>
        </w:tc>
        <w:tc>
          <w:tcPr>
            <w:tcW w:w="859"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1套</w:t>
            </w:r>
          </w:p>
        </w:tc>
        <w:tc>
          <w:tcPr>
            <w:tcW w:w="137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2.27</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5</w:t>
            </w:r>
          </w:p>
        </w:tc>
        <w:tc>
          <w:tcPr>
            <w:tcW w:w="343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吸收实验装置</w:t>
            </w:r>
          </w:p>
        </w:tc>
        <w:tc>
          <w:tcPr>
            <w:tcW w:w="1031"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2.5</w:t>
            </w:r>
          </w:p>
        </w:tc>
        <w:tc>
          <w:tcPr>
            <w:tcW w:w="859"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1套</w:t>
            </w:r>
          </w:p>
        </w:tc>
        <w:tc>
          <w:tcPr>
            <w:tcW w:w="137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2.5</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6</w:t>
            </w:r>
          </w:p>
        </w:tc>
        <w:tc>
          <w:tcPr>
            <w:tcW w:w="343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精馏塔数采及控制装置</w:t>
            </w:r>
          </w:p>
        </w:tc>
        <w:tc>
          <w:tcPr>
            <w:tcW w:w="1031"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2.27</w:t>
            </w:r>
          </w:p>
        </w:tc>
        <w:tc>
          <w:tcPr>
            <w:tcW w:w="859"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1套</w:t>
            </w:r>
          </w:p>
        </w:tc>
        <w:tc>
          <w:tcPr>
            <w:tcW w:w="137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2.27</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7</w:t>
            </w:r>
          </w:p>
        </w:tc>
        <w:tc>
          <w:tcPr>
            <w:tcW w:w="343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数子电导率仪</w:t>
            </w:r>
          </w:p>
        </w:tc>
        <w:tc>
          <w:tcPr>
            <w:tcW w:w="1031"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0.1576</w:t>
            </w:r>
          </w:p>
        </w:tc>
        <w:tc>
          <w:tcPr>
            <w:tcW w:w="859"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5台</w:t>
            </w:r>
          </w:p>
        </w:tc>
        <w:tc>
          <w:tcPr>
            <w:tcW w:w="1375" w:type="dxa"/>
            <w:noWrap/>
            <w:vAlign w:val="center"/>
          </w:tcPr>
          <w:p>
            <w:pPr>
              <w:spacing w:line="360" w:lineRule="auto"/>
              <w:jc w:val="center"/>
              <w:rPr>
                <w:rFonts w:ascii="宋体" w:hAnsi="宋体"/>
                <w:bCs/>
                <w:color w:val="auto"/>
                <w:szCs w:val="21"/>
                <w:highlight w:val="none"/>
              </w:rPr>
            </w:pPr>
            <w:r>
              <w:rPr>
                <w:rFonts w:hint="eastAsia" w:ascii="宋体" w:hAnsi="宋体"/>
                <w:color w:val="auto"/>
                <w:szCs w:val="21"/>
                <w:highlight w:val="none"/>
              </w:rPr>
              <w:t>0.788</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8</w:t>
            </w:r>
          </w:p>
        </w:tc>
        <w:tc>
          <w:tcPr>
            <w:tcW w:w="343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电位滴定装置</w:t>
            </w:r>
          </w:p>
        </w:tc>
        <w:tc>
          <w:tcPr>
            <w:tcW w:w="1031" w:type="dxa"/>
            <w:noWrap/>
            <w:vAlign w:val="center"/>
          </w:tcPr>
          <w:p>
            <w:pPr>
              <w:spacing w:line="360" w:lineRule="auto"/>
              <w:jc w:val="center"/>
              <w:rPr>
                <w:rFonts w:ascii="宋体" w:hAnsi="宋体"/>
                <w:bCs/>
                <w:color w:val="auto"/>
                <w:szCs w:val="21"/>
                <w:highlight w:val="none"/>
              </w:rPr>
            </w:pPr>
            <w:r>
              <w:rPr>
                <w:rFonts w:hint="eastAsia" w:ascii="宋体" w:hAnsi="宋体"/>
                <w:color w:val="auto"/>
                <w:szCs w:val="21"/>
                <w:highlight w:val="none"/>
              </w:rPr>
              <w:t>0.4494</w:t>
            </w:r>
          </w:p>
        </w:tc>
        <w:tc>
          <w:tcPr>
            <w:tcW w:w="859"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10</w:t>
            </w:r>
          </w:p>
        </w:tc>
        <w:tc>
          <w:tcPr>
            <w:tcW w:w="137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4.494</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9</w:t>
            </w:r>
          </w:p>
        </w:tc>
        <w:tc>
          <w:tcPr>
            <w:tcW w:w="343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可见分光光度计</w:t>
            </w:r>
          </w:p>
        </w:tc>
        <w:tc>
          <w:tcPr>
            <w:tcW w:w="1031"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0.266</w:t>
            </w:r>
          </w:p>
        </w:tc>
        <w:tc>
          <w:tcPr>
            <w:tcW w:w="859"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30</w:t>
            </w:r>
          </w:p>
        </w:tc>
        <w:tc>
          <w:tcPr>
            <w:tcW w:w="1375" w:type="dxa"/>
            <w:noWrap/>
            <w:vAlign w:val="center"/>
          </w:tcPr>
          <w:p>
            <w:pPr>
              <w:spacing w:line="360" w:lineRule="auto"/>
              <w:jc w:val="center"/>
              <w:rPr>
                <w:rFonts w:ascii="宋体" w:hAnsi="宋体"/>
                <w:bCs/>
                <w:color w:val="auto"/>
                <w:szCs w:val="21"/>
                <w:highlight w:val="none"/>
              </w:rPr>
            </w:pPr>
            <w:r>
              <w:rPr>
                <w:rFonts w:hint="eastAsia" w:ascii="宋体" w:hAnsi="宋体"/>
                <w:color w:val="auto"/>
                <w:szCs w:val="21"/>
                <w:highlight w:val="none"/>
              </w:rPr>
              <w:t>7.98</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10</w:t>
            </w:r>
          </w:p>
        </w:tc>
        <w:tc>
          <w:tcPr>
            <w:tcW w:w="343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超声波清洗器</w:t>
            </w:r>
          </w:p>
        </w:tc>
        <w:tc>
          <w:tcPr>
            <w:tcW w:w="1031"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0.57</w:t>
            </w:r>
          </w:p>
        </w:tc>
        <w:tc>
          <w:tcPr>
            <w:tcW w:w="859"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3台</w:t>
            </w:r>
          </w:p>
        </w:tc>
        <w:tc>
          <w:tcPr>
            <w:tcW w:w="137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1.71</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11</w:t>
            </w:r>
          </w:p>
        </w:tc>
        <w:tc>
          <w:tcPr>
            <w:tcW w:w="343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恒温水浴锅</w:t>
            </w:r>
          </w:p>
        </w:tc>
        <w:tc>
          <w:tcPr>
            <w:tcW w:w="1031"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0.0822</w:t>
            </w:r>
          </w:p>
        </w:tc>
        <w:tc>
          <w:tcPr>
            <w:tcW w:w="859"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7台</w:t>
            </w:r>
          </w:p>
        </w:tc>
        <w:tc>
          <w:tcPr>
            <w:tcW w:w="137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0.5754</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12</w:t>
            </w:r>
          </w:p>
        </w:tc>
        <w:tc>
          <w:tcPr>
            <w:tcW w:w="343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精馏操作实训装置</w:t>
            </w:r>
          </w:p>
        </w:tc>
        <w:tc>
          <w:tcPr>
            <w:tcW w:w="1031"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20</w:t>
            </w:r>
          </w:p>
        </w:tc>
        <w:tc>
          <w:tcPr>
            <w:tcW w:w="859"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1</w:t>
            </w:r>
          </w:p>
        </w:tc>
        <w:tc>
          <w:tcPr>
            <w:tcW w:w="1375" w:type="dxa"/>
            <w:noWrap/>
            <w:vAlign w:val="center"/>
          </w:tcPr>
          <w:p>
            <w:pPr>
              <w:spacing w:line="360" w:lineRule="auto"/>
              <w:jc w:val="center"/>
              <w:rPr>
                <w:rFonts w:ascii="宋体" w:hAnsi="宋体"/>
                <w:bCs/>
                <w:color w:val="auto"/>
                <w:szCs w:val="21"/>
                <w:highlight w:val="none"/>
              </w:rPr>
            </w:pPr>
            <w:r>
              <w:rPr>
                <w:rFonts w:hint="eastAsia" w:ascii="宋体" w:hAnsi="宋体"/>
                <w:color w:val="auto"/>
                <w:szCs w:val="21"/>
                <w:highlight w:val="none"/>
              </w:rPr>
              <w:t>20</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13</w:t>
            </w:r>
          </w:p>
        </w:tc>
        <w:tc>
          <w:tcPr>
            <w:tcW w:w="343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高效液相色谱仪</w:t>
            </w:r>
          </w:p>
        </w:tc>
        <w:tc>
          <w:tcPr>
            <w:tcW w:w="1031"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22.2</w:t>
            </w:r>
          </w:p>
        </w:tc>
        <w:tc>
          <w:tcPr>
            <w:tcW w:w="859" w:type="dxa"/>
            <w:noWrap/>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1</w:t>
            </w:r>
          </w:p>
        </w:tc>
        <w:tc>
          <w:tcPr>
            <w:tcW w:w="137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22.2</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14</w:t>
            </w:r>
          </w:p>
        </w:tc>
        <w:tc>
          <w:tcPr>
            <w:tcW w:w="343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紫外可见光分光光度计</w:t>
            </w:r>
          </w:p>
        </w:tc>
        <w:tc>
          <w:tcPr>
            <w:tcW w:w="1031"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6</w:t>
            </w:r>
          </w:p>
        </w:tc>
        <w:tc>
          <w:tcPr>
            <w:tcW w:w="859"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1</w:t>
            </w:r>
          </w:p>
        </w:tc>
        <w:tc>
          <w:tcPr>
            <w:tcW w:w="1375" w:type="dxa"/>
            <w:noWrap/>
            <w:vAlign w:val="center"/>
          </w:tcPr>
          <w:p>
            <w:pPr>
              <w:spacing w:line="360" w:lineRule="auto"/>
              <w:jc w:val="center"/>
              <w:rPr>
                <w:rFonts w:ascii="宋体" w:hAnsi="宋体"/>
                <w:bCs/>
                <w:color w:val="auto"/>
                <w:szCs w:val="21"/>
                <w:highlight w:val="none"/>
              </w:rPr>
            </w:pPr>
            <w:r>
              <w:rPr>
                <w:rFonts w:hint="eastAsia" w:ascii="宋体" w:hAnsi="宋体"/>
                <w:color w:val="auto"/>
                <w:szCs w:val="21"/>
                <w:highlight w:val="none"/>
              </w:rPr>
              <w:t>6</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15</w:t>
            </w:r>
          </w:p>
        </w:tc>
        <w:tc>
          <w:tcPr>
            <w:tcW w:w="343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旋转蒸发器(蒸发锅)</w:t>
            </w:r>
          </w:p>
        </w:tc>
        <w:tc>
          <w:tcPr>
            <w:tcW w:w="1031"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0.485</w:t>
            </w:r>
          </w:p>
        </w:tc>
        <w:tc>
          <w:tcPr>
            <w:tcW w:w="859"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11</w:t>
            </w:r>
          </w:p>
        </w:tc>
        <w:tc>
          <w:tcPr>
            <w:tcW w:w="137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5.335</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16</w:t>
            </w:r>
          </w:p>
        </w:tc>
        <w:tc>
          <w:tcPr>
            <w:tcW w:w="343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萃取操作实训单元装置</w:t>
            </w:r>
          </w:p>
        </w:tc>
        <w:tc>
          <w:tcPr>
            <w:tcW w:w="1031"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15</w:t>
            </w:r>
          </w:p>
        </w:tc>
        <w:tc>
          <w:tcPr>
            <w:tcW w:w="859"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1</w:t>
            </w:r>
          </w:p>
        </w:tc>
        <w:tc>
          <w:tcPr>
            <w:tcW w:w="137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15</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17</w:t>
            </w:r>
          </w:p>
        </w:tc>
        <w:tc>
          <w:tcPr>
            <w:tcW w:w="343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过滤操作实训单元装置</w:t>
            </w:r>
          </w:p>
        </w:tc>
        <w:tc>
          <w:tcPr>
            <w:tcW w:w="1031"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15</w:t>
            </w:r>
          </w:p>
        </w:tc>
        <w:tc>
          <w:tcPr>
            <w:tcW w:w="859"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1</w:t>
            </w:r>
          </w:p>
        </w:tc>
        <w:tc>
          <w:tcPr>
            <w:tcW w:w="1375" w:type="dxa"/>
            <w:noWrap/>
            <w:vAlign w:val="center"/>
          </w:tcPr>
          <w:p>
            <w:pPr>
              <w:autoSpaceDN w:val="0"/>
              <w:jc w:val="center"/>
              <w:textAlignment w:val="center"/>
              <w:rPr>
                <w:rFonts w:ascii="宋体" w:hAnsi="宋体"/>
                <w:bCs/>
                <w:color w:val="auto"/>
                <w:szCs w:val="21"/>
                <w:highlight w:val="none"/>
              </w:rPr>
            </w:pPr>
            <w:r>
              <w:rPr>
                <w:rFonts w:hint="eastAsia" w:ascii="宋体" w:hAnsi="宋体"/>
                <w:color w:val="auto"/>
                <w:szCs w:val="21"/>
                <w:highlight w:val="none"/>
              </w:rPr>
              <w:t>15</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18</w:t>
            </w:r>
          </w:p>
        </w:tc>
        <w:tc>
          <w:tcPr>
            <w:tcW w:w="3435" w:type="dxa"/>
            <w:noWrap/>
            <w:vAlign w:val="center"/>
          </w:tcPr>
          <w:p>
            <w:pPr>
              <w:autoSpaceDN w:val="0"/>
              <w:jc w:val="center"/>
              <w:textAlignment w:val="center"/>
              <w:rPr>
                <w:rFonts w:ascii="宋体" w:hAnsi="宋体"/>
                <w:color w:val="auto"/>
                <w:szCs w:val="21"/>
                <w:highlight w:val="none"/>
              </w:rPr>
            </w:pPr>
            <w:r>
              <w:rPr>
                <w:rFonts w:ascii="Times New Roman" w:hAnsi="Times New Roman"/>
                <w:color w:val="auto"/>
                <w:highlight w:val="none"/>
              </w:rPr>
              <w:t>碳氢元素分析仪</w:t>
            </w:r>
          </w:p>
        </w:tc>
        <w:tc>
          <w:tcPr>
            <w:tcW w:w="1031"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1.4</w:t>
            </w:r>
          </w:p>
        </w:tc>
        <w:tc>
          <w:tcPr>
            <w:tcW w:w="859"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5</w:t>
            </w:r>
          </w:p>
        </w:tc>
        <w:tc>
          <w:tcPr>
            <w:tcW w:w="1375"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7</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19</w:t>
            </w:r>
          </w:p>
        </w:tc>
        <w:tc>
          <w:tcPr>
            <w:tcW w:w="3435" w:type="dxa"/>
            <w:noWrap/>
            <w:vAlign w:val="center"/>
          </w:tcPr>
          <w:p>
            <w:pPr>
              <w:autoSpaceDN w:val="0"/>
              <w:jc w:val="center"/>
              <w:textAlignment w:val="center"/>
              <w:rPr>
                <w:rFonts w:ascii="宋体" w:hAnsi="宋体"/>
                <w:color w:val="auto"/>
                <w:szCs w:val="21"/>
                <w:highlight w:val="none"/>
              </w:rPr>
            </w:pPr>
            <w:r>
              <w:rPr>
                <w:rFonts w:ascii="Times New Roman" w:hAnsi="Times New Roman"/>
                <w:color w:val="auto"/>
                <w:highlight w:val="none"/>
              </w:rPr>
              <w:t>微机全自动测硫仪</w:t>
            </w:r>
          </w:p>
        </w:tc>
        <w:tc>
          <w:tcPr>
            <w:tcW w:w="1031"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4</w:t>
            </w:r>
          </w:p>
        </w:tc>
        <w:tc>
          <w:tcPr>
            <w:tcW w:w="859"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1</w:t>
            </w:r>
          </w:p>
        </w:tc>
        <w:tc>
          <w:tcPr>
            <w:tcW w:w="1375"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4</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20</w:t>
            </w:r>
          </w:p>
        </w:tc>
        <w:tc>
          <w:tcPr>
            <w:tcW w:w="3435" w:type="dxa"/>
            <w:noWrap/>
            <w:vAlign w:val="center"/>
          </w:tcPr>
          <w:p>
            <w:pPr>
              <w:autoSpaceDN w:val="0"/>
              <w:jc w:val="center"/>
              <w:textAlignment w:val="center"/>
              <w:rPr>
                <w:rFonts w:ascii="宋体" w:hAnsi="宋体"/>
                <w:color w:val="auto"/>
                <w:szCs w:val="21"/>
                <w:highlight w:val="none"/>
              </w:rPr>
            </w:pPr>
            <w:r>
              <w:rPr>
                <w:rFonts w:ascii="Times New Roman" w:hAnsi="Times New Roman"/>
                <w:color w:val="auto"/>
                <w:highlight w:val="none"/>
              </w:rPr>
              <w:t>荧光分光光度计</w:t>
            </w:r>
          </w:p>
        </w:tc>
        <w:tc>
          <w:tcPr>
            <w:tcW w:w="1031"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2</w:t>
            </w:r>
          </w:p>
        </w:tc>
        <w:tc>
          <w:tcPr>
            <w:tcW w:w="859"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1</w:t>
            </w:r>
          </w:p>
        </w:tc>
        <w:tc>
          <w:tcPr>
            <w:tcW w:w="1375"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2</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21</w:t>
            </w:r>
          </w:p>
        </w:tc>
        <w:tc>
          <w:tcPr>
            <w:tcW w:w="3435" w:type="dxa"/>
            <w:noWrap/>
            <w:vAlign w:val="center"/>
          </w:tcPr>
          <w:p>
            <w:pPr>
              <w:autoSpaceDN w:val="0"/>
              <w:jc w:val="center"/>
              <w:textAlignment w:val="center"/>
              <w:rPr>
                <w:rFonts w:ascii="宋体" w:hAnsi="宋体"/>
                <w:color w:val="auto"/>
                <w:szCs w:val="21"/>
                <w:highlight w:val="none"/>
              </w:rPr>
            </w:pPr>
            <w:r>
              <w:rPr>
                <w:rFonts w:ascii="Times New Roman" w:hAnsi="Times New Roman"/>
                <w:color w:val="auto"/>
                <w:highlight w:val="none"/>
              </w:rPr>
              <w:t>薄层色谱系统</w:t>
            </w:r>
          </w:p>
        </w:tc>
        <w:tc>
          <w:tcPr>
            <w:tcW w:w="1031"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3</w:t>
            </w:r>
          </w:p>
        </w:tc>
        <w:tc>
          <w:tcPr>
            <w:tcW w:w="859"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1</w:t>
            </w:r>
          </w:p>
        </w:tc>
        <w:tc>
          <w:tcPr>
            <w:tcW w:w="1375"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3</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22</w:t>
            </w:r>
          </w:p>
        </w:tc>
        <w:tc>
          <w:tcPr>
            <w:tcW w:w="3435" w:type="dxa"/>
            <w:noWrap/>
            <w:vAlign w:val="center"/>
          </w:tcPr>
          <w:p>
            <w:pPr>
              <w:autoSpaceDN w:val="0"/>
              <w:jc w:val="center"/>
              <w:textAlignment w:val="center"/>
              <w:rPr>
                <w:rFonts w:ascii="宋体" w:hAnsi="宋体"/>
                <w:color w:val="auto"/>
                <w:szCs w:val="21"/>
                <w:highlight w:val="none"/>
              </w:rPr>
            </w:pPr>
            <w:r>
              <w:rPr>
                <w:rFonts w:ascii="Times New Roman" w:hAnsi="Times New Roman"/>
                <w:color w:val="auto"/>
                <w:highlight w:val="none"/>
              </w:rPr>
              <w:t>自动工业分析仪</w:t>
            </w:r>
          </w:p>
        </w:tc>
        <w:tc>
          <w:tcPr>
            <w:tcW w:w="1031"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12.5</w:t>
            </w:r>
          </w:p>
        </w:tc>
        <w:tc>
          <w:tcPr>
            <w:tcW w:w="859"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1</w:t>
            </w:r>
          </w:p>
        </w:tc>
        <w:tc>
          <w:tcPr>
            <w:tcW w:w="1375"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12.5</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23</w:t>
            </w:r>
          </w:p>
        </w:tc>
        <w:tc>
          <w:tcPr>
            <w:tcW w:w="3435" w:type="dxa"/>
            <w:noWrap/>
            <w:vAlign w:val="center"/>
          </w:tcPr>
          <w:p>
            <w:pPr>
              <w:autoSpaceDN w:val="0"/>
              <w:jc w:val="center"/>
              <w:textAlignment w:val="center"/>
              <w:rPr>
                <w:rFonts w:ascii="宋体" w:hAnsi="宋体"/>
                <w:color w:val="auto"/>
                <w:szCs w:val="21"/>
                <w:highlight w:val="none"/>
              </w:rPr>
            </w:pPr>
            <w:r>
              <w:rPr>
                <w:rFonts w:ascii="Times New Roman" w:hAnsi="Times New Roman"/>
                <w:color w:val="auto"/>
                <w:highlight w:val="none"/>
              </w:rPr>
              <w:t>显微镜</w:t>
            </w:r>
          </w:p>
        </w:tc>
        <w:tc>
          <w:tcPr>
            <w:tcW w:w="1031"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1.5</w:t>
            </w:r>
          </w:p>
        </w:tc>
        <w:tc>
          <w:tcPr>
            <w:tcW w:w="859"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4</w:t>
            </w:r>
          </w:p>
        </w:tc>
        <w:tc>
          <w:tcPr>
            <w:tcW w:w="1375"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6</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24</w:t>
            </w:r>
          </w:p>
        </w:tc>
        <w:tc>
          <w:tcPr>
            <w:tcW w:w="3435" w:type="dxa"/>
            <w:noWrap/>
            <w:vAlign w:val="center"/>
          </w:tcPr>
          <w:p>
            <w:pPr>
              <w:autoSpaceDN w:val="0"/>
              <w:jc w:val="center"/>
              <w:textAlignment w:val="center"/>
              <w:rPr>
                <w:rFonts w:ascii="宋体" w:hAnsi="宋体"/>
                <w:color w:val="auto"/>
                <w:szCs w:val="21"/>
                <w:highlight w:val="none"/>
              </w:rPr>
            </w:pPr>
            <w:r>
              <w:rPr>
                <w:rFonts w:ascii="Times New Roman" w:hAnsi="Times New Roman"/>
                <w:color w:val="auto"/>
                <w:highlight w:val="none"/>
              </w:rPr>
              <w:t>COD测定仪</w:t>
            </w:r>
          </w:p>
        </w:tc>
        <w:tc>
          <w:tcPr>
            <w:tcW w:w="1031"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1.1</w:t>
            </w:r>
          </w:p>
        </w:tc>
        <w:tc>
          <w:tcPr>
            <w:tcW w:w="859"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1</w:t>
            </w:r>
          </w:p>
        </w:tc>
        <w:tc>
          <w:tcPr>
            <w:tcW w:w="1375"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1.1</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25</w:t>
            </w:r>
          </w:p>
        </w:tc>
        <w:tc>
          <w:tcPr>
            <w:tcW w:w="3435" w:type="dxa"/>
            <w:noWrap/>
            <w:vAlign w:val="center"/>
          </w:tcPr>
          <w:p>
            <w:pPr>
              <w:autoSpaceDN w:val="0"/>
              <w:jc w:val="center"/>
              <w:textAlignment w:val="center"/>
              <w:rPr>
                <w:rFonts w:ascii="宋体" w:hAnsi="宋体"/>
                <w:color w:val="auto"/>
                <w:szCs w:val="21"/>
                <w:highlight w:val="none"/>
              </w:rPr>
            </w:pPr>
            <w:r>
              <w:rPr>
                <w:rFonts w:hint="eastAsia" w:ascii="Times New Roman" w:hAnsi="Times New Roman"/>
                <w:color w:val="auto"/>
                <w:highlight w:val="none"/>
              </w:rPr>
              <w:t>B</w:t>
            </w:r>
            <w:r>
              <w:rPr>
                <w:rFonts w:ascii="Times New Roman" w:hAnsi="Times New Roman"/>
                <w:color w:val="auto"/>
                <w:highlight w:val="none"/>
              </w:rPr>
              <w:t>OD测定仪</w:t>
            </w:r>
          </w:p>
        </w:tc>
        <w:tc>
          <w:tcPr>
            <w:tcW w:w="1031"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2.1</w:t>
            </w:r>
          </w:p>
        </w:tc>
        <w:tc>
          <w:tcPr>
            <w:tcW w:w="859"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1</w:t>
            </w:r>
          </w:p>
        </w:tc>
        <w:tc>
          <w:tcPr>
            <w:tcW w:w="1375"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2.1</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26</w:t>
            </w:r>
          </w:p>
        </w:tc>
        <w:tc>
          <w:tcPr>
            <w:tcW w:w="3435" w:type="dxa"/>
            <w:noWrap/>
            <w:vAlign w:val="center"/>
          </w:tcPr>
          <w:p>
            <w:pPr>
              <w:autoSpaceDN w:val="0"/>
              <w:jc w:val="center"/>
              <w:textAlignment w:val="center"/>
              <w:rPr>
                <w:rFonts w:ascii="Times New Roman" w:hAnsi="Times New Roman"/>
                <w:color w:val="auto"/>
                <w:highlight w:val="none"/>
              </w:rPr>
            </w:pPr>
            <w:r>
              <w:rPr>
                <w:rFonts w:ascii="Times New Roman" w:hAnsi="Times New Roman"/>
                <w:color w:val="auto"/>
                <w:highlight w:val="none"/>
              </w:rPr>
              <w:t>便携式水质重金属测定仪</w:t>
            </w:r>
          </w:p>
        </w:tc>
        <w:tc>
          <w:tcPr>
            <w:tcW w:w="1031"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7.8</w:t>
            </w:r>
          </w:p>
        </w:tc>
        <w:tc>
          <w:tcPr>
            <w:tcW w:w="859"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1</w:t>
            </w:r>
          </w:p>
        </w:tc>
        <w:tc>
          <w:tcPr>
            <w:tcW w:w="1375"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7.8</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27</w:t>
            </w:r>
          </w:p>
        </w:tc>
        <w:tc>
          <w:tcPr>
            <w:tcW w:w="3435" w:type="dxa"/>
            <w:noWrap/>
            <w:vAlign w:val="center"/>
          </w:tcPr>
          <w:p>
            <w:pPr>
              <w:autoSpaceDN w:val="0"/>
              <w:jc w:val="center"/>
              <w:textAlignment w:val="center"/>
              <w:rPr>
                <w:rFonts w:ascii="Times New Roman" w:hAnsi="Times New Roman"/>
                <w:color w:val="auto"/>
                <w:highlight w:val="none"/>
              </w:rPr>
            </w:pPr>
            <w:r>
              <w:rPr>
                <w:rFonts w:ascii="Times New Roman" w:hAnsi="Times New Roman"/>
                <w:color w:val="auto"/>
                <w:highlight w:val="none"/>
              </w:rPr>
              <w:t>便携式水质分析系统</w:t>
            </w:r>
          </w:p>
        </w:tc>
        <w:tc>
          <w:tcPr>
            <w:tcW w:w="1031"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4.4</w:t>
            </w:r>
          </w:p>
        </w:tc>
        <w:tc>
          <w:tcPr>
            <w:tcW w:w="859"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1</w:t>
            </w:r>
          </w:p>
        </w:tc>
        <w:tc>
          <w:tcPr>
            <w:tcW w:w="1375"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4.4</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28</w:t>
            </w:r>
          </w:p>
        </w:tc>
        <w:tc>
          <w:tcPr>
            <w:tcW w:w="3435" w:type="dxa"/>
            <w:noWrap/>
            <w:vAlign w:val="center"/>
          </w:tcPr>
          <w:p>
            <w:pPr>
              <w:autoSpaceDN w:val="0"/>
              <w:jc w:val="center"/>
              <w:textAlignment w:val="center"/>
              <w:rPr>
                <w:rFonts w:ascii="Times New Roman" w:hAnsi="Times New Roman"/>
                <w:color w:val="auto"/>
                <w:highlight w:val="none"/>
              </w:rPr>
            </w:pPr>
            <w:r>
              <w:rPr>
                <w:rFonts w:ascii="Times New Roman" w:hAnsi="Times New Roman"/>
                <w:color w:val="auto"/>
                <w:highlight w:val="none"/>
              </w:rPr>
              <w:t>化工操作单元仿真实训室——硬件系统</w:t>
            </w:r>
            <w:r>
              <w:rPr>
                <w:rFonts w:hint="eastAsia" w:ascii="Times New Roman" w:hAnsi="Times New Roman"/>
                <w:color w:val="auto"/>
                <w:highlight w:val="none"/>
              </w:rPr>
              <w:t>、软件及配套</w:t>
            </w:r>
          </w:p>
        </w:tc>
        <w:tc>
          <w:tcPr>
            <w:tcW w:w="1031"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24</w:t>
            </w:r>
          </w:p>
        </w:tc>
        <w:tc>
          <w:tcPr>
            <w:tcW w:w="859"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1</w:t>
            </w:r>
          </w:p>
        </w:tc>
        <w:tc>
          <w:tcPr>
            <w:tcW w:w="1375"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24</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29</w:t>
            </w:r>
          </w:p>
        </w:tc>
        <w:tc>
          <w:tcPr>
            <w:tcW w:w="3435" w:type="dxa"/>
            <w:noWrap/>
            <w:vAlign w:val="center"/>
          </w:tcPr>
          <w:p>
            <w:pPr>
              <w:autoSpaceDN w:val="0"/>
              <w:jc w:val="center"/>
              <w:textAlignment w:val="center"/>
              <w:rPr>
                <w:rFonts w:ascii="Times New Roman" w:hAnsi="Times New Roman"/>
                <w:color w:val="auto"/>
                <w:highlight w:val="none"/>
              </w:rPr>
            </w:pPr>
            <w:r>
              <w:rPr>
                <w:rFonts w:ascii="Times New Roman" w:hAnsi="Times New Roman"/>
                <w:color w:val="auto"/>
                <w:sz w:val="18"/>
                <w:szCs w:val="18"/>
                <w:highlight w:val="none"/>
              </w:rPr>
              <w:t>智能沙盘</w:t>
            </w:r>
          </w:p>
        </w:tc>
        <w:tc>
          <w:tcPr>
            <w:tcW w:w="1031"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32.5</w:t>
            </w:r>
          </w:p>
        </w:tc>
        <w:tc>
          <w:tcPr>
            <w:tcW w:w="859"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1</w:t>
            </w:r>
          </w:p>
        </w:tc>
        <w:tc>
          <w:tcPr>
            <w:tcW w:w="1375"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32.5</w:t>
            </w:r>
          </w:p>
        </w:tc>
        <w:tc>
          <w:tcPr>
            <w:tcW w:w="1203" w:type="dxa"/>
            <w:noWrap/>
            <w:vAlign w:val="center"/>
          </w:tcPr>
          <w:p>
            <w:pPr>
              <w:spacing w:line="360" w:lineRule="auto"/>
              <w:jc w:val="center"/>
              <w:rPr>
                <w:rFonts w:ascii="宋体" w:hAnsi="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bCs/>
                <w:color w:val="auto"/>
                <w:szCs w:val="21"/>
                <w:highlight w:val="none"/>
              </w:rPr>
            </w:pPr>
            <w:r>
              <w:rPr>
                <w:rFonts w:hint="eastAsia" w:ascii="宋体" w:hAnsi="宋体"/>
                <w:bCs/>
                <w:color w:val="auto"/>
                <w:szCs w:val="21"/>
                <w:highlight w:val="none"/>
              </w:rPr>
              <w:t>30</w:t>
            </w:r>
          </w:p>
        </w:tc>
        <w:tc>
          <w:tcPr>
            <w:tcW w:w="3435" w:type="dxa"/>
            <w:noWrap/>
            <w:vAlign w:val="center"/>
          </w:tcPr>
          <w:p>
            <w:pPr>
              <w:autoSpaceDN w:val="0"/>
              <w:jc w:val="center"/>
              <w:textAlignment w:val="center"/>
              <w:rPr>
                <w:rFonts w:ascii="Times New Roman" w:hAnsi="Times New Roman"/>
                <w:color w:val="auto"/>
                <w:highlight w:val="none"/>
              </w:rPr>
            </w:pPr>
            <w:r>
              <w:rPr>
                <w:rFonts w:ascii="Times New Roman" w:hAnsi="Times New Roman"/>
                <w:color w:val="auto"/>
                <w:highlight w:val="none"/>
              </w:rPr>
              <w:t>微机灰熔点测定仪</w:t>
            </w:r>
          </w:p>
        </w:tc>
        <w:tc>
          <w:tcPr>
            <w:tcW w:w="1031"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3.2</w:t>
            </w:r>
          </w:p>
        </w:tc>
        <w:tc>
          <w:tcPr>
            <w:tcW w:w="859"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1</w:t>
            </w:r>
          </w:p>
        </w:tc>
        <w:tc>
          <w:tcPr>
            <w:tcW w:w="1375"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3.2</w:t>
            </w:r>
          </w:p>
        </w:tc>
        <w:tc>
          <w:tcPr>
            <w:tcW w:w="1203" w:type="dxa"/>
            <w:noWrap/>
            <w:vAlign w:val="center"/>
          </w:tcPr>
          <w:p>
            <w:pPr>
              <w:spacing w:line="360" w:lineRule="auto"/>
              <w:jc w:val="center"/>
              <w:rPr>
                <w:rFonts w:ascii="宋体" w:hAnsi="宋体"/>
                <w:bCs/>
                <w:color w:val="auto"/>
                <w:szCs w:val="21"/>
                <w:highlight w:val="none"/>
              </w:rPr>
            </w:pPr>
          </w:p>
        </w:tc>
      </w:tr>
    </w:tbl>
    <w:p>
      <w:pPr>
        <w:pStyle w:val="4"/>
        <w:spacing w:before="0" w:after="0" w:line="360" w:lineRule="auto"/>
        <w:ind w:firstLine="300" w:firstLineChars="100"/>
        <w:rPr>
          <w:rFonts w:hint="eastAsia" w:ascii="黑体" w:hAnsi="黑体" w:eastAsia="黑体" w:cs="黑体"/>
          <w:b w:val="0"/>
          <w:bCs/>
          <w:color w:val="auto"/>
          <w:kern w:val="2"/>
          <w:sz w:val="30"/>
          <w:szCs w:val="30"/>
          <w:highlight w:val="none"/>
          <w:lang w:val="en-US" w:eastAsia="zh-CN" w:bidi="ar-SA"/>
        </w:rPr>
      </w:pPr>
      <w:bookmarkStart w:id="139" w:name="_Toc7654"/>
      <w:bookmarkStart w:id="140" w:name="_Toc28904"/>
      <w:bookmarkStart w:id="141" w:name="_Toc692"/>
      <w:bookmarkStart w:id="142" w:name="_Toc2932"/>
      <w:r>
        <w:rPr>
          <w:rFonts w:hint="eastAsia" w:ascii="黑体" w:hAnsi="黑体" w:eastAsia="黑体" w:cs="黑体"/>
          <w:b w:val="0"/>
          <w:bCs/>
          <w:color w:val="auto"/>
          <w:kern w:val="2"/>
          <w:sz w:val="30"/>
          <w:szCs w:val="30"/>
          <w:highlight w:val="none"/>
          <w:lang w:val="en-US" w:eastAsia="zh-CN" w:bidi="ar-SA"/>
        </w:rPr>
        <w:t>（二）校外实习基地教学条件</w:t>
      </w:r>
      <w:bookmarkEnd w:id="139"/>
      <w:bookmarkEnd w:id="140"/>
      <w:bookmarkEnd w:id="141"/>
      <w:bookmarkEnd w:id="142"/>
    </w:p>
    <w:p>
      <w:pPr>
        <w:spacing w:line="440" w:lineRule="exact"/>
        <w:ind w:firstLine="480" w:firstLineChars="200"/>
        <w:rPr>
          <w:rFonts w:ascii="宋体" w:hAnsi="宋体"/>
          <w:color w:val="auto"/>
          <w:sz w:val="24"/>
          <w:highlight w:val="none"/>
        </w:rPr>
      </w:pPr>
      <w:r>
        <w:rPr>
          <w:rFonts w:ascii="宋体" w:hAnsi="宋体"/>
          <w:color w:val="auto"/>
          <w:sz w:val="24"/>
          <w:highlight w:val="none"/>
        </w:rPr>
        <w:t>实训和顶岗实习是高职教育不可缺少的一个重要教学环节，也直接关系到人才培养目标能否实现的关键性环节。为了能够培养符合</w:t>
      </w:r>
      <w:r>
        <w:rPr>
          <w:rFonts w:hint="eastAsia" w:ascii="宋体" w:hAnsi="宋体"/>
          <w:color w:val="auto"/>
          <w:sz w:val="24"/>
          <w:highlight w:val="none"/>
        </w:rPr>
        <w:t>煤化工</w:t>
      </w:r>
      <w:r>
        <w:rPr>
          <w:rFonts w:ascii="宋体" w:hAnsi="宋体"/>
          <w:color w:val="auto"/>
          <w:sz w:val="24"/>
          <w:highlight w:val="none"/>
        </w:rPr>
        <w:t>企业要求的</w:t>
      </w:r>
      <w:r>
        <w:rPr>
          <w:rFonts w:hint="eastAsia" w:ascii="宋体" w:hAnsi="宋体"/>
          <w:color w:val="auto"/>
          <w:sz w:val="24"/>
          <w:highlight w:val="none"/>
        </w:rPr>
        <w:t>煤化工生产技术</w:t>
      </w:r>
      <w:r>
        <w:rPr>
          <w:rFonts w:ascii="宋体" w:hAnsi="宋体"/>
          <w:color w:val="auto"/>
          <w:sz w:val="24"/>
          <w:highlight w:val="none"/>
        </w:rPr>
        <w:t>专业</w:t>
      </w:r>
      <w:r>
        <w:rPr>
          <w:rFonts w:hint="eastAsia" w:ascii="宋体" w:hAnsi="宋体"/>
          <w:color w:val="auto"/>
          <w:sz w:val="24"/>
          <w:highlight w:val="none"/>
        </w:rPr>
        <w:t>高端技能型</w:t>
      </w:r>
      <w:r>
        <w:rPr>
          <w:rFonts w:ascii="宋体" w:hAnsi="宋体"/>
          <w:color w:val="auto"/>
          <w:sz w:val="24"/>
          <w:highlight w:val="none"/>
        </w:rPr>
        <w:t>专门人才，</w:t>
      </w:r>
      <w:r>
        <w:rPr>
          <w:rFonts w:hint="eastAsia" w:ascii="宋体" w:hAnsi="宋体"/>
          <w:color w:val="auto"/>
          <w:sz w:val="24"/>
          <w:highlight w:val="none"/>
        </w:rPr>
        <w:t>现</w:t>
      </w:r>
      <w:r>
        <w:rPr>
          <w:rFonts w:ascii="宋体" w:hAnsi="宋体"/>
          <w:color w:val="auto"/>
          <w:sz w:val="24"/>
          <w:highlight w:val="none"/>
        </w:rPr>
        <w:t>建有</w:t>
      </w:r>
      <w:r>
        <w:rPr>
          <w:rFonts w:hint="eastAsia" w:ascii="宋体" w:hAnsi="宋体"/>
          <w:color w:val="auto"/>
          <w:sz w:val="24"/>
          <w:highlight w:val="none"/>
        </w:rPr>
        <w:t>5</w:t>
      </w:r>
      <w:r>
        <w:rPr>
          <w:rFonts w:ascii="宋体" w:hAnsi="宋体"/>
          <w:color w:val="auto"/>
          <w:sz w:val="24"/>
          <w:highlight w:val="none"/>
        </w:rPr>
        <w:t>个校外实</w:t>
      </w:r>
      <w:r>
        <w:rPr>
          <w:rFonts w:hint="eastAsia" w:ascii="宋体" w:hAnsi="宋体"/>
          <w:color w:val="auto"/>
          <w:sz w:val="24"/>
          <w:highlight w:val="none"/>
        </w:rPr>
        <w:t>习</w:t>
      </w:r>
      <w:r>
        <w:rPr>
          <w:rFonts w:ascii="宋体" w:hAnsi="宋体"/>
          <w:color w:val="auto"/>
          <w:sz w:val="24"/>
          <w:highlight w:val="none"/>
        </w:rPr>
        <w:t>基地。</w:t>
      </w:r>
    </w:p>
    <w:p>
      <w:pPr>
        <w:spacing w:line="360" w:lineRule="auto"/>
        <w:jc w:val="center"/>
        <w:rPr>
          <w:rFonts w:ascii="宋体" w:hAnsi="宋体"/>
          <w:bCs/>
          <w:color w:val="auto"/>
          <w:sz w:val="24"/>
          <w:highlight w:val="none"/>
        </w:rPr>
      </w:pPr>
      <w:r>
        <w:rPr>
          <w:rFonts w:hint="eastAsia" w:ascii="宋体" w:hAnsi="宋体"/>
          <w:bCs/>
          <w:color w:val="auto"/>
          <w:sz w:val="24"/>
          <w:highlight w:val="none"/>
        </w:rPr>
        <w:t>表5.11 校外实习基地情况</w:t>
      </w:r>
    </w:p>
    <w:tbl>
      <w:tblPr>
        <w:tblStyle w:val="1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3167"/>
        <w:gridCol w:w="4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77" w:type="dxa"/>
            <w:noWrap/>
            <w:vAlign w:val="center"/>
          </w:tcPr>
          <w:p>
            <w:pPr>
              <w:spacing w:line="280" w:lineRule="exact"/>
              <w:jc w:val="center"/>
              <w:rPr>
                <w:rFonts w:ascii="宋体" w:hAnsi="宋体"/>
                <w:color w:val="auto"/>
                <w:szCs w:val="21"/>
                <w:highlight w:val="none"/>
              </w:rPr>
            </w:pPr>
            <w:r>
              <w:rPr>
                <w:rFonts w:hint="eastAsia" w:ascii="宋体" w:hAnsi="宋体"/>
                <w:color w:val="auto"/>
                <w:szCs w:val="21"/>
                <w:highlight w:val="none"/>
              </w:rPr>
              <w:t>序号</w:t>
            </w:r>
          </w:p>
        </w:tc>
        <w:tc>
          <w:tcPr>
            <w:tcW w:w="3167" w:type="dxa"/>
            <w:noWrap/>
            <w:vAlign w:val="center"/>
          </w:tcPr>
          <w:p>
            <w:pPr>
              <w:spacing w:line="280" w:lineRule="exact"/>
              <w:jc w:val="center"/>
              <w:rPr>
                <w:rFonts w:ascii="宋体" w:hAnsi="宋体"/>
                <w:color w:val="auto"/>
                <w:szCs w:val="21"/>
                <w:highlight w:val="none"/>
              </w:rPr>
            </w:pPr>
            <w:r>
              <w:rPr>
                <w:rFonts w:hint="eastAsia" w:ascii="宋体" w:hAnsi="宋体"/>
                <w:color w:val="auto"/>
                <w:szCs w:val="21"/>
                <w:highlight w:val="none"/>
              </w:rPr>
              <w:t>名称</w:t>
            </w:r>
          </w:p>
        </w:tc>
        <w:tc>
          <w:tcPr>
            <w:tcW w:w="4478" w:type="dxa"/>
            <w:noWrap/>
            <w:vAlign w:val="center"/>
          </w:tcPr>
          <w:p>
            <w:pPr>
              <w:spacing w:line="280" w:lineRule="exact"/>
              <w:jc w:val="center"/>
              <w:rPr>
                <w:rFonts w:ascii="宋体" w:hAnsi="宋体"/>
                <w:color w:val="auto"/>
                <w:szCs w:val="21"/>
                <w:highlight w:val="none"/>
              </w:rPr>
            </w:pPr>
            <w:r>
              <w:rPr>
                <w:rFonts w:hint="eastAsia" w:ascii="宋体" w:hAnsi="宋体"/>
                <w:color w:val="auto"/>
                <w:szCs w:val="21"/>
                <w:highlight w:val="none"/>
              </w:rPr>
              <w:t>主要功能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77" w:type="dxa"/>
            <w:noWrap/>
            <w:vAlign w:val="center"/>
          </w:tcPr>
          <w:p>
            <w:pPr>
              <w:widowControl/>
              <w:spacing w:line="280" w:lineRule="exact"/>
              <w:jc w:val="center"/>
              <w:rPr>
                <w:rFonts w:ascii="宋体" w:hAnsi="宋体"/>
                <w:color w:val="auto"/>
                <w:kern w:val="0"/>
                <w:szCs w:val="21"/>
                <w:highlight w:val="none"/>
              </w:rPr>
            </w:pPr>
            <w:r>
              <w:rPr>
                <w:rFonts w:hint="eastAsia" w:ascii="宋体" w:hAnsi="宋体"/>
                <w:color w:val="auto"/>
                <w:kern w:val="0"/>
                <w:szCs w:val="21"/>
                <w:highlight w:val="none"/>
              </w:rPr>
              <w:t>1</w:t>
            </w:r>
          </w:p>
        </w:tc>
        <w:tc>
          <w:tcPr>
            <w:tcW w:w="3167" w:type="dxa"/>
            <w:noWrap/>
            <w:vAlign w:val="center"/>
          </w:tcPr>
          <w:p>
            <w:pPr>
              <w:autoSpaceDN w:val="0"/>
              <w:jc w:val="center"/>
              <w:textAlignment w:val="center"/>
              <w:rPr>
                <w:rFonts w:ascii="宋体" w:hAnsi="宋体"/>
                <w:color w:val="auto"/>
                <w:kern w:val="0"/>
                <w:szCs w:val="21"/>
                <w:highlight w:val="none"/>
              </w:rPr>
            </w:pPr>
            <w:r>
              <w:rPr>
                <w:rFonts w:hint="eastAsia" w:ascii="宋体" w:hAnsi="宋体"/>
                <w:color w:val="auto"/>
                <w:szCs w:val="21"/>
                <w:highlight w:val="none"/>
              </w:rPr>
              <w:t>山西兰花科创化肥有限公司</w:t>
            </w:r>
          </w:p>
        </w:tc>
        <w:tc>
          <w:tcPr>
            <w:tcW w:w="4478"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合成氨工艺流程、尿素合成工艺、基本设备操作、化工仪表操作、设备故障检修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77" w:type="dxa"/>
            <w:noWrap/>
            <w:vAlign w:val="center"/>
          </w:tcPr>
          <w:p>
            <w:pPr>
              <w:widowControl/>
              <w:spacing w:line="280" w:lineRule="exact"/>
              <w:jc w:val="center"/>
              <w:rPr>
                <w:rFonts w:ascii="宋体" w:hAnsi="宋体"/>
                <w:color w:val="auto"/>
                <w:kern w:val="0"/>
                <w:szCs w:val="21"/>
                <w:highlight w:val="none"/>
              </w:rPr>
            </w:pPr>
            <w:r>
              <w:rPr>
                <w:rFonts w:hint="eastAsia" w:ascii="宋体" w:hAnsi="宋体"/>
                <w:color w:val="auto"/>
                <w:kern w:val="0"/>
                <w:szCs w:val="21"/>
                <w:highlight w:val="none"/>
              </w:rPr>
              <w:t>2</w:t>
            </w:r>
          </w:p>
        </w:tc>
        <w:tc>
          <w:tcPr>
            <w:tcW w:w="3167" w:type="dxa"/>
            <w:noWrap/>
            <w:vAlign w:val="center"/>
          </w:tcPr>
          <w:p>
            <w:pPr>
              <w:autoSpaceDN w:val="0"/>
              <w:jc w:val="center"/>
              <w:textAlignment w:val="center"/>
              <w:rPr>
                <w:rFonts w:ascii="宋体" w:hAnsi="宋体"/>
                <w:color w:val="auto"/>
                <w:kern w:val="0"/>
                <w:szCs w:val="21"/>
                <w:highlight w:val="none"/>
              </w:rPr>
            </w:pPr>
            <w:r>
              <w:rPr>
                <w:rFonts w:hint="eastAsia" w:ascii="宋体" w:hAnsi="宋体"/>
                <w:color w:val="auto"/>
                <w:szCs w:val="21"/>
                <w:highlight w:val="none"/>
              </w:rPr>
              <w:t>山西天泽化工有限公司</w:t>
            </w:r>
          </w:p>
        </w:tc>
        <w:tc>
          <w:tcPr>
            <w:tcW w:w="4478"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合成氨工艺流程、尿素合成工艺、基本设备操作、化工仪表操作、设备故障检修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77" w:type="dxa"/>
            <w:noWrap/>
            <w:vAlign w:val="center"/>
          </w:tcPr>
          <w:p>
            <w:pPr>
              <w:widowControl/>
              <w:spacing w:line="280" w:lineRule="exact"/>
              <w:jc w:val="center"/>
              <w:rPr>
                <w:rFonts w:ascii="宋体" w:hAnsi="宋体"/>
                <w:color w:val="auto"/>
                <w:kern w:val="0"/>
                <w:szCs w:val="21"/>
                <w:highlight w:val="none"/>
              </w:rPr>
            </w:pPr>
            <w:r>
              <w:rPr>
                <w:rFonts w:hint="eastAsia" w:ascii="宋体" w:hAnsi="宋体"/>
                <w:color w:val="auto"/>
                <w:kern w:val="0"/>
                <w:szCs w:val="21"/>
                <w:highlight w:val="none"/>
              </w:rPr>
              <w:t>3</w:t>
            </w:r>
          </w:p>
        </w:tc>
        <w:tc>
          <w:tcPr>
            <w:tcW w:w="3167" w:type="dxa"/>
            <w:noWrap/>
            <w:vAlign w:val="center"/>
          </w:tcPr>
          <w:p>
            <w:pPr>
              <w:autoSpaceDN w:val="0"/>
              <w:jc w:val="center"/>
              <w:textAlignment w:val="center"/>
              <w:rPr>
                <w:rFonts w:ascii="宋体" w:hAnsi="宋体"/>
                <w:color w:val="auto"/>
                <w:kern w:val="0"/>
                <w:szCs w:val="21"/>
                <w:highlight w:val="none"/>
              </w:rPr>
            </w:pPr>
            <w:r>
              <w:rPr>
                <w:rFonts w:hint="eastAsia" w:ascii="宋体" w:hAnsi="宋体"/>
                <w:color w:val="auto"/>
                <w:szCs w:val="21"/>
                <w:highlight w:val="none"/>
              </w:rPr>
              <w:t>河南晋开化工有限公司</w:t>
            </w:r>
          </w:p>
        </w:tc>
        <w:tc>
          <w:tcPr>
            <w:tcW w:w="4478" w:type="dxa"/>
            <w:noWrap/>
            <w:vAlign w:val="center"/>
          </w:tcPr>
          <w:p>
            <w:pPr>
              <w:autoSpaceDN w:val="0"/>
              <w:jc w:val="center"/>
              <w:textAlignment w:val="center"/>
              <w:rPr>
                <w:rFonts w:ascii="宋体" w:hAnsi="宋体"/>
                <w:color w:val="auto"/>
                <w:szCs w:val="21"/>
                <w:highlight w:val="none"/>
              </w:rPr>
            </w:pPr>
            <w:r>
              <w:rPr>
                <w:rFonts w:hint="eastAsia" w:ascii="宋体" w:hAnsi="宋体"/>
                <w:color w:val="auto"/>
                <w:szCs w:val="21"/>
                <w:highlight w:val="none"/>
              </w:rPr>
              <w:t>合成氨工艺流程、尿素合成工艺、基本设备操作、设备故障检修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77" w:type="dxa"/>
            <w:noWrap/>
            <w:vAlign w:val="center"/>
          </w:tcPr>
          <w:p>
            <w:pPr>
              <w:widowControl/>
              <w:spacing w:line="280" w:lineRule="exact"/>
              <w:jc w:val="center"/>
              <w:rPr>
                <w:rFonts w:ascii="宋体" w:hAnsi="宋体"/>
                <w:color w:val="auto"/>
                <w:kern w:val="0"/>
                <w:szCs w:val="21"/>
                <w:highlight w:val="none"/>
              </w:rPr>
            </w:pPr>
            <w:r>
              <w:rPr>
                <w:rFonts w:hint="eastAsia" w:ascii="宋体" w:hAnsi="宋体"/>
                <w:color w:val="auto"/>
                <w:kern w:val="0"/>
                <w:szCs w:val="21"/>
                <w:highlight w:val="none"/>
              </w:rPr>
              <w:t>4</w:t>
            </w:r>
          </w:p>
        </w:tc>
        <w:tc>
          <w:tcPr>
            <w:tcW w:w="3167" w:type="dxa"/>
            <w:noWrap/>
            <w:vAlign w:val="center"/>
          </w:tcPr>
          <w:p>
            <w:pPr>
              <w:spacing w:line="280" w:lineRule="exact"/>
              <w:jc w:val="center"/>
              <w:rPr>
                <w:rFonts w:ascii="宋体" w:hAnsi="宋体"/>
                <w:color w:val="auto"/>
                <w:kern w:val="0"/>
                <w:szCs w:val="21"/>
                <w:highlight w:val="none"/>
              </w:rPr>
            </w:pPr>
            <w:r>
              <w:rPr>
                <w:rFonts w:hint="eastAsia" w:ascii="宋体" w:hAnsi="宋体"/>
                <w:color w:val="auto"/>
                <w:kern w:val="0"/>
                <w:szCs w:val="21"/>
                <w:highlight w:val="none"/>
              </w:rPr>
              <w:t>山东威高集团</w:t>
            </w:r>
          </w:p>
        </w:tc>
        <w:tc>
          <w:tcPr>
            <w:tcW w:w="4478" w:type="dxa"/>
            <w:noWrap/>
            <w:vAlign w:val="center"/>
          </w:tcPr>
          <w:p>
            <w:pPr>
              <w:spacing w:line="280" w:lineRule="exact"/>
              <w:jc w:val="center"/>
              <w:rPr>
                <w:rFonts w:ascii="宋体" w:hAnsi="宋体"/>
                <w:color w:val="auto"/>
                <w:szCs w:val="21"/>
                <w:highlight w:val="none"/>
              </w:rPr>
            </w:pPr>
            <w:r>
              <w:rPr>
                <w:rFonts w:hint="eastAsia" w:ascii="宋体" w:hAnsi="宋体"/>
                <w:color w:val="auto"/>
                <w:szCs w:val="21"/>
                <w:highlight w:val="none"/>
              </w:rPr>
              <w:t>化工产品的生产工艺与流程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77" w:type="dxa"/>
            <w:noWrap/>
            <w:vAlign w:val="center"/>
          </w:tcPr>
          <w:p>
            <w:pPr>
              <w:widowControl/>
              <w:spacing w:line="280" w:lineRule="exact"/>
              <w:jc w:val="center"/>
              <w:rPr>
                <w:rFonts w:ascii="宋体" w:hAnsi="宋体"/>
                <w:color w:val="auto"/>
                <w:kern w:val="0"/>
                <w:szCs w:val="21"/>
                <w:highlight w:val="none"/>
              </w:rPr>
            </w:pPr>
            <w:r>
              <w:rPr>
                <w:rFonts w:hint="eastAsia" w:ascii="宋体" w:hAnsi="宋体"/>
                <w:color w:val="auto"/>
                <w:kern w:val="0"/>
                <w:szCs w:val="21"/>
                <w:highlight w:val="none"/>
              </w:rPr>
              <w:t>5</w:t>
            </w:r>
          </w:p>
        </w:tc>
        <w:tc>
          <w:tcPr>
            <w:tcW w:w="3167" w:type="dxa"/>
            <w:noWrap/>
            <w:vAlign w:val="center"/>
          </w:tcPr>
          <w:p>
            <w:pPr>
              <w:spacing w:line="280" w:lineRule="exact"/>
              <w:jc w:val="center"/>
              <w:rPr>
                <w:rFonts w:ascii="宋体" w:hAnsi="宋体"/>
                <w:color w:val="auto"/>
                <w:kern w:val="0"/>
                <w:szCs w:val="21"/>
                <w:highlight w:val="none"/>
              </w:rPr>
            </w:pPr>
            <w:r>
              <w:rPr>
                <w:rFonts w:hint="eastAsia" w:ascii="宋体" w:hAnsi="宋体"/>
                <w:color w:val="auto"/>
                <w:kern w:val="0"/>
                <w:szCs w:val="21"/>
                <w:highlight w:val="none"/>
              </w:rPr>
              <w:t>江苏恒盛化工有限公司</w:t>
            </w:r>
          </w:p>
        </w:tc>
        <w:tc>
          <w:tcPr>
            <w:tcW w:w="4478" w:type="dxa"/>
            <w:noWrap/>
            <w:vAlign w:val="center"/>
          </w:tcPr>
          <w:p>
            <w:pPr>
              <w:spacing w:line="280" w:lineRule="exact"/>
              <w:ind w:firstLine="338"/>
              <w:rPr>
                <w:rFonts w:ascii="宋体" w:hAnsi="宋体"/>
                <w:color w:val="auto"/>
                <w:szCs w:val="21"/>
                <w:highlight w:val="none"/>
              </w:rPr>
            </w:pPr>
            <w:r>
              <w:rPr>
                <w:rFonts w:hint="eastAsia" w:ascii="宋体" w:hAnsi="宋体"/>
                <w:color w:val="auto"/>
                <w:szCs w:val="21"/>
                <w:highlight w:val="none"/>
              </w:rPr>
              <w:t xml:space="preserve">      化工产品的生产工艺与流程</w:t>
            </w:r>
          </w:p>
        </w:tc>
      </w:tr>
    </w:tbl>
    <w:p>
      <w:pPr>
        <w:pStyle w:val="3"/>
        <w:snapToGrid w:val="0"/>
        <w:spacing w:before="0" w:after="0" w:line="360" w:lineRule="auto"/>
        <w:ind w:firstLine="640" w:firstLineChars="200"/>
        <w:rPr>
          <w:b w:val="0"/>
          <w:bCs/>
          <w:color w:val="auto"/>
          <w:highlight w:val="none"/>
        </w:rPr>
      </w:pPr>
      <w:bookmarkStart w:id="143" w:name="_Toc458088975"/>
      <w:bookmarkStart w:id="144" w:name="_Toc23120"/>
      <w:bookmarkStart w:id="145" w:name="_Toc13169"/>
      <w:bookmarkStart w:id="146" w:name="_Toc458095099"/>
      <w:bookmarkStart w:id="147" w:name="_Toc458088741"/>
      <w:bookmarkStart w:id="148" w:name="_Toc361942968"/>
      <w:bookmarkStart w:id="149" w:name="_Toc458089354"/>
      <w:r>
        <w:rPr>
          <w:rFonts w:hint="eastAsia"/>
          <w:b w:val="0"/>
          <w:bCs/>
          <w:color w:val="auto"/>
          <w:highlight w:val="none"/>
        </w:rPr>
        <w:t>四、教学监督与评价机制保障</w:t>
      </w:r>
      <w:bookmarkEnd w:id="143"/>
      <w:bookmarkEnd w:id="144"/>
      <w:bookmarkEnd w:id="145"/>
      <w:bookmarkEnd w:id="146"/>
      <w:bookmarkEnd w:id="147"/>
      <w:bookmarkEnd w:id="148"/>
      <w:bookmarkEnd w:id="149"/>
    </w:p>
    <w:p>
      <w:pPr>
        <w:spacing w:line="440" w:lineRule="exact"/>
        <w:ind w:firstLine="540" w:firstLineChars="225"/>
        <w:rPr>
          <w:rFonts w:ascii="宋体" w:hAnsi="宋体"/>
          <w:color w:val="auto"/>
          <w:sz w:val="24"/>
          <w:highlight w:val="none"/>
        </w:rPr>
      </w:pPr>
      <w:r>
        <w:rPr>
          <w:rFonts w:hint="eastAsia" w:ascii="宋体" w:hAnsi="宋体"/>
          <w:color w:val="auto"/>
          <w:sz w:val="24"/>
          <w:highlight w:val="none"/>
        </w:rPr>
        <w:t>经过多年实践，学院已经形成和建立了行之有效的教学管理制度和教学质量监控体系，对规范正常教学秩序、严格教学管理，保证教学质量起到了积极的保障作用。</w:t>
      </w:r>
    </w:p>
    <w:p>
      <w:pPr>
        <w:pStyle w:val="4"/>
        <w:spacing w:before="0" w:after="0" w:line="360" w:lineRule="auto"/>
        <w:ind w:firstLine="300" w:firstLineChars="100"/>
        <w:rPr>
          <w:rFonts w:hint="eastAsia" w:ascii="黑体" w:hAnsi="黑体" w:eastAsia="黑体" w:cs="黑体"/>
          <w:b w:val="0"/>
          <w:bCs/>
          <w:color w:val="auto"/>
          <w:kern w:val="2"/>
          <w:sz w:val="30"/>
          <w:szCs w:val="30"/>
          <w:highlight w:val="none"/>
          <w:lang w:val="en-US" w:eastAsia="zh-CN" w:bidi="ar-SA"/>
        </w:rPr>
      </w:pPr>
      <w:bookmarkStart w:id="150" w:name="_Toc18392"/>
      <w:bookmarkStart w:id="151" w:name="_Toc28541"/>
      <w:bookmarkStart w:id="152" w:name="_Toc31778"/>
      <w:bookmarkStart w:id="153" w:name="_Toc20533"/>
      <w:r>
        <w:rPr>
          <w:rFonts w:hint="eastAsia" w:ascii="黑体" w:hAnsi="黑体" w:eastAsia="黑体" w:cs="黑体"/>
          <w:b w:val="0"/>
          <w:bCs/>
          <w:color w:val="auto"/>
          <w:kern w:val="2"/>
          <w:sz w:val="30"/>
          <w:szCs w:val="30"/>
          <w:highlight w:val="none"/>
          <w:lang w:val="en-US" w:eastAsia="zh-CN" w:bidi="ar-SA"/>
        </w:rPr>
        <w:t>（一）教学监督管理</w:t>
      </w:r>
      <w:bookmarkEnd w:id="150"/>
      <w:bookmarkEnd w:id="151"/>
      <w:bookmarkEnd w:id="152"/>
      <w:bookmarkEnd w:id="153"/>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eastAsia="zh-CN"/>
        </w:rPr>
        <w:t>.</w:t>
      </w:r>
      <w:r>
        <w:rPr>
          <w:rFonts w:ascii="宋体" w:hAnsi="宋体"/>
          <w:color w:val="auto"/>
          <w:sz w:val="24"/>
          <w:highlight w:val="none"/>
        </w:rPr>
        <w:t>日常教学管理</w:t>
      </w:r>
    </w:p>
    <w:p>
      <w:pPr>
        <w:tabs>
          <w:tab w:val="left" w:pos="360"/>
          <w:tab w:val="left" w:pos="540"/>
        </w:tabs>
        <w:spacing w:line="360" w:lineRule="auto"/>
        <w:ind w:firstLine="480" w:firstLineChars="200"/>
        <w:rPr>
          <w:rFonts w:ascii="宋体" w:hAnsi="宋体"/>
          <w:color w:val="auto"/>
          <w:sz w:val="24"/>
          <w:highlight w:val="none"/>
        </w:rPr>
      </w:pPr>
      <w:r>
        <w:rPr>
          <w:rFonts w:ascii="宋体" w:hAnsi="宋体"/>
          <w:color w:val="auto"/>
          <w:sz w:val="24"/>
          <w:highlight w:val="none"/>
        </w:rPr>
        <w:t>在教务处统一安排下，</w:t>
      </w:r>
      <w:r>
        <w:rPr>
          <w:rFonts w:hint="eastAsia" w:ascii="宋体" w:hAnsi="宋体"/>
          <w:color w:val="auto"/>
          <w:sz w:val="24"/>
          <w:highlight w:val="none"/>
        </w:rPr>
        <w:t>该</w:t>
      </w:r>
      <w:r>
        <w:rPr>
          <w:rFonts w:ascii="宋体" w:hAnsi="宋体"/>
          <w:color w:val="auto"/>
          <w:sz w:val="24"/>
          <w:highlight w:val="none"/>
        </w:rPr>
        <w:t>系会同教务处，共同对</w:t>
      </w:r>
      <w:r>
        <w:rPr>
          <w:rFonts w:hint="eastAsia" w:ascii="宋体" w:hAnsi="宋体"/>
          <w:color w:val="auto"/>
          <w:sz w:val="24"/>
          <w:highlight w:val="none"/>
        </w:rPr>
        <w:t>人才培养方案</w:t>
      </w:r>
      <w:r>
        <w:rPr>
          <w:rFonts w:ascii="宋体" w:hAnsi="宋体"/>
          <w:color w:val="auto"/>
          <w:sz w:val="24"/>
          <w:highlight w:val="none"/>
        </w:rPr>
        <w:t>的执行情况（即教学过程）和教师的教学纪律进行定期和不定期的检查和督导，以保证教学秩序的稳定。检查可采取听课、检查任课教师的教学资料、召开学生座谈会、对学生进行问卷调查等形式进行。教务处和</w:t>
      </w:r>
      <w:r>
        <w:rPr>
          <w:rFonts w:hint="eastAsia" w:ascii="宋体" w:hAnsi="宋体"/>
          <w:color w:val="auto"/>
          <w:sz w:val="24"/>
          <w:highlight w:val="none"/>
        </w:rPr>
        <w:t>本</w:t>
      </w:r>
      <w:r>
        <w:rPr>
          <w:rFonts w:ascii="宋体" w:hAnsi="宋体"/>
          <w:color w:val="auto"/>
          <w:sz w:val="24"/>
          <w:highlight w:val="none"/>
        </w:rPr>
        <w:t>系每学期</w:t>
      </w:r>
      <w:r>
        <w:rPr>
          <w:rFonts w:hint="eastAsia" w:ascii="宋体" w:hAnsi="宋体"/>
          <w:color w:val="auto"/>
          <w:sz w:val="24"/>
          <w:highlight w:val="none"/>
        </w:rPr>
        <w:t>安排多次</w:t>
      </w:r>
      <w:r>
        <w:rPr>
          <w:rFonts w:ascii="宋体" w:hAnsi="宋体"/>
          <w:color w:val="auto"/>
          <w:sz w:val="24"/>
          <w:highlight w:val="none"/>
        </w:rPr>
        <w:t>集中</w:t>
      </w:r>
      <w:r>
        <w:rPr>
          <w:rFonts w:hint="eastAsia" w:ascii="宋体" w:hAnsi="宋体"/>
          <w:color w:val="auto"/>
          <w:sz w:val="24"/>
          <w:highlight w:val="none"/>
        </w:rPr>
        <w:t>教学</w:t>
      </w:r>
      <w:r>
        <w:rPr>
          <w:rFonts w:ascii="宋体" w:hAnsi="宋体"/>
          <w:color w:val="auto"/>
          <w:sz w:val="24"/>
          <w:highlight w:val="none"/>
        </w:rPr>
        <w:t>检查</w:t>
      </w:r>
      <w:r>
        <w:rPr>
          <w:rFonts w:hint="eastAsia" w:ascii="宋体" w:hAnsi="宋体"/>
          <w:color w:val="auto"/>
          <w:sz w:val="24"/>
          <w:highlight w:val="none"/>
        </w:rPr>
        <w:t>，规范教学常规</w:t>
      </w:r>
      <w:r>
        <w:rPr>
          <w:rFonts w:ascii="宋体" w:hAnsi="宋体"/>
          <w:color w:val="auto"/>
          <w:sz w:val="24"/>
          <w:highlight w:val="none"/>
        </w:rPr>
        <w:t>。</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w:t>
      </w:r>
      <w:r>
        <w:rPr>
          <w:rFonts w:hint="eastAsia" w:ascii="宋体" w:hAnsi="宋体"/>
          <w:color w:val="auto"/>
          <w:sz w:val="24"/>
          <w:highlight w:val="none"/>
          <w:lang w:eastAsia="zh-CN"/>
        </w:rPr>
        <w:t>.</w:t>
      </w:r>
      <w:r>
        <w:rPr>
          <w:rFonts w:ascii="宋体" w:hAnsi="宋体"/>
          <w:color w:val="auto"/>
          <w:sz w:val="24"/>
          <w:highlight w:val="none"/>
        </w:rPr>
        <w:t>建立教务</w:t>
      </w:r>
      <w:r>
        <w:rPr>
          <w:rFonts w:hint="eastAsia" w:ascii="宋体" w:hAnsi="宋体"/>
          <w:color w:val="auto"/>
          <w:sz w:val="24"/>
          <w:highlight w:val="none"/>
        </w:rPr>
        <w:t>例</w:t>
      </w:r>
      <w:r>
        <w:rPr>
          <w:rFonts w:ascii="宋体" w:hAnsi="宋体"/>
          <w:color w:val="auto"/>
          <w:sz w:val="24"/>
          <w:highlight w:val="none"/>
        </w:rPr>
        <w:t>会制度</w:t>
      </w:r>
    </w:p>
    <w:p>
      <w:pPr>
        <w:spacing w:line="360" w:lineRule="auto"/>
        <w:ind w:firstLine="480" w:firstLineChars="200"/>
        <w:rPr>
          <w:rFonts w:ascii="宋体" w:hAnsi="宋体"/>
          <w:color w:val="auto"/>
          <w:sz w:val="24"/>
          <w:highlight w:val="none"/>
        </w:rPr>
      </w:pPr>
      <w:r>
        <w:rPr>
          <w:rFonts w:ascii="宋体" w:hAnsi="宋体"/>
          <w:color w:val="auto"/>
          <w:sz w:val="24"/>
          <w:highlight w:val="none"/>
        </w:rPr>
        <w:t>由教务处协助主管</w:t>
      </w:r>
      <w:r>
        <w:rPr>
          <w:rFonts w:hint="eastAsia" w:ascii="宋体" w:hAnsi="宋体"/>
          <w:color w:val="auto"/>
          <w:sz w:val="24"/>
          <w:highlight w:val="none"/>
        </w:rPr>
        <w:t>院</w:t>
      </w:r>
      <w:r>
        <w:rPr>
          <w:rFonts w:ascii="宋体" w:hAnsi="宋体"/>
          <w:color w:val="auto"/>
          <w:sz w:val="24"/>
          <w:highlight w:val="none"/>
        </w:rPr>
        <w:t>长定期和不定期召开</w:t>
      </w:r>
      <w:r>
        <w:rPr>
          <w:rFonts w:hint="eastAsia" w:ascii="宋体" w:hAnsi="宋体"/>
          <w:color w:val="auto"/>
          <w:sz w:val="24"/>
          <w:highlight w:val="none"/>
        </w:rPr>
        <w:t>教务例会，各</w:t>
      </w:r>
      <w:r>
        <w:rPr>
          <w:rFonts w:ascii="宋体" w:hAnsi="宋体"/>
          <w:color w:val="auto"/>
          <w:sz w:val="24"/>
          <w:highlight w:val="none"/>
        </w:rPr>
        <w:t>系主任参加。通过教务</w:t>
      </w:r>
      <w:r>
        <w:rPr>
          <w:rFonts w:hint="eastAsia" w:ascii="宋体" w:hAnsi="宋体"/>
          <w:color w:val="auto"/>
          <w:sz w:val="24"/>
          <w:highlight w:val="none"/>
        </w:rPr>
        <w:t>例</w:t>
      </w:r>
      <w:r>
        <w:rPr>
          <w:rFonts w:ascii="宋体" w:hAnsi="宋体"/>
          <w:color w:val="auto"/>
          <w:sz w:val="24"/>
          <w:highlight w:val="none"/>
        </w:rPr>
        <w:t>会，了解</w:t>
      </w:r>
      <w:r>
        <w:rPr>
          <w:rFonts w:hint="eastAsia" w:ascii="宋体" w:hAnsi="宋体"/>
          <w:color w:val="auto"/>
          <w:sz w:val="24"/>
          <w:highlight w:val="none"/>
        </w:rPr>
        <w:t>各教学</w:t>
      </w:r>
      <w:r>
        <w:rPr>
          <w:rFonts w:ascii="宋体" w:hAnsi="宋体"/>
          <w:color w:val="auto"/>
          <w:sz w:val="24"/>
          <w:highlight w:val="none"/>
        </w:rPr>
        <w:t>系</w:t>
      </w:r>
      <w:r>
        <w:rPr>
          <w:rFonts w:hint="eastAsia" w:ascii="宋体" w:hAnsi="宋体"/>
          <w:color w:val="auto"/>
          <w:sz w:val="24"/>
          <w:highlight w:val="none"/>
        </w:rPr>
        <w:t>的</w:t>
      </w:r>
      <w:r>
        <w:rPr>
          <w:rFonts w:ascii="宋体" w:hAnsi="宋体"/>
          <w:color w:val="auto"/>
          <w:sz w:val="24"/>
          <w:highlight w:val="none"/>
        </w:rPr>
        <w:t>教学情况，研究和处理教学计划执行中出现的各种问题，布置教学工作任务。</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3</w:t>
      </w:r>
      <w:r>
        <w:rPr>
          <w:rFonts w:hint="eastAsia" w:ascii="宋体" w:hAnsi="宋体"/>
          <w:color w:val="auto"/>
          <w:sz w:val="24"/>
          <w:highlight w:val="none"/>
          <w:lang w:eastAsia="zh-CN"/>
        </w:rPr>
        <w:t>.</w:t>
      </w:r>
      <w:r>
        <w:rPr>
          <w:rFonts w:hint="eastAsia" w:ascii="宋体" w:hAnsi="宋体"/>
          <w:color w:val="auto"/>
          <w:sz w:val="24"/>
          <w:highlight w:val="none"/>
        </w:rPr>
        <w:t>化工</w:t>
      </w:r>
      <w:r>
        <w:rPr>
          <w:rFonts w:ascii="宋体" w:hAnsi="宋体"/>
          <w:color w:val="auto"/>
          <w:sz w:val="24"/>
          <w:highlight w:val="none"/>
        </w:rPr>
        <w:t>系教学管理</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化工</w:t>
      </w:r>
      <w:r>
        <w:rPr>
          <w:rFonts w:ascii="宋体" w:hAnsi="宋体"/>
          <w:color w:val="auto"/>
          <w:sz w:val="24"/>
          <w:highlight w:val="none"/>
        </w:rPr>
        <w:t>系定期召开</w:t>
      </w:r>
      <w:r>
        <w:rPr>
          <w:rFonts w:hint="eastAsia" w:ascii="宋体" w:hAnsi="宋体"/>
          <w:color w:val="auto"/>
          <w:sz w:val="24"/>
          <w:highlight w:val="none"/>
        </w:rPr>
        <w:t>专业</w:t>
      </w:r>
      <w:r>
        <w:rPr>
          <w:rFonts w:ascii="宋体" w:hAnsi="宋体"/>
          <w:color w:val="auto"/>
          <w:sz w:val="24"/>
          <w:highlight w:val="none"/>
        </w:rPr>
        <w:t>室主任会议和任课教师会议，及时掌握教学过程情况，总结教学工作和教学管理工作经验，及时研究解决教学过程中出现的问题。</w:t>
      </w:r>
      <w:r>
        <w:rPr>
          <w:rFonts w:hint="eastAsia" w:ascii="宋体" w:hAnsi="宋体"/>
          <w:color w:val="auto"/>
          <w:sz w:val="24"/>
          <w:highlight w:val="none"/>
        </w:rPr>
        <w:t>专业</w:t>
      </w:r>
      <w:r>
        <w:rPr>
          <w:rFonts w:ascii="宋体" w:hAnsi="宋体"/>
          <w:color w:val="auto"/>
          <w:sz w:val="24"/>
          <w:highlight w:val="none"/>
        </w:rPr>
        <w:t>室要在每学期初制定出工作计划，组织集体备课、观摩教学、</w:t>
      </w:r>
      <w:r>
        <w:rPr>
          <w:rFonts w:hint="eastAsia" w:ascii="宋体" w:hAnsi="宋体"/>
          <w:color w:val="auto"/>
          <w:sz w:val="24"/>
          <w:highlight w:val="none"/>
        </w:rPr>
        <w:t>开展</w:t>
      </w:r>
      <w:r>
        <w:rPr>
          <w:rFonts w:ascii="宋体" w:hAnsi="宋体"/>
          <w:color w:val="auto"/>
          <w:sz w:val="24"/>
          <w:highlight w:val="none"/>
        </w:rPr>
        <w:t>教学研究，了解教师教学进展情况，按学院布置进行教学检查。</w:t>
      </w:r>
    </w:p>
    <w:p>
      <w:pPr>
        <w:pStyle w:val="4"/>
        <w:spacing w:before="0" w:after="0" w:line="360" w:lineRule="auto"/>
        <w:ind w:firstLine="300" w:firstLineChars="100"/>
        <w:rPr>
          <w:rFonts w:hint="eastAsia" w:ascii="黑体" w:hAnsi="黑体" w:eastAsia="黑体" w:cs="黑体"/>
          <w:b w:val="0"/>
          <w:bCs/>
          <w:color w:val="auto"/>
          <w:kern w:val="2"/>
          <w:sz w:val="30"/>
          <w:szCs w:val="30"/>
          <w:highlight w:val="none"/>
          <w:lang w:val="en-US" w:eastAsia="zh-CN" w:bidi="ar-SA"/>
        </w:rPr>
      </w:pPr>
      <w:bookmarkStart w:id="154" w:name="_Toc16427"/>
      <w:r>
        <w:rPr>
          <w:rFonts w:hint="eastAsia" w:ascii="黑体" w:hAnsi="黑体" w:eastAsia="黑体" w:cs="黑体"/>
          <w:b w:val="0"/>
          <w:bCs/>
          <w:color w:val="auto"/>
          <w:kern w:val="2"/>
          <w:sz w:val="30"/>
          <w:szCs w:val="30"/>
          <w:highlight w:val="none"/>
          <w:lang w:val="en-US" w:eastAsia="zh-CN" w:bidi="ar-SA"/>
        </w:rPr>
        <w:t xml:space="preserve"> （二）教学质量监控体系</w:t>
      </w:r>
      <w:bookmarkEnd w:id="154"/>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由院、系两级教学督导制度、值周干部听课制度、学生评教制度、教学检查与评价制度组成。</w:t>
      </w:r>
    </w:p>
    <w:p>
      <w:pPr>
        <w:spacing w:line="360" w:lineRule="auto"/>
        <w:ind w:firstLine="580" w:firstLineChars="242"/>
        <w:outlineLvl w:val="1"/>
        <w:rPr>
          <w:rFonts w:ascii="宋体" w:hAnsi="宋体"/>
          <w:color w:val="auto"/>
          <w:sz w:val="24"/>
          <w:highlight w:val="none"/>
        </w:rPr>
      </w:pPr>
      <w:bookmarkStart w:id="155" w:name="_Toc361942969"/>
      <w:bookmarkStart w:id="156" w:name="_Toc361943471"/>
      <w:bookmarkStart w:id="157" w:name="_Toc361942684"/>
      <w:bookmarkStart w:id="158" w:name="_Toc458088976"/>
      <w:bookmarkStart w:id="159" w:name="_Toc6715"/>
      <w:bookmarkStart w:id="160" w:name="_Toc458095100"/>
      <w:bookmarkStart w:id="161" w:name="_Toc16950"/>
      <w:bookmarkStart w:id="162" w:name="_Toc17550"/>
      <w:bookmarkStart w:id="163" w:name="_Toc458088742"/>
      <w:bookmarkStart w:id="164" w:name="_Toc4098"/>
      <w:bookmarkStart w:id="165" w:name="_Toc458089355"/>
      <w:r>
        <w:rPr>
          <w:rFonts w:hint="eastAsia" w:ascii="宋体" w:hAnsi="宋体"/>
          <w:color w:val="auto"/>
          <w:sz w:val="24"/>
          <w:highlight w:val="none"/>
        </w:rPr>
        <w:t>1</w:t>
      </w:r>
      <w:r>
        <w:rPr>
          <w:rFonts w:hint="eastAsia" w:ascii="宋体" w:hAnsi="宋体"/>
          <w:color w:val="auto"/>
          <w:sz w:val="24"/>
          <w:highlight w:val="none"/>
          <w:lang w:eastAsia="zh-CN"/>
        </w:rPr>
        <w:t>.</w:t>
      </w:r>
      <w:r>
        <w:rPr>
          <w:rFonts w:hint="eastAsia" w:ascii="宋体" w:hAnsi="宋体"/>
          <w:color w:val="auto"/>
          <w:sz w:val="24"/>
          <w:highlight w:val="none"/>
        </w:rPr>
        <w:t>院、系两级教学督导制度</w:t>
      </w:r>
      <w:bookmarkEnd w:id="155"/>
      <w:bookmarkEnd w:id="156"/>
      <w:bookmarkEnd w:id="157"/>
      <w:bookmarkEnd w:id="158"/>
      <w:bookmarkEnd w:id="159"/>
      <w:bookmarkEnd w:id="160"/>
      <w:bookmarkEnd w:id="161"/>
      <w:bookmarkEnd w:id="162"/>
      <w:bookmarkEnd w:id="163"/>
      <w:bookmarkEnd w:id="164"/>
      <w:bookmarkEnd w:id="165"/>
    </w:p>
    <w:p>
      <w:pPr>
        <w:spacing w:line="360" w:lineRule="auto"/>
        <w:ind w:firstLine="540" w:firstLineChars="225"/>
        <w:rPr>
          <w:rFonts w:ascii="宋体" w:hAnsi="宋体"/>
          <w:color w:val="auto"/>
          <w:sz w:val="24"/>
          <w:highlight w:val="none"/>
        </w:rPr>
      </w:pPr>
      <w:r>
        <w:rPr>
          <w:rFonts w:hint="eastAsia" w:ascii="宋体" w:hAnsi="宋体"/>
          <w:color w:val="auto"/>
          <w:sz w:val="24"/>
          <w:highlight w:val="none"/>
        </w:rPr>
        <w:t xml:space="preserve">建有院系两级教学指导委员会。院级教学指导委员会是学院教学工作方面的咨询机构和智囊团；系教学指导委员会负责对系教学过程实施中影响教学质量的各个环节进行监督、评价，直接对分管教学院长负责，并接受院级教学指导委员会的业务指导。专业教学指导委员会成员由专任教师和企业兼职教师组成，对教学工作实行监督、检查、评价、审议、指导。 </w:t>
      </w:r>
    </w:p>
    <w:p>
      <w:pPr>
        <w:spacing w:line="360" w:lineRule="auto"/>
        <w:ind w:firstLine="580" w:firstLineChars="242"/>
        <w:outlineLvl w:val="1"/>
        <w:rPr>
          <w:rFonts w:ascii="宋体" w:hAnsi="宋体"/>
          <w:color w:val="auto"/>
          <w:sz w:val="24"/>
          <w:highlight w:val="none"/>
        </w:rPr>
      </w:pPr>
      <w:bookmarkStart w:id="166" w:name="_Toc22364"/>
      <w:bookmarkStart w:id="167" w:name="_Toc458095101"/>
      <w:bookmarkStart w:id="168" w:name="_Toc361942970"/>
      <w:bookmarkStart w:id="169" w:name="_Toc7224"/>
      <w:bookmarkStart w:id="170" w:name="_Toc7782"/>
      <w:bookmarkStart w:id="171" w:name="_Toc6210"/>
      <w:bookmarkStart w:id="172" w:name="_Toc361942685"/>
      <w:bookmarkStart w:id="173" w:name="_Toc458088743"/>
      <w:bookmarkStart w:id="174" w:name="_Toc458088977"/>
      <w:bookmarkStart w:id="175" w:name="_Toc458089356"/>
      <w:bookmarkStart w:id="176" w:name="_Toc361943472"/>
      <w:r>
        <w:rPr>
          <w:rFonts w:hint="eastAsia" w:ascii="宋体" w:hAnsi="宋体"/>
          <w:color w:val="auto"/>
          <w:sz w:val="24"/>
          <w:highlight w:val="none"/>
        </w:rPr>
        <w:t>2</w:t>
      </w:r>
      <w:r>
        <w:rPr>
          <w:rFonts w:hint="eastAsia" w:ascii="宋体" w:hAnsi="宋体"/>
          <w:color w:val="auto"/>
          <w:sz w:val="24"/>
          <w:highlight w:val="none"/>
          <w:lang w:eastAsia="zh-CN"/>
        </w:rPr>
        <w:t>.</w:t>
      </w:r>
      <w:r>
        <w:rPr>
          <w:rFonts w:hint="eastAsia" w:ascii="宋体" w:hAnsi="宋体"/>
          <w:color w:val="auto"/>
          <w:sz w:val="24"/>
          <w:highlight w:val="none"/>
        </w:rPr>
        <w:t>值周领导干部听课制度</w:t>
      </w:r>
      <w:bookmarkEnd w:id="166"/>
      <w:bookmarkEnd w:id="167"/>
      <w:bookmarkEnd w:id="168"/>
      <w:bookmarkEnd w:id="169"/>
      <w:bookmarkEnd w:id="170"/>
      <w:bookmarkEnd w:id="171"/>
      <w:bookmarkEnd w:id="172"/>
      <w:bookmarkEnd w:id="173"/>
      <w:bookmarkEnd w:id="174"/>
      <w:bookmarkEnd w:id="175"/>
      <w:bookmarkEnd w:id="176"/>
    </w:p>
    <w:p>
      <w:pPr>
        <w:spacing w:line="360" w:lineRule="auto"/>
        <w:ind w:firstLine="540" w:firstLineChars="225"/>
        <w:rPr>
          <w:rFonts w:ascii="宋体" w:hAnsi="宋体"/>
          <w:color w:val="auto"/>
          <w:sz w:val="24"/>
          <w:highlight w:val="none"/>
        </w:rPr>
      </w:pPr>
      <w:r>
        <w:rPr>
          <w:rFonts w:hint="eastAsia" w:ascii="宋体" w:hAnsi="宋体"/>
          <w:color w:val="auto"/>
          <w:sz w:val="24"/>
          <w:highlight w:val="none"/>
        </w:rPr>
        <w:t>建立值周领导干部听课制度，学院和系部各级党政干部深入教学第一线，及时了解教学情况，倾听师生意见，发现并解决教学中存在的问题，避免教学一线与管理层的脱节，保证教学管理工作的针对性和有效性。</w:t>
      </w:r>
    </w:p>
    <w:p>
      <w:pPr>
        <w:spacing w:line="360" w:lineRule="auto"/>
        <w:ind w:firstLine="580" w:firstLineChars="242"/>
        <w:outlineLvl w:val="1"/>
        <w:rPr>
          <w:rFonts w:ascii="宋体" w:hAnsi="宋体"/>
          <w:color w:val="auto"/>
          <w:sz w:val="24"/>
          <w:highlight w:val="none"/>
        </w:rPr>
      </w:pPr>
      <w:bookmarkStart w:id="177" w:name="_Toc19398"/>
      <w:bookmarkStart w:id="178" w:name="_Toc361942686"/>
      <w:bookmarkStart w:id="179" w:name="_Toc458088978"/>
      <w:bookmarkStart w:id="180" w:name="_Toc458095102"/>
      <w:bookmarkStart w:id="181" w:name="_Toc8785"/>
      <w:bookmarkStart w:id="182" w:name="_Toc458088744"/>
      <w:bookmarkStart w:id="183" w:name="_Toc1366"/>
      <w:bookmarkStart w:id="184" w:name="_Toc361943473"/>
      <w:bookmarkStart w:id="185" w:name="_Toc458089357"/>
      <w:bookmarkStart w:id="186" w:name="_Toc3223"/>
      <w:bookmarkStart w:id="187" w:name="_Toc361942971"/>
      <w:r>
        <w:rPr>
          <w:rFonts w:hint="eastAsia" w:ascii="宋体" w:hAnsi="宋体"/>
          <w:color w:val="auto"/>
          <w:sz w:val="24"/>
          <w:highlight w:val="none"/>
        </w:rPr>
        <w:t>3</w:t>
      </w:r>
      <w:r>
        <w:rPr>
          <w:rFonts w:hint="eastAsia" w:ascii="宋体" w:hAnsi="宋体"/>
          <w:color w:val="auto"/>
          <w:sz w:val="24"/>
          <w:highlight w:val="none"/>
          <w:lang w:eastAsia="zh-CN"/>
        </w:rPr>
        <w:t>.</w:t>
      </w:r>
      <w:r>
        <w:rPr>
          <w:rFonts w:hint="eastAsia" w:ascii="宋体" w:hAnsi="宋体"/>
          <w:color w:val="auto"/>
          <w:sz w:val="24"/>
          <w:highlight w:val="none"/>
        </w:rPr>
        <w:t>学生评教制度</w:t>
      </w:r>
      <w:bookmarkEnd w:id="177"/>
      <w:bookmarkEnd w:id="178"/>
      <w:bookmarkEnd w:id="179"/>
      <w:bookmarkEnd w:id="180"/>
      <w:bookmarkEnd w:id="181"/>
      <w:bookmarkEnd w:id="182"/>
      <w:bookmarkEnd w:id="183"/>
      <w:bookmarkEnd w:id="184"/>
      <w:bookmarkEnd w:id="185"/>
      <w:bookmarkEnd w:id="186"/>
      <w:bookmarkEnd w:id="187"/>
    </w:p>
    <w:p>
      <w:pPr>
        <w:spacing w:line="360" w:lineRule="auto"/>
        <w:ind w:firstLine="600" w:firstLineChars="250"/>
        <w:rPr>
          <w:rFonts w:ascii="宋体" w:hAnsi="宋体"/>
          <w:color w:val="auto"/>
          <w:sz w:val="24"/>
          <w:highlight w:val="none"/>
        </w:rPr>
      </w:pPr>
      <w:r>
        <w:rPr>
          <w:rFonts w:hint="eastAsia" w:ascii="宋体" w:hAnsi="宋体"/>
          <w:color w:val="auto"/>
          <w:sz w:val="24"/>
          <w:highlight w:val="none"/>
        </w:rPr>
        <w:t>每学期期中、期末，以专业为单位，选取部分学生、课代表和学生干部，举行学期座谈会，</w:t>
      </w:r>
      <w:r>
        <w:rPr>
          <w:rFonts w:ascii="宋体" w:hAnsi="宋体"/>
          <w:color w:val="auto"/>
          <w:sz w:val="24"/>
          <w:highlight w:val="none"/>
        </w:rPr>
        <w:t>填写任课教师评分表</w:t>
      </w:r>
      <w:r>
        <w:rPr>
          <w:rFonts w:hint="eastAsia" w:ascii="宋体" w:hAnsi="宋体"/>
          <w:color w:val="auto"/>
          <w:sz w:val="24"/>
          <w:highlight w:val="none"/>
        </w:rPr>
        <w:t xml:space="preserve">，给学生以畅通的渠道反映本系、本专业的教学管理、办学条件和教学质量中存在的问题并对教学提出意见和建议，使系部的管理和教学更加贴近学生、贴近实际。 </w:t>
      </w:r>
    </w:p>
    <w:p>
      <w:pPr>
        <w:spacing w:line="360" w:lineRule="auto"/>
        <w:ind w:firstLine="460" w:firstLineChars="192"/>
        <w:outlineLvl w:val="1"/>
        <w:rPr>
          <w:rFonts w:ascii="宋体" w:hAnsi="宋体"/>
          <w:color w:val="auto"/>
          <w:sz w:val="24"/>
          <w:highlight w:val="none"/>
        </w:rPr>
      </w:pPr>
      <w:bookmarkStart w:id="188" w:name="_Toc458088979"/>
      <w:bookmarkStart w:id="189" w:name="_Toc361942972"/>
      <w:bookmarkStart w:id="190" w:name="_Toc458089358"/>
      <w:bookmarkStart w:id="191" w:name="_Toc361943474"/>
      <w:bookmarkStart w:id="192" w:name="_Toc19578"/>
      <w:bookmarkStart w:id="193" w:name="_Toc29103"/>
      <w:bookmarkStart w:id="194" w:name="_Toc361942687"/>
      <w:bookmarkStart w:id="195" w:name="_Toc458088745"/>
      <w:bookmarkStart w:id="196" w:name="_Toc30442"/>
      <w:bookmarkStart w:id="197" w:name="_Toc458095103"/>
      <w:bookmarkStart w:id="198" w:name="_Toc1195"/>
      <w:r>
        <w:rPr>
          <w:rFonts w:hint="eastAsia" w:ascii="宋体" w:hAnsi="宋体"/>
          <w:color w:val="auto"/>
          <w:sz w:val="24"/>
          <w:highlight w:val="none"/>
        </w:rPr>
        <w:t>4</w:t>
      </w:r>
      <w:r>
        <w:rPr>
          <w:rFonts w:hint="eastAsia" w:ascii="宋体" w:hAnsi="宋体"/>
          <w:color w:val="auto"/>
          <w:sz w:val="24"/>
          <w:highlight w:val="none"/>
          <w:lang w:eastAsia="zh-CN"/>
        </w:rPr>
        <w:t>.</w:t>
      </w:r>
      <w:r>
        <w:rPr>
          <w:rFonts w:hint="eastAsia" w:ascii="宋体" w:hAnsi="宋体"/>
          <w:color w:val="auto"/>
          <w:sz w:val="24"/>
          <w:highlight w:val="none"/>
        </w:rPr>
        <w:t>教学检查制度</w:t>
      </w:r>
      <w:bookmarkEnd w:id="188"/>
      <w:bookmarkEnd w:id="189"/>
      <w:bookmarkEnd w:id="190"/>
      <w:bookmarkEnd w:id="191"/>
      <w:bookmarkEnd w:id="192"/>
      <w:bookmarkEnd w:id="193"/>
      <w:bookmarkEnd w:id="194"/>
      <w:bookmarkEnd w:id="195"/>
      <w:bookmarkEnd w:id="196"/>
      <w:bookmarkEnd w:id="197"/>
      <w:bookmarkEnd w:id="198"/>
    </w:p>
    <w:p>
      <w:pPr>
        <w:spacing w:line="360" w:lineRule="auto"/>
        <w:ind w:firstLine="540" w:firstLineChars="225"/>
        <w:rPr>
          <w:rFonts w:ascii="宋体" w:hAnsi="宋体"/>
          <w:color w:val="auto"/>
          <w:sz w:val="24"/>
          <w:highlight w:val="none"/>
        </w:rPr>
      </w:pPr>
      <w:r>
        <w:rPr>
          <w:rFonts w:hint="eastAsia" w:ascii="宋体" w:hAnsi="宋体"/>
          <w:color w:val="auto"/>
          <w:sz w:val="24"/>
          <w:highlight w:val="none"/>
        </w:rPr>
        <w:t xml:space="preserve">根据《晋城职业技术学院教学检查与管理办法》，从期初到期末，本系安排不少于3次的集中教学检查，教学情况的检查工作贯穿始终，发现问题并及时解决问题，注意归纳分析和总结经验，以指导工作，不断提高管理者在日常教学检查中的预见问题、解决困难的能力。 </w:t>
      </w:r>
    </w:p>
    <w:p>
      <w:pPr>
        <w:spacing w:line="360" w:lineRule="auto"/>
        <w:ind w:firstLine="460" w:firstLineChars="192"/>
        <w:outlineLvl w:val="1"/>
        <w:rPr>
          <w:rFonts w:ascii="宋体" w:hAnsi="宋体"/>
          <w:color w:val="auto"/>
          <w:sz w:val="24"/>
          <w:highlight w:val="none"/>
        </w:rPr>
      </w:pPr>
      <w:bookmarkStart w:id="199" w:name="_Toc458088746"/>
      <w:bookmarkStart w:id="200" w:name="_Toc361942973"/>
      <w:bookmarkStart w:id="201" w:name="_Toc361943475"/>
      <w:bookmarkStart w:id="202" w:name="_Toc8879"/>
      <w:bookmarkStart w:id="203" w:name="_Toc361942688"/>
      <w:bookmarkStart w:id="204" w:name="_Toc458095104"/>
      <w:bookmarkStart w:id="205" w:name="_Toc458089359"/>
      <w:bookmarkStart w:id="206" w:name="_Toc458088980"/>
      <w:bookmarkStart w:id="207" w:name="_Toc30097"/>
      <w:bookmarkStart w:id="208" w:name="_Toc27213"/>
      <w:bookmarkStart w:id="209" w:name="_Toc23114"/>
      <w:r>
        <w:rPr>
          <w:rFonts w:hint="eastAsia" w:ascii="宋体" w:hAnsi="宋体"/>
          <w:color w:val="auto"/>
          <w:sz w:val="24"/>
          <w:highlight w:val="none"/>
        </w:rPr>
        <w:t>5</w:t>
      </w:r>
      <w:r>
        <w:rPr>
          <w:rFonts w:hint="eastAsia" w:ascii="宋体" w:hAnsi="宋体"/>
          <w:color w:val="auto"/>
          <w:sz w:val="24"/>
          <w:highlight w:val="none"/>
          <w:lang w:eastAsia="zh-CN"/>
        </w:rPr>
        <w:t>.</w:t>
      </w:r>
      <w:r>
        <w:rPr>
          <w:rFonts w:hint="eastAsia" w:ascii="宋体" w:hAnsi="宋体"/>
          <w:color w:val="auto"/>
          <w:sz w:val="24"/>
          <w:highlight w:val="none"/>
        </w:rPr>
        <w:t>教学评价</w:t>
      </w:r>
      <w:bookmarkEnd w:id="199"/>
      <w:bookmarkEnd w:id="200"/>
      <w:bookmarkEnd w:id="201"/>
      <w:bookmarkEnd w:id="202"/>
      <w:bookmarkEnd w:id="203"/>
      <w:bookmarkEnd w:id="204"/>
      <w:bookmarkEnd w:id="205"/>
      <w:bookmarkEnd w:id="206"/>
      <w:bookmarkEnd w:id="207"/>
      <w:bookmarkEnd w:id="208"/>
      <w:bookmarkEnd w:id="209"/>
    </w:p>
    <w:p>
      <w:pPr>
        <w:spacing w:line="360" w:lineRule="auto"/>
        <w:ind w:firstLine="480" w:firstLineChars="200"/>
        <w:rPr>
          <w:rFonts w:ascii="宋体" w:hAnsi="宋体"/>
          <w:color w:val="auto"/>
          <w:sz w:val="24"/>
          <w:highlight w:val="none"/>
        </w:rPr>
      </w:pPr>
      <w:r>
        <w:rPr>
          <w:rFonts w:ascii="宋体" w:hAnsi="宋体"/>
          <w:color w:val="auto"/>
          <w:sz w:val="24"/>
          <w:highlight w:val="none"/>
        </w:rPr>
        <w:t>科学的教学质量评价体系是检验人才培养方案实施效果和修订人才培养方案的有效途径。本专业采取如下措施以保证教学评价的运行：</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w:t>
      </w:r>
      <w:r>
        <w:rPr>
          <w:rFonts w:ascii="宋体" w:hAnsi="宋体"/>
          <w:color w:val="auto"/>
          <w:sz w:val="24"/>
          <w:highlight w:val="none"/>
        </w:rPr>
        <w:t>建立由</w:t>
      </w:r>
      <w:r>
        <w:rPr>
          <w:rFonts w:hint="eastAsia" w:ascii="宋体" w:hAnsi="宋体"/>
          <w:color w:val="auto"/>
          <w:sz w:val="24"/>
          <w:highlight w:val="none"/>
        </w:rPr>
        <w:t>化工</w:t>
      </w:r>
      <w:r>
        <w:rPr>
          <w:rFonts w:ascii="宋体" w:hAnsi="宋体"/>
          <w:color w:val="auto"/>
          <w:sz w:val="24"/>
          <w:highlight w:val="none"/>
        </w:rPr>
        <w:t>企业和学院共同参与的教学质量评价运行机制；</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建立学生综合素质的评价制度，并建立学生自评、互评和教师评价、企业评价、社会评价相结合的综合评价体系；</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（3）</w:t>
      </w:r>
      <w:r>
        <w:rPr>
          <w:rFonts w:ascii="宋体" w:hAnsi="宋体"/>
          <w:color w:val="auto"/>
          <w:sz w:val="24"/>
          <w:highlight w:val="none"/>
        </w:rPr>
        <w:t>建立毕业生跟踪调查制度，完善企业对毕业生满意度调查、学生和家长对学</w:t>
      </w:r>
      <w:r>
        <w:rPr>
          <w:rFonts w:hint="eastAsia" w:ascii="宋体" w:hAnsi="宋体"/>
          <w:color w:val="auto"/>
          <w:sz w:val="24"/>
          <w:highlight w:val="none"/>
        </w:rPr>
        <w:t>院</w:t>
      </w:r>
      <w:r>
        <w:rPr>
          <w:rFonts w:ascii="宋体" w:hAnsi="宋体"/>
          <w:color w:val="auto"/>
          <w:sz w:val="24"/>
          <w:highlight w:val="none"/>
        </w:rPr>
        <w:t>的满意度调查运行机制；</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（4）</w:t>
      </w:r>
      <w:r>
        <w:rPr>
          <w:rFonts w:ascii="宋体" w:hAnsi="宋体"/>
          <w:color w:val="auto"/>
          <w:sz w:val="24"/>
          <w:highlight w:val="none"/>
        </w:rPr>
        <w:t>专业指导委员会负责对来自企业、家长、毕业生的质量评价结果进行分析，对人才培养方案进行整改与完善并用于新一轮人才培养过程。</w:t>
      </w:r>
    </w:p>
    <w:p>
      <w:pPr>
        <w:pStyle w:val="3"/>
        <w:snapToGrid w:val="0"/>
        <w:spacing w:before="0" w:after="0" w:line="360" w:lineRule="auto"/>
        <w:ind w:firstLine="640" w:firstLineChars="200"/>
        <w:rPr>
          <w:b w:val="0"/>
          <w:bCs/>
          <w:color w:val="auto"/>
          <w:highlight w:val="none"/>
        </w:rPr>
      </w:pPr>
      <w:bookmarkStart w:id="210" w:name="_Toc2818"/>
      <w:r>
        <w:rPr>
          <w:rFonts w:hint="eastAsia"/>
          <w:b w:val="0"/>
          <w:bCs/>
          <w:color w:val="auto"/>
          <w:highlight w:val="none"/>
        </w:rPr>
        <w:t>五、机制保障</w:t>
      </w:r>
      <w:bookmarkEnd w:id="210"/>
    </w:p>
    <w:p>
      <w:pPr>
        <w:pStyle w:val="4"/>
        <w:spacing w:before="0" w:after="0" w:line="360" w:lineRule="auto"/>
        <w:ind w:firstLine="300" w:firstLineChars="100"/>
        <w:rPr>
          <w:rFonts w:hint="eastAsia" w:ascii="黑体" w:hAnsi="黑体" w:eastAsia="黑体" w:cs="黑体"/>
          <w:b w:val="0"/>
          <w:bCs/>
          <w:color w:val="auto"/>
          <w:kern w:val="2"/>
          <w:sz w:val="30"/>
          <w:szCs w:val="30"/>
          <w:highlight w:val="none"/>
          <w:lang w:val="en-US" w:eastAsia="zh-CN" w:bidi="ar-SA"/>
        </w:rPr>
      </w:pPr>
      <w:r>
        <w:rPr>
          <w:rFonts w:hint="eastAsia" w:ascii="黑体" w:hAnsi="黑体" w:eastAsia="黑体" w:cs="黑体"/>
          <w:b w:val="0"/>
          <w:bCs/>
          <w:color w:val="auto"/>
          <w:kern w:val="2"/>
          <w:sz w:val="30"/>
          <w:szCs w:val="30"/>
          <w:highlight w:val="none"/>
          <w:lang w:val="en-US" w:eastAsia="zh-CN" w:bidi="ar-SA"/>
        </w:rPr>
        <w:t>（一）思想政治保障</w:t>
      </w:r>
    </w:p>
    <w:p>
      <w:pPr>
        <w:spacing w:line="360" w:lineRule="auto"/>
        <w:ind w:firstLine="480" w:firstLineChars="200"/>
        <w:rPr>
          <w:color w:val="auto"/>
          <w:sz w:val="24"/>
          <w:highlight w:val="none"/>
        </w:rPr>
      </w:pPr>
      <w:r>
        <w:rPr>
          <w:rFonts w:hAnsi="宋体"/>
          <w:color w:val="auto"/>
          <w:sz w:val="24"/>
          <w:highlight w:val="none"/>
        </w:rPr>
        <w:t>要切实加强党建和思想政治工作，贯彻落实关于新时期党的建设工程的各项方针，全面实施大学生素质教育工程，充分发挥思想政治理论课的主渠道作用，加强以艺术教育为特色的人文素质教育，建立覆盖课堂教学、课外活动和社会实践的大学生素质教育体系。</w:t>
      </w:r>
    </w:p>
    <w:p>
      <w:pPr>
        <w:pStyle w:val="4"/>
        <w:spacing w:before="0" w:after="0" w:line="360" w:lineRule="auto"/>
        <w:ind w:firstLine="300" w:firstLineChars="100"/>
        <w:rPr>
          <w:rFonts w:hint="eastAsia" w:ascii="黑体" w:hAnsi="黑体" w:eastAsia="黑体" w:cs="黑体"/>
          <w:b w:val="0"/>
          <w:bCs/>
          <w:color w:val="auto"/>
          <w:kern w:val="2"/>
          <w:sz w:val="30"/>
          <w:szCs w:val="30"/>
          <w:highlight w:val="none"/>
          <w:lang w:val="en-US" w:eastAsia="zh-CN" w:bidi="ar-SA"/>
        </w:rPr>
      </w:pPr>
      <w:r>
        <w:rPr>
          <w:rFonts w:hint="eastAsia" w:ascii="黑体" w:hAnsi="黑体" w:eastAsia="黑体" w:cs="黑体"/>
          <w:b w:val="0"/>
          <w:bCs/>
          <w:color w:val="auto"/>
          <w:kern w:val="2"/>
          <w:sz w:val="30"/>
          <w:szCs w:val="30"/>
          <w:highlight w:val="none"/>
          <w:lang w:val="en-US" w:eastAsia="zh-CN" w:bidi="ar-SA"/>
        </w:rPr>
        <w:t>（二）制度保障</w:t>
      </w:r>
    </w:p>
    <w:p>
      <w:pPr>
        <w:spacing w:line="360" w:lineRule="auto"/>
        <w:ind w:firstLine="480" w:firstLineChars="200"/>
        <w:rPr>
          <w:color w:val="auto"/>
          <w:sz w:val="24"/>
          <w:highlight w:val="none"/>
        </w:rPr>
      </w:pPr>
      <w:r>
        <w:rPr>
          <w:rFonts w:hAnsi="宋体"/>
          <w:color w:val="auto"/>
          <w:sz w:val="24"/>
          <w:highlight w:val="none"/>
        </w:rPr>
        <w:t>从标准、考核、激励等方面形成长效机制</w:t>
      </w:r>
      <w:r>
        <w:rPr>
          <w:rFonts w:hint="eastAsia" w:hAnsi="宋体"/>
          <w:color w:val="auto"/>
          <w:sz w:val="24"/>
          <w:highlight w:val="none"/>
        </w:rPr>
        <w:t>，进一步</w:t>
      </w:r>
      <w:r>
        <w:rPr>
          <w:rFonts w:hAnsi="宋体"/>
          <w:color w:val="auto"/>
          <w:sz w:val="24"/>
          <w:highlight w:val="none"/>
        </w:rPr>
        <w:t>修订完善各项规章制度，全面实施目标责任制考核，建立科学的业绩评价体系</w:t>
      </w:r>
      <w:r>
        <w:rPr>
          <w:rFonts w:hint="eastAsia" w:hAnsi="宋体"/>
          <w:color w:val="auto"/>
          <w:sz w:val="24"/>
          <w:highlight w:val="none"/>
        </w:rPr>
        <w:t>。</w:t>
      </w:r>
      <w:r>
        <w:rPr>
          <w:rFonts w:hint="eastAsia" w:ascii="宋体" w:hAnsi="宋体"/>
          <w:color w:val="auto"/>
          <w:sz w:val="24"/>
          <w:highlight w:val="none"/>
        </w:rPr>
        <w:t>学院设立学术与教学指导委员会，对于人才培养方案中培养目标、课程标准的修订做出指导；建立教学督导委员会工作机制，强化教育教学督导工作；定期聘请用人单位、第三方评价机构对人才培养过程和质量进行诊断，</w:t>
      </w:r>
      <w:r>
        <w:rPr>
          <w:rFonts w:ascii="宋体" w:hAnsi="宋体"/>
          <w:color w:val="auto"/>
          <w:sz w:val="24"/>
          <w:highlight w:val="none"/>
        </w:rPr>
        <w:t>形成</w:t>
      </w:r>
      <w:r>
        <w:rPr>
          <w:rFonts w:hint="eastAsia" w:ascii="宋体" w:hAnsi="宋体"/>
          <w:color w:val="auto"/>
          <w:sz w:val="24"/>
          <w:highlight w:val="none"/>
        </w:rPr>
        <w:t>多元监督机制。</w:t>
      </w:r>
    </w:p>
    <w:p>
      <w:pPr>
        <w:pStyle w:val="4"/>
        <w:spacing w:before="0" w:after="0" w:line="360" w:lineRule="auto"/>
        <w:ind w:firstLine="300" w:firstLineChars="100"/>
        <w:rPr>
          <w:rFonts w:hint="eastAsia" w:ascii="黑体" w:hAnsi="黑体" w:eastAsia="黑体" w:cs="黑体"/>
          <w:b w:val="0"/>
          <w:bCs/>
          <w:color w:val="auto"/>
          <w:kern w:val="2"/>
          <w:sz w:val="30"/>
          <w:szCs w:val="30"/>
          <w:highlight w:val="none"/>
          <w:lang w:val="en-US" w:eastAsia="zh-CN" w:bidi="ar-SA"/>
        </w:rPr>
      </w:pPr>
      <w:r>
        <w:rPr>
          <w:rFonts w:hint="eastAsia" w:ascii="黑体" w:hAnsi="黑体" w:eastAsia="黑体" w:cs="黑体"/>
          <w:b w:val="0"/>
          <w:bCs/>
          <w:color w:val="auto"/>
          <w:kern w:val="2"/>
          <w:sz w:val="30"/>
          <w:szCs w:val="30"/>
          <w:highlight w:val="none"/>
          <w:lang w:val="en-US" w:eastAsia="zh-CN" w:bidi="ar-SA"/>
        </w:rPr>
        <w:t>（三）资金保障</w:t>
      </w:r>
    </w:p>
    <w:p>
      <w:pPr>
        <w:spacing w:line="360" w:lineRule="auto"/>
        <w:ind w:firstLine="480" w:firstLineChars="200"/>
        <w:rPr>
          <w:color w:val="auto"/>
          <w:sz w:val="24"/>
          <w:highlight w:val="none"/>
        </w:rPr>
      </w:pPr>
      <w:r>
        <w:rPr>
          <w:rFonts w:hAnsi="宋体"/>
          <w:color w:val="auto"/>
          <w:sz w:val="24"/>
          <w:highlight w:val="none"/>
        </w:rPr>
        <w:t>建立健全财务约束机制和节约激励机制，降低运营成本</w:t>
      </w:r>
      <w:r>
        <w:rPr>
          <w:rFonts w:hint="eastAsia" w:hAnsi="宋体"/>
          <w:color w:val="auto"/>
          <w:sz w:val="24"/>
          <w:highlight w:val="none"/>
        </w:rPr>
        <w:t>，</w:t>
      </w:r>
      <w:r>
        <w:rPr>
          <w:rFonts w:hAnsi="宋体"/>
          <w:color w:val="auto"/>
          <w:sz w:val="24"/>
          <w:highlight w:val="none"/>
        </w:rPr>
        <w:t>进一步完善财务管理体制和管理模式，加强学院财务收支活动的宏观调控，加强学院各类资金的统一调度、控制、审核和审计等工作，科学运作学院资金，提高资金使用效率。</w:t>
      </w:r>
    </w:p>
    <w:p>
      <w:pPr>
        <w:pStyle w:val="4"/>
        <w:spacing w:before="0" w:after="0" w:line="360" w:lineRule="auto"/>
        <w:ind w:firstLine="300" w:firstLineChars="100"/>
        <w:rPr>
          <w:rFonts w:hint="eastAsia" w:ascii="黑体" w:hAnsi="黑体" w:eastAsia="黑体" w:cs="黑体"/>
          <w:b w:val="0"/>
          <w:bCs/>
          <w:color w:val="auto"/>
          <w:kern w:val="2"/>
          <w:sz w:val="30"/>
          <w:szCs w:val="30"/>
          <w:highlight w:val="none"/>
          <w:lang w:val="en-US" w:eastAsia="zh-CN" w:bidi="ar-SA"/>
        </w:rPr>
      </w:pPr>
      <w:r>
        <w:rPr>
          <w:rFonts w:hint="eastAsia" w:ascii="黑体" w:hAnsi="黑体" w:eastAsia="黑体" w:cs="黑体"/>
          <w:b w:val="0"/>
          <w:bCs/>
          <w:color w:val="auto"/>
          <w:kern w:val="2"/>
          <w:sz w:val="30"/>
          <w:szCs w:val="30"/>
          <w:highlight w:val="none"/>
          <w:lang w:val="en-US" w:eastAsia="zh-CN" w:bidi="ar-SA"/>
        </w:rPr>
        <w:t>（四）基本建设保障</w:t>
      </w:r>
    </w:p>
    <w:p>
      <w:pPr>
        <w:spacing w:line="360" w:lineRule="auto"/>
        <w:ind w:firstLine="480" w:firstLineChars="200"/>
        <w:rPr>
          <w:color w:val="auto"/>
          <w:sz w:val="24"/>
          <w:highlight w:val="none"/>
        </w:rPr>
      </w:pPr>
      <w:r>
        <w:rPr>
          <w:rFonts w:hAnsi="宋体"/>
          <w:color w:val="auto"/>
          <w:sz w:val="24"/>
          <w:highlight w:val="none"/>
        </w:rPr>
        <w:t>加强实验、实训设施建设与管理，不断改善实训条件。加强校园网络建设：建设数字化校园，满足现代化教学和管理要求，搭建教学资源共享平台。加强专业图书资料的合理投入，重点加大对电子资料的投入。</w:t>
      </w:r>
    </w:p>
    <w:p>
      <w:pPr>
        <w:pStyle w:val="4"/>
        <w:spacing w:before="0" w:after="0" w:line="360" w:lineRule="auto"/>
        <w:ind w:firstLine="300" w:firstLineChars="100"/>
        <w:rPr>
          <w:rFonts w:hint="eastAsia" w:ascii="黑体" w:hAnsi="黑体" w:eastAsia="黑体" w:cs="黑体"/>
          <w:b w:val="0"/>
          <w:bCs/>
          <w:color w:val="auto"/>
          <w:kern w:val="2"/>
          <w:sz w:val="30"/>
          <w:szCs w:val="30"/>
          <w:highlight w:val="none"/>
          <w:lang w:val="en-US" w:eastAsia="zh-CN" w:bidi="ar-SA"/>
        </w:rPr>
      </w:pPr>
      <w:r>
        <w:rPr>
          <w:rFonts w:hint="eastAsia" w:ascii="黑体" w:hAnsi="黑体" w:eastAsia="黑体" w:cs="黑体"/>
          <w:b w:val="0"/>
          <w:bCs/>
          <w:color w:val="auto"/>
          <w:kern w:val="2"/>
          <w:sz w:val="30"/>
          <w:szCs w:val="30"/>
          <w:highlight w:val="none"/>
          <w:lang w:val="en-US" w:eastAsia="zh-CN" w:bidi="ar-SA"/>
        </w:rPr>
        <w:t>（五）合作机制保障</w:t>
      </w:r>
    </w:p>
    <w:p>
      <w:pPr>
        <w:spacing w:line="360" w:lineRule="auto"/>
        <w:ind w:firstLine="480" w:firstLineChars="200"/>
        <w:rPr>
          <w:color w:val="auto"/>
          <w:sz w:val="24"/>
          <w:highlight w:val="none"/>
        </w:rPr>
      </w:pPr>
      <w:r>
        <w:rPr>
          <w:rFonts w:hAnsi="宋体"/>
          <w:color w:val="auto"/>
          <w:sz w:val="24"/>
          <w:highlight w:val="none"/>
        </w:rPr>
        <w:t>充分发挥校企合作委员会的作用，</w:t>
      </w:r>
      <w:r>
        <w:rPr>
          <w:rFonts w:hint="eastAsia" w:ascii="宋体" w:hAnsi="宋体"/>
          <w:color w:val="auto"/>
          <w:sz w:val="24"/>
          <w:highlight w:val="none"/>
        </w:rPr>
        <w:t>成立化工系校企合作工作小组，专门负责与化工行业协会及化工企业联络、合作项目日常管理、组织校企联谊活动等工作。校企合作工作小组组织学院、系、用人单位三方成立专业指导委员会，定期召开专业指导委员会会议（原则上每学年一次以上），平时不定期征询专业教学改革意见和建议。</w:t>
      </w:r>
      <w:r>
        <w:rPr>
          <w:rFonts w:hAnsi="宋体"/>
          <w:color w:val="auto"/>
          <w:sz w:val="24"/>
          <w:highlight w:val="none"/>
        </w:rPr>
        <w:t>此外，学院也要加强为企业提供培训服务，为其员工开展继续教育和在岗培训等工作，为企业人力资源开发、建设注入活力。</w:t>
      </w:r>
    </w:p>
    <w:p>
      <w:pPr>
        <w:spacing w:line="360" w:lineRule="auto"/>
        <w:ind w:firstLine="480" w:firstLineChars="200"/>
        <w:rPr>
          <w:rFonts w:ascii="宋体" w:hAnsi="宋体"/>
          <w:color w:val="auto"/>
          <w:sz w:val="24"/>
          <w:highlight w:val="none"/>
        </w:rPr>
      </w:pPr>
    </w:p>
    <w:p>
      <w:pPr>
        <w:spacing w:line="360" w:lineRule="auto"/>
        <w:ind w:firstLine="480" w:firstLineChars="200"/>
        <w:rPr>
          <w:rFonts w:ascii="宋体" w:hAnsi="宋体"/>
          <w:color w:val="auto"/>
          <w:sz w:val="24"/>
          <w:highlight w:val="none"/>
        </w:rPr>
        <w:sectPr>
          <w:headerReference r:id="rId13" w:type="default"/>
          <w:footerReference r:id="rId14" w:type="default"/>
          <w:footerReference r:id="rId15" w:type="even"/>
          <w:pgSz w:w="11906" w:h="16838"/>
          <w:pgMar w:top="1440" w:right="1701" w:bottom="1440" w:left="1797" w:header="851" w:footer="992" w:gutter="0"/>
          <w:cols w:space="720" w:num="1"/>
          <w:docGrid w:type="lines" w:linePitch="312" w:charSpace="0"/>
        </w:sectPr>
      </w:pPr>
    </w:p>
    <w:p>
      <w:p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附件一：</w:t>
      </w:r>
    </w:p>
    <w:p>
      <w:p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 xml:space="preserve">                       企业在岗人员的问卷调查表</w:t>
      </w:r>
    </w:p>
    <w:p>
      <w:pPr>
        <w:adjustRightInd w:val="0"/>
        <w:snapToGrid w:val="0"/>
        <w:spacing w:line="360" w:lineRule="auto"/>
        <w:rPr>
          <w:rFonts w:ascii="宋体" w:hAnsi="宋体"/>
          <w:bCs/>
          <w:color w:val="auto"/>
          <w:sz w:val="24"/>
          <w:highlight w:val="none"/>
        </w:rPr>
      </w:pPr>
    </w:p>
    <w:p>
      <w:pPr>
        <w:numPr>
          <w:ilvl w:val="0"/>
          <w:numId w:val="10"/>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您的性别：  男</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女</w:t>
      </w:r>
      <w:r>
        <w:rPr>
          <w:rFonts w:hint="eastAsia" w:ascii="宋体" w:hAnsi="宋体"/>
          <w:bCs/>
          <w:color w:val="auto"/>
          <w:sz w:val="24"/>
          <w:highlight w:val="none"/>
        </w:rPr>
        <w:sym w:font="Wingdings 2" w:char="00A3"/>
      </w:r>
    </w:p>
    <w:p>
      <w:pPr>
        <w:numPr>
          <w:ilvl w:val="0"/>
          <w:numId w:val="10"/>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你所在的企业名称：</w:t>
      </w:r>
    </w:p>
    <w:p>
      <w:pPr>
        <w:numPr>
          <w:ilvl w:val="0"/>
          <w:numId w:val="10"/>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你所在企业的性质：私企</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国企</w:t>
      </w:r>
      <w:r>
        <w:rPr>
          <w:rFonts w:hint="eastAsia" w:ascii="宋体" w:hAnsi="宋体"/>
          <w:bCs/>
          <w:color w:val="auto"/>
          <w:sz w:val="24"/>
          <w:highlight w:val="none"/>
        </w:rPr>
        <w:sym w:font="Wingdings 2" w:char="00A3"/>
      </w:r>
    </w:p>
    <w:p>
      <w:pPr>
        <w:numPr>
          <w:ilvl w:val="0"/>
          <w:numId w:val="10"/>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您的年龄：20-30岁</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30-40岁</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40-50岁</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50岁以上</w:t>
      </w:r>
      <w:r>
        <w:rPr>
          <w:rFonts w:hint="eastAsia" w:ascii="宋体" w:hAnsi="宋体"/>
          <w:bCs/>
          <w:color w:val="auto"/>
          <w:sz w:val="24"/>
          <w:highlight w:val="none"/>
        </w:rPr>
        <w:sym w:font="Wingdings 2" w:char="00A3"/>
      </w:r>
    </w:p>
    <w:p>
      <w:pPr>
        <w:numPr>
          <w:ilvl w:val="0"/>
          <w:numId w:val="10"/>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你的工龄：5年以下</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5-10年</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10-15年</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15年以上</w:t>
      </w:r>
      <w:r>
        <w:rPr>
          <w:rFonts w:hint="eastAsia" w:ascii="宋体" w:hAnsi="宋体"/>
          <w:bCs/>
          <w:color w:val="auto"/>
          <w:sz w:val="24"/>
          <w:highlight w:val="none"/>
        </w:rPr>
        <w:sym w:font="Wingdings 2" w:char="00A3"/>
      </w:r>
    </w:p>
    <w:p>
      <w:pPr>
        <w:numPr>
          <w:ilvl w:val="0"/>
          <w:numId w:val="10"/>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您的学历：高中</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大专</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本科</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硕士</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博士</w:t>
      </w:r>
      <w:r>
        <w:rPr>
          <w:rFonts w:hint="eastAsia" w:ascii="宋体" w:hAnsi="宋体"/>
          <w:bCs/>
          <w:color w:val="auto"/>
          <w:sz w:val="24"/>
          <w:highlight w:val="none"/>
        </w:rPr>
        <w:sym w:font="Wingdings 2" w:char="00A3"/>
      </w:r>
    </w:p>
    <w:p>
      <w:pPr>
        <w:numPr>
          <w:ilvl w:val="0"/>
          <w:numId w:val="10"/>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您的职称：初级</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中级</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高级</w:t>
      </w:r>
      <w:r>
        <w:rPr>
          <w:rFonts w:hint="eastAsia" w:ascii="宋体" w:hAnsi="宋体"/>
          <w:bCs/>
          <w:color w:val="auto"/>
          <w:sz w:val="24"/>
          <w:highlight w:val="none"/>
        </w:rPr>
        <w:sym w:font="Wingdings 2" w:char="00A3"/>
      </w:r>
    </w:p>
    <w:p>
      <w:pPr>
        <w:numPr>
          <w:ilvl w:val="0"/>
          <w:numId w:val="10"/>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您近入企业的渠道是：招工</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招聘</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调职</w:t>
      </w:r>
      <w:r>
        <w:rPr>
          <w:rFonts w:hint="eastAsia" w:ascii="宋体" w:hAnsi="宋体"/>
          <w:bCs/>
          <w:color w:val="auto"/>
          <w:sz w:val="24"/>
          <w:highlight w:val="none"/>
        </w:rPr>
        <w:sym w:font="Wingdings 2" w:char="00A3"/>
      </w:r>
    </w:p>
    <w:p>
      <w:pPr>
        <w:numPr>
          <w:ilvl w:val="0"/>
          <w:numId w:val="10"/>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您的薪资待遇：2000元以下</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2000-3000元</w:t>
      </w:r>
      <w:r>
        <w:rPr>
          <w:rFonts w:hint="eastAsia" w:ascii="宋体" w:hAnsi="宋体"/>
          <w:bCs/>
          <w:color w:val="auto"/>
          <w:sz w:val="24"/>
          <w:highlight w:val="none"/>
        </w:rPr>
        <w:sym w:font="Wingdings 2" w:char="00A3"/>
      </w:r>
    </w:p>
    <w:p>
      <w:p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 xml:space="preserve">          3000-4000元</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4000-5000元</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5000元以上</w:t>
      </w:r>
      <w:r>
        <w:rPr>
          <w:rFonts w:hint="eastAsia" w:ascii="宋体" w:hAnsi="宋体"/>
          <w:bCs/>
          <w:color w:val="auto"/>
          <w:sz w:val="24"/>
          <w:highlight w:val="none"/>
        </w:rPr>
        <w:sym w:font="Wingdings 2" w:char="00A3"/>
      </w:r>
    </w:p>
    <w:p>
      <w:pPr>
        <w:numPr>
          <w:ilvl w:val="0"/>
          <w:numId w:val="10"/>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您对您的薪资待遇是否满意？     是</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否</w:t>
      </w:r>
      <w:r>
        <w:rPr>
          <w:rFonts w:hint="eastAsia" w:ascii="宋体" w:hAnsi="宋体"/>
          <w:bCs/>
          <w:color w:val="auto"/>
          <w:sz w:val="24"/>
          <w:highlight w:val="none"/>
        </w:rPr>
        <w:sym w:font="Wingdings 2" w:char="00A3"/>
      </w:r>
    </w:p>
    <w:p>
      <w:pPr>
        <w:numPr>
          <w:ilvl w:val="0"/>
          <w:numId w:val="10"/>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您所在车间：</w:t>
      </w:r>
    </w:p>
    <w:p>
      <w:pPr>
        <w:numPr>
          <w:ilvl w:val="0"/>
          <w:numId w:val="10"/>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您所在岗位：</w:t>
      </w:r>
    </w:p>
    <w:p>
      <w:pPr>
        <w:numPr>
          <w:ilvl w:val="0"/>
          <w:numId w:val="10"/>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您的工作时间：八小时以下</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八小时</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八小时以上</w:t>
      </w:r>
      <w:r>
        <w:rPr>
          <w:rFonts w:hint="eastAsia" w:ascii="宋体" w:hAnsi="宋体"/>
          <w:bCs/>
          <w:color w:val="auto"/>
          <w:sz w:val="24"/>
          <w:highlight w:val="none"/>
        </w:rPr>
        <w:sym w:font="Wingdings 2" w:char="00A3"/>
      </w:r>
    </w:p>
    <w:p>
      <w:pPr>
        <w:numPr>
          <w:ilvl w:val="0"/>
          <w:numId w:val="10"/>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您是否经常加班：是</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否</w:t>
      </w:r>
      <w:r>
        <w:rPr>
          <w:rFonts w:hint="eastAsia" w:ascii="宋体" w:hAnsi="宋体"/>
          <w:bCs/>
          <w:color w:val="auto"/>
          <w:sz w:val="24"/>
          <w:highlight w:val="none"/>
        </w:rPr>
        <w:sym w:font="Wingdings 2" w:char="00A3"/>
      </w:r>
    </w:p>
    <w:p>
      <w:pPr>
        <w:numPr>
          <w:ilvl w:val="0"/>
          <w:numId w:val="10"/>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您是否参加过岗前培训：    是</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否</w:t>
      </w:r>
      <w:r>
        <w:rPr>
          <w:rFonts w:hint="eastAsia" w:ascii="宋体" w:hAnsi="宋体"/>
          <w:bCs/>
          <w:color w:val="auto"/>
          <w:sz w:val="24"/>
          <w:highlight w:val="none"/>
        </w:rPr>
        <w:sym w:font="Wingdings 2" w:char="00A3"/>
      </w:r>
    </w:p>
    <w:p>
      <w:pPr>
        <w:numPr>
          <w:ilvl w:val="0"/>
          <w:numId w:val="10"/>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您是否参加过在岗培训：    是</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否</w:t>
      </w:r>
      <w:r>
        <w:rPr>
          <w:rFonts w:hint="eastAsia" w:ascii="宋体" w:hAnsi="宋体"/>
          <w:bCs/>
          <w:color w:val="auto"/>
          <w:sz w:val="24"/>
          <w:highlight w:val="none"/>
        </w:rPr>
        <w:sym w:font="Wingdings 2" w:char="00A3"/>
      </w:r>
    </w:p>
    <w:p>
      <w:pPr>
        <w:numPr>
          <w:ilvl w:val="0"/>
          <w:numId w:val="10"/>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您参加过在岗培训的频率为：   一年一次</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两年一次</w:t>
      </w:r>
      <w:r>
        <w:rPr>
          <w:rFonts w:hint="eastAsia" w:ascii="宋体" w:hAnsi="宋体"/>
          <w:bCs/>
          <w:color w:val="auto"/>
          <w:sz w:val="24"/>
          <w:highlight w:val="none"/>
        </w:rPr>
        <w:sym w:font="Wingdings 2" w:char="00A3"/>
      </w:r>
    </w:p>
    <w:p>
      <w:p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 xml:space="preserve">                                三年一次</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五年一次</w:t>
      </w:r>
      <w:r>
        <w:rPr>
          <w:rFonts w:hint="eastAsia" w:ascii="宋体" w:hAnsi="宋体"/>
          <w:bCs/>
          <w:color w:val="auto"/>
          <w:sz w:val="24"/>
          <w:highlight w:val="none"/>
        </w:rPr>
        <w:sym w:font="Wingdings 2" w:char="00A3"/>
      </w:r>
    </w:p>
    <w:p>
      <w:p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13.您参加的岗前培训主要内容（可多选）：化工理论</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实践技能</w:t>
      </w:r>
      <w:r>
        <w:rPr>
          <w:rFonts w:hint="eastAsia" w:ascii="宋体" w:hAnsi="宋体"/>
          <w:bCs/>
          <w:color w:val="auto"/>
          <w:sz w:val="24"/>
          <w:highlight w:val="none"/>
        </w:rPr>
        <w:sym w:font="Wingdings 2" w:char="00A3"/>
      </w:r>
    </w:p>
    <w:p>
      <w:p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 xml:space="preserve">                           安全生产</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职业道德</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其他</w:t>
      </w:r>
      <w:r>
        <w:rPr>
          <w:rFonts w:hint="eastAsia" w:ascii="宋体" w:hAnsi="宋体"/>
          <w:bCs/>
          <w:color w:val="auto"/>
          <w:sz w:val="24"/>
          <w:highlight w:val="none"/>
        </w:rPr>
        <w:sym w:font="Wingdings 2" w:char="00A3"/>
      </w:r>
    </w:p>
    <w:p>
      <w:p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14.您觉得学校所学知识、技能和工作有关系么？有</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一般</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基本没有</w:t>
      </w:r>
      <w:r>
        <w:rPr>
          <w:rFonts w:hint="eastAsia" w:ascii="宋体" w:hAnsi="宋体"/>
          <w:bCs/>
          <w:color w:val="auto"/>
          <w:sz w:val="24"/>
          <w:highlight w:val="none"/>
        </w:rPr>
        <w:sym w:font="Wingdings 2" w:char="00A3"/>
      </w:r>
    </w:p>
    <w:p>
      <w:pPr>
        <w:numPr>
          <w:ilvl w:val="0"/>
          <w:numId w:val="11"/>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您觉得岗前培训有意义么？    有</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没有</w:t>
      </w:r>
      <w:r>
        <w:rPr>
          <w:rFonts w:hint="eastAsia" w:ascii="宋体" w:hAnsi="宋体"/>
          <w:bCs/>
          <w:color w:val="auto"/>
          <w:sz w:val="24"/>
          <w:highlight w:val="none"/>
        </w:rPr>
        <w:sym w:font="Wingdings 2" w:char="00A3"/>
      </w:r>
    </w:p>
    <w:p>
      <w:pPr>
        <w:numPr>
          <w:ilvl w:val="0"/>
          <w:numId w:val="11"/>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您觉得在岗培训有意义么？    有</w:t>
      </w:r>
      <w:r>
        <w:rPr>
          <w:rFonts w:hint="eastAsia" w:ascii="宋体" w:hAnsi="宋体"/>
          <w:bCs/>
          <w:color w:val="auto"/>
          <w:sz w:val="24"/>
          <w:highlight w:val="none"/>
        </w:rPr>
        <w:sym w:font="Wingdings 2" w:char="00A3"/>
      </w:r>
      <w:r>
        <w:rPr>
          <w:rFonts w:hint="eastAsia" w:ascii="宋体" w:hAnsi="宋体"/>
          <w:bCs/>
          <w:color w:val="auto"/>
          <w:sz w:val="24"/>
          <w:highlight w:val="none"/>
        </w:rPr>
        <w:t xml:space="preserve">          没有</w:t>
      </w:r>
      <w:r>
        <w:rPr>
          <w:rFonts w:hint="eastAsia" w:ascii="宋体" w:hAnsi="宋体"/>
          <w:bCs/>
          <w:color w:val="auto"/>
          <w:sz w:val="24"/>
          <w:highlight w:val="none"/>
        </w:rPr>
        <w:sym w:font="Wingdings 2" w:char="00A3"/>
      </w:r>
    </w:p>
    <w:p>
      <w:pPr>
        <w:adjustRightInd w:val="0"/>
        <w:snapToGrid w:val="0"/>
        <w:spacing w:line="360" w:lineRule="auto"/>
        <w:rPr>
          <w:rFonts w:ascii="宋体" w:hAnsi="宋体"/>
          <w:bCs/>
          <w:color w:val="auto"/>
          <w:sz w:val="24"/>
          <w:highlight w:val="none"/>
        </w:rPr>
      </w:pPr>
    </w:p>
    <w:p>
      <w:pPr>
        <w:adjustRightInd w:val="0"/>
        <w:snapToGrid w:val="0"/>
        <w:spacing w:line="360" w:lineRule="auto"/>
        <w:rPr>
          <w:rFonts w:ascii="宋体" w:hAnsi="宋体"/>
          <w:bCs/>
          <w:color w:val="auto"/>
          <w:sz w:val="24"/>
          <w:highlight w:val="none"/>
        </w:rPr>
      </w:pPr>
    </w:p>
    <w:p>
      <w:pPr>
        <w:adjustRightInd w:val="0"/>
        <w:snapToGrid w:val="0"/>
        <w:spacing w:line="360" w:lineRule="auto"/>
        <w:rPr>
          <w:rFonts w:ascii="宋体" w:hAnsi="宋体"/>
          <w:bCs/>
          <w:color w:val="auto"/>
          <w:sz w:val="24"/>
          <w:highlight w:val="none"/>
        </w:rPr>
      </w:pPr>
    </w:p>
    <w:p>
      <w:p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附件二：                  与毕业生座谈内容</w:t>
      </w:r>
    </w:p>
    <w:p>
      <w:pPr>
        <w:numPr>
          <w:ilvl w:val="0"/>
          <w:numId w:val="12"/>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所在企业名称、岗位名称；</w:t>
      </w:r>
    </w:p>
    <w:p>
      <w:pPr>
        <w:numPr>
          <w:ilvl w:val="0"/>
          <w:numId w:val="12"/>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所在岗位需要的技能要求有哪些？</w:t>
      </w:r>
    </w:p>
    <w:p>
      <w:pPr>
        <w:numPr>
          <w:ilvl w:val="0"/>
          <w:numId w:val="12"/>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技能要求和所学那些课程有关系？关系大不大？</w:t>
      </w:r>
    </w:p>
    <w:p>
      <w:pPr>
        <w:numPr>
          <w:ilvl w:val="0"/>
          <w:numId w:val="12"/>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对于</w:t>
      </w:r>
      <w:r>
        <w:rPr>
          <w:rFonts w:hint="eastAsia" w:ascii="宋体" w:hAnsi="宋体"/>
          <w:bCs/>
          <w:color w:val="auto"/>
          <w:sz w:val="24"/>
          <w:highlight w:val="none"/>
          <w:lang w:val="en-US" w:eastAsia="zh-CN"/>
        </w:rPr>
        <w:t>煤化工</w:t>
      </w:r>
      <w:r>
        <w:rPr>
          <w:rFonts w:hint="eastAsia" w:ascii="宋体" w:hAnsi="宋体"/>
          <w:bCs/>
          <w:color w:val="auto"/>
          <w:sz w:val="24"/>
          <w:highlight w:val="none"/>
        </w:rPr>
        <w:t>技术专业课程设置有哪些建议和意见？</w:t>
      </w:r>
    </w:p>
    <w:p>
      <w:pPr>
        <w:adjustRightInd w:val="0"/>
        <w:snapToGrid w:val="0"/>
        <w:spacing w:line="360" w:lineRule="auto"/>
        <w:rPr>
          <w:rFonts w:ascii="宋体" w:hAnsi="宋体"/>
          <w:bCs/>
          <w:color w:val="auto"/>
          <w:sz w:val="24"/>
          <w:highlight w:val="none"/>
        </w:rPr>
      </w:pPr>
    </w:p>
    <w:p>
      <w:pPr>
        <w:adjustRightInd w:val="0"/>
        <w:snapToGrid w:val="0"/>
        <w:spacing w:line="360" w:lineRule="auto"/>
        <w:rPr>
          <w:rFonts w:ascii="宋体" w:hAnsi="宋体"/>
          <w:bCs/>
          <w:color w:val="auto"/>
          <w:sz w:val="24"/>
          <w:highlight w:val="none"/>
        </w:rPr>
      </w:pPr>
    </w:p>
    <w:p>
      <w:pPr>
        <w:adjustRightInd w:val="0"/>
        <w:snapToGrid w:val="0"/>
        <w:spacing w:line="360" w:lineRule="auto"/>
        <w:rPr>
          <w:rFonts w:ascii="宋体" w:hAnsi="宋体"/>
          <w:bCs/>
          <w:color w:val="auto"/>
          <w:sz w:val="24"/>
          <w:highlight w:val="none"/>
        </w:rPr>
      </w:pPr>
    </w:p>
    <w:p>
      <w:p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附件三：             与企业负责人座谈内容</w:t>
      </w:r>
    </w:p>
    <w:p>
      <w:pPr>
        <w:numPr>
          <w:ilvl w:val="0"/>
          <w:numId w:val="13"/>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企业对于当前煤化工行业发展有哪些看法？</w:t>
      </w:r>
    </w:p>
    <w:p>
      <w:pPr>
        <w:numPr>
          <w:ilvl w:val="0"/>
          <w:numId w:val="13"/>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目前企业的现状怎样，将来的发展方向是什么？</w:t>
      </w:r>
    </w:p>
    <w:p>
      <w:pPr>
        <w:numPr>
          <w:ilvl w:val="0"/>
          <w:numId w:val="13"/>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企业目前时候是否有招聘员工的意愿？如果有，是哪些类别的员工?</w:t>
      </w:r>
    </w:p>
    <w:p>
      <w:pPr>
        <w:numPr>
          <w:ilvl w:val="0"/>
          <w:numId w:val="13"/>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企业对老员工有哪些技能、素质要求？</w:t>
      </w:r>
    </w:p>
    <w:p>
      <w:pPr>
        <w:numPr>
          <w:ilvl w:val="0"/>
          <w:numId w:val="13"/>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企业对新员工有什么人才质量要求？</w:t>
      </w:r>
    </w:p>
    <w:p>
      <w:pPr>
        <w:numPr>
          <w:ilvl w:val="0"/>
          <w:numId w:val="13"/>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企业对于校企合作有哪些建议。</w:t>
      </w:r>
    </w:p>
    <w:p>
      <w:pPr>
        <w:numPr>
          <w:ilvl w:val="0"/>
          <w:numId w:val="13"/>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企业内部的岗位级别确定的依据是什么？</w:t>
      </w:r>
    </w:p>
    <w:p>
      <w:pPr>
        <w:numPr>
          <w:ilvl w:val="0"/>
          <w:numId w:val="13"/>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企业内部工作岗位分类以及要求。</w:t>
      </w:r>
    </w:p>
    <w:p>
      <w:pPr>
        <w:numPr>
          <w:ilvl w:val="0"/>
          <w:numId w:val="13"/>
        </w:numPr>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企业对于目前本专业的课程设置有哪些建议与意见。</w:t>
      </w:r>
    </w:p>
    <w:p>
      <w:pPr>
        <w:tabs>
          <w:tab w:val="left" w:pos="312"/>
        </w:tabs>
        <w:adjustRightInd w:val="0"/>
        <w:snapToGrid w:val="0"/>
        <w:spacing w:line="360" w:lineRule="auto"/>
        <w:rPr>
          <w:rFonts w:ascii="宋体" w:hAnsi="宋体"/>
          <w:bCs/>
          <w:color w:val="auto"/>
          <w:sz w:val="24"/>
          <w:highlight w:val="none"/>
        </w:rPr>
      </w:pPr>
    </w:p>
    <w:p>
      <w:pPr>
        <w:tabs>
          <w:tab w:val="left" w:pos="312"/>
        </w:tabs>
        <w:adjustRightInd w:val="0"/>
        <w:snapToGrid w:val="0"/>
        <w:spacing w:line="360" w:lineRule="auto"/>
        <w:rPr>
          <w:rFonts w:ascii="宋体" w:hAnsi="宋体"/>
          <w:bCs/>
          <w:color w:val="auto"/>
          <w:sz w:val="24"/>
          <w:highlight w:val="none"/>
        </w:rPr>
      </w:pPr>
    </w:p>
    <w:p>
      <w:pPr>
        <w:tabs>
          <w:tab w:val="left" w:pos="312"/>
        </w:tabs>
        <w:adjustRightInd w:val="0"/>
        <w:snapToGrid w:val="0"/>
        <w:spacing w:line="360" w:lineRule="auto"/>
        <w:rPr>
          <w:rFonts w:ascii="宋体" w:hAnsi="宋体"/>
          <w:bCs/>
          <w:color w:val="auto"/>
          <w:sz w:val="24"/>
          <w:highlight w:val="none"/>
        </w:rPr>
      </w:pPr>
    </w:p>
    <w:p>
      <w:pPr>
        <w:tabs>
          <w:tab w:val="left" w:pos="312"/>
        </w:tabs>
        <w:adjustRightInd w:val="0"/>
        <w:snapToGrid w:val="0"/>
        <w:spacing w:line="360" w:lineRule="auto"/>
        <w:rPr>
          <w:rFonts w:ascii="宋体" w:hAnsi="宋体"/>
          <w:bCs/>
          <w:color w:val="auto"/>
          <w:sz w:val="24"/>
          <w:highlight w:val="none"/>
        </w:rPr>
      </w:pPr>
      <w:r>
        <w:rPr>
          <w:rFonts w:hint="eastAsia" w:ascii="宋体" w:hAnsi="宋体"/>
          <w:bCs/>
          <w:color w:val="auto"/>
          <w:sz w:val="24"/>
          <w:highlight w:val="none"/>
        </w:rPr>
        <w:t>附件四：             院校</w:t>
      </w:r>
      <w:r>
        <w:rPr>
          <w:rFonts w:hint="eastAsia" w:ascii="宋体" w:hAnsi="宋体"/>
          <w:bCs/>
          <w:color w:val="auto"/>
          <w:sz w:val="24"/>
          <w:highlight w:val="none"/>
          <w:lang w:val="en-US" w:eastAsia="zh-CN"/>
        </w:rPr>
        <w:t>煤化工技术</w:t>
      </w:r>
      <w:r>
        <w:rPr>
          <w:rFonts w:hint="eastAsia" w:ascii="宋体" w:hAnsi="宋体"/>
          <w:bCs/>
          <w:color w:val="auto"/>
          <w:sz w:val="24"/>
          <w:highlight w:val="none"/>
        </w:rPr>
        <w:t>专业调研内容</w:t>
      </w:r>
    </w:p>
    <w:p>
      <w:pPr>
        <w:numPr>
          <w:ilvl w:val="0"/>
          <w:numId w:val="14"/>
        </w:numPr>
        <w:spacing w:line="360" w:lineRule="auto"/>
        <w:rPr>
          <w:rFonts w:ascii="宋体" w:hAnsi="宋体"/>
          <w:color w:val="auto"/>
          <w:sz w:val="24"/>
          <w:highlight w:val="none"/>
        </w:rPr>
      </w:pPr>
      <w:r>
        <w:rPr>
          <w:rFonts w:hint="eastAsia" w:ascii="宋体" w:hAnsi="宋体"/>
          <w:color w:val="auto"/>
          <w:sz w:val="24"/>
          <w:highlight w:val="none"/>
        </w:rPr>
        <w:t>该专业近三年的招生人数和趋势。</w:t>
      </w:r>
    </w:p>
    <w:p>
      <w:pPr>
        <w:numPr>
          <w:ilvl w:val="0"/>
          <w:numId w:val="14"/>
        </w:numPr>
        <w:spacing w:line="360" w:lineRule="auto"/>
        <w:rPr>
          <w:rFonts w:ascii="宋体" w:hAnsi="宋体"/>
          <w:color w:val="auto"/>
          <w:sz w:val="24"/>
          <w:highlight w:val="none"/>
        </w:rPr>
      </w:pPr>
      <w:r>
        <w:rPr>
          <w:rFonts w:hint="eastAsia" w:ascii="宋体" w:hAnsi="宋体"/>
          <w:color w:val="auto"/>
          <w:sz w:val="24"/>
          <w:highlight w:val="none"/>
        </w:rPr>
        <w:t>该专业毕业生对口就业的就业率和就业单位情况。</w:t>
      </w:r>
    </w:p>
    <w:p>
      <w:pPr>
        <w:numPr>
          <w:ilvl w:val="0"/>
          <w:numId w:val="14"/>
        </w:numPr>
        <w:spacing w:line="360" w:lineRule="auto"/>
        <w:rPr>
          <w:rFonts w:ascii="宋体" w:hAnsi="宋体"/>
          <w:color w:val="auto"/>
          <w:sz w:val="24"/>
          <w:highlight w:val="none"/>
        </w:rPr>
      </w:pPr>
      <w:r>
        <w:rPr>
          <w:rFonts w:hint="eastAsia" w:ascii="宋体" w:hAnsi="宋体"/>
          <w:color w:val="auto"/>
          <w:sz w:val="24"/>
          <w:highlight w:val="none"/>
        </w:rPr>
        <w:t>该专业基础课和专业课开设比例。</w:t>
      </w:r>
    </w:p>
    <w:p>
      <w:pPr>
        <w:numPr>
          <w:ilvl w:val="0"/>
          <w:numId w:val="14"/>
        </w:numPr>
        <w:spacing w:line="360" w:lineRule="auto"/>
        <w:rPr>
          <w:rFonts w:ascii="宋体" w:hAnsi="宋体"/>
          <w:color w:val="auto"/>
          <w:sz w:val="24"/>
          <w:highlight w:val="none"/>
        </w:rPr>
      </w:pPr>
      <w:r>
        <w:rPr>
          <w:rFonts w:hint="eastAsia" w:ascii="宋体" w:hAnsi="宋体"/>
          <w:color w:val="auto"/>
          <w:sz w:val="24"/>
          <w:highlight w:val="none"/>
        </w:rPr>
        <w:t>该专业专业基础课有那些？核心课程有哪些？</w:t>
      </w:r>
    </w:p>
    <w:p>
      <w:pPr>
        <w:numPr>
          <w:ilvl w:val="0"/>
          <w:numId w:val="14"/>
        </w:numPr>
        <w:spacing w:line="360" w:lineRule="auto"/>
        <w:rPr>
          <w:rFonts w:ascii="宋体" w:hAnsi="宋体"/>
          <w:color w:val="auto"/>
          <w:sz w:val="24"/>
          <w:highlight w:val="none"/>
        </w:rPr>
      </w:pPr>
      <w:r>
        <w:rPr>
          <w:rFonts w:hint="eastAsia" w:ascii="宋体" w:hAnsi="宋体"/>
          <w:color w:val="auto"/>
          <w:sz w:val="24"/>
          <w:highlight w:val="none"/>
        </w:rPr>
        <w:t>该专业和相近专业是否有合班上课的现象？合班上课的课程涉及到哪些？</w:t>
      </w:r>
    </w:p>
    <w:p>
      <w:pPr>
        <w:numPr>
          <w:ilvl w:val="0"/>
          <w:numId w:val="14"/>
        </w:numPr>
        <w:spacing w:line="360" w:lineRule="auto"/>
        <w:rPr>
          <w:color w:val="auto"/>
          <w:highlight w:val="none"/>
        </w:rPr>
      </w:pPr>
      <w:r>
        <w:rPr>
          <w:rFonts w:hint="eastAsia" w:ascii="宋体" w:hAnsi="宋体"/>
          <w:color w:val="auto"/>
          <w:sz w:val="24"/>
          <w:highlight w:val="none"/>
        </w:rPr>
        <w:t>该专业配备哪些实训设施、实训室和校内外实训基地？</w:t>
      </w:r>
    </w:p>
    <w:p>
      <w:pPr>
        <w:numPr>
          <w:ilvl w:val="0"/>
          <w:numId w:val="14"/>
        </w:numPr>
        <w:spacing w:line="360" w:lineRule="auto"/>
        <w:rPr>
          <w:color w:val="auto"/>
          <w:highlight w:val="none"/>
        </w:rPr>
      </w:pPr>
      <w:r>
        <w:rPr>
          <w:rFonts w:hint="eastAsia" w:ascii="宋体" w:hAnsi="宋体"/>
          <w:color w:val="auto"/>
          <w:sz w:val="24"/>
          <w:highlight w:val="none"/>
        </w:rPr>
        <w:t>该专业与当地煤化工企业校企合作的深度和广度如何？合作方式有哪些？</w:t>
      </w:r>
    </w:p>
    <w:sectPr>
      <w:headerReference r:id="rId16" w:type="default"/>
      <w:footerReference r:id="rId17" w:type="default"/>
      <w:pgSz w:w="11906" w:h="16838"/>
      <w:pgMar w:top="1440" w:right="1803" w:bottom="1440" w:left="1803"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行楷简体">
    <w:altName w:val="Arial Unicode MS"/>
    <w:panose1 w:val="03000509000000000000"/>
    <w:charset w:val="86"/>
    <w:family w:val="script"/>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幼圆">
    <w:panose1 w:val="0201050906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_GB2312">
    <w:altName w:val="Arial Unicode MS"/>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A0000287" w:usb1="28CF3C52" w:usb2="00000016" w:usb3="00000000" w:csb0="0004001F" w:csb1="00000000"/>
  </w:font>
  <w:font w:name="Verdana">
    <w:panose1 w:val="020B0604030504040204"/>
    <w:charset w:val="00"/>
    <w:family w:val="swiss"/>
    <w:pitch w:val="default"/>
    <w:sig w:usb0="A10006FF" w:usb1="4000205B" w:usb2="00000010" w:usb3="00000000" w:csb0="2000019F" w:csb1="00000000"/>
  </w:font>
  <w:font w:name="SSJ0+ZETBZa-3">
    <w:altName w:val="宋体"/>
    <w:panose1 w:val="00000000000000000000"/>
    <w:charset w:val="86"/>
    <w:family w:val="auto"/>
    <w:pitch w:val="default"/>
    <w:sig w:usb0="00000000" w:usb1="00000000" w:usb2="00000010" w:usb3="00000000" w:csb0="00040000" w:csb1="00000000"/>
  </w:font>
  <w:font w:name="E-HZ+ZETBZb-4">
    <w:altName w:val="宋体"/>
    <w:panose1 w:val="00000000000000000000"/>
    <w:charset w:val="86"/>
    <w:family w:val="auto"/>
    <w:pitch w:val="default"/>
    <w:sig w:usb0="00000000" w:usb1="00000000" w:usb2="00000010" w:usb3="00000000" w:csb0="00040000" w:csb1="00000000"/>
  </w:font>
  <w:font w:name="AdobeHeitiStd-Regular">
    <w:altName w:val="宋体"/>
    <w:panose1 w:val="00000000000000000000"/>
    <w:charset w:val="86"/>
    <w:family w:val="auto"/>
    <w:pitch w:val="default"/>
    <w:sig w:usb0="00000000" w:usb1="00000000" w:usb2="00000000" w:usb3="00000000" w:csb0="00040000" w:csb1="00000000"/>
  </w:font>
  <w:font w:name="SSJ0+ZETBZc-6">
    <w:altName w:val="宋体"/>
    <w:panose1 w:val="00000000000000000000"/>
    <w:charset w:val="86"/>
    <w:family w:val="auto"/>
    <w:pitch w:val="default"/>
    <w:sig w:usb0="00000000" w:usb1="00000000" w:usb2="00000010" w:usb3="00000000" w:csb0="00040000" w:csb1="00000000"/>
  </w:font>
  <w:font w:name="&amp;quot">
    <w:altName w:val="Segoe Print"/>
    <w:panose1 w:val="00000000000000000000"/>
    <w:charset w:val="00"/>
    <w:family w:val="auto"/>
    <w:pitch w:val="default"/>
    <w:sig w:usb0="00000000" w:usb1="00000000" w:usb2="00000000" w:usb3="00000000" w:csb0="00040001" w:csb1="00000000"/>
  </w:font>
  <w:font w:name="Wingdings 2">
    <w:panose1 w:val="05020102010507070707"/>
    <w:charset w:val="02"/>
    <w:family w:val="decorative"/>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76"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51</w:t>
                          </w:r>
                          <w:r>
                            <w:rPr>
                              <w:rFonts w:hint="eastAsia"/>
                            </w:rPr>
                            <w:fldChar w:fldCharType="end"/>
                          </w:r>
                        </w:p>
                      </w:txbxContent>
                    </wps:txbx>
                    <wps:bodyPr wrap="none" lIns="0" tIns="0" rIns="0" bIns="0" upright="1">
                      <a:spAutoFit/>
                    </wps:bodyPr>
                  </wps:wsp>
                </a:graphicData>
              </a:graphic>
            </wp:anchor>
          </w:drawing>
        </mc:Choice>
        <mc:Fallback>
          <w:pict>
            <v:shape id="文本框 11"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LruCQawAQAA&#10;TQMAAA4AAAAAAAAAAQAgAAAAHgEAAGRycy9lMm9Eb2MueG1sUEsFBgAAAAAGAAYAWQEAAEAFAAAA&#10;AA==&#10;">
              <v:fill on="f" focussize="0,0"/>
              <v:stroke on="f"/>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51</w:t>
                    </w:r>
                    <w:r>
                      <w:rPr>
                        <w:rFonts w:hint="eastAsia"/>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8"/>
      </w:rPr>
    </w:pPr>
    <w:r>
      <w:fldChar w:fldCharType="begin"/>
    </w:r>
    <w:r>
      <w:rPr>
        <w:rStyle w:val="18"/>
      </w:rPr>
      <w:instrText xml:space="preserve">PAGE  </w:instrText>
    </w:r>
    <w:r>
      <w:fldChar w:fldCharType="end"/>
    </w:r>
  </w:p>
  <w:p>
    <w:pPr>
      <w:pStyle w:val="9"/>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77"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87</w:t>
                          </w:r>
                          <w:r>
                            <w:rPr>
                              <w:rFonts w:hint="eastAsia"/>
                            </w:rPr>
                            <w:fldChar w:fldCharType="end"/>
                          </w:r>
                        </w:p>
                      </w:txbxContent>
                    </wps:txbx>
                    <wps:bodyPr wrap="none" lIns="0" tIns="0" rIns="0" bIns="0" upright="1">
                      <a:spAutoFit/>
                    </wps:bodyPr>
                  </wps:wsp>
                </a:graphicData>
              </a:graphic>
            </wp:anchor>
          </w:drawing>
        </mc:Choice>
        <mc:Fallback>
          <w:pict>
            <v:shape id="文本框 12"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BAHauGwAQAA&#10;TQMAAA4AAAAAAAAAAQAgAAAAHgEAAGRycy9lMm9Eb2MueG1sUEsFBgAAAAAGAAYAWQEAAEAFAAAA&#10;AA==&#10;">
              <v:fill on="f" focussize="0,0"/>
              <v:stroke on="f"/>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87</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jc w:val="cente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4ImN768BAABM&#10;AwAADgAAAAAAAAABACAAAAAeAQAAZHJzL2Uyb0RvYy54bWxQSwUGAAAAAAYABgBZAQAAPwUAAAAA&#10;">
              <v:fill on="f" focussize="0,0"/>
              <v:stroke on="f"/>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270" w:firstLineChars="15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18</w:t>
                          </w:r>
                          <w:r>
                            <w:rPr>
                              <w:rFonts w:hint="eastAsia"/>
                            </w:rPr>
                            <w:fldChar w:fldCharType="end"/>
                          </w:r>
                        </w:p>
                      </w:txbxContent>
                    </wps:txbx>
                    <wps:bodyPr wrap="none" lIns="0" tIns="0" rIns="0" bIns="0" upright="1">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BT7d7WwAQAA&#10;TAMAAA4AAAAAAAAAAQAgAAAAHgEAAGRycy9lMm9Eb2MueG1sUEsFBgAAAAAGAAYAWQEAAEAFAAAA&#10;AA==&#10;">
              <v:fill on="f" focussize="0,0"/>
              <v:stroke on="f"/>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18</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0"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42</w:t>
                          </w:r>
                          <w:r>
                            <w:rPr>
                              <w:rFonts w:hint="eastAsia"/>
                            </w:rPr>
                            <w:fldChar w:fldCharType="end"/>
                          </w:r>
                        </w:p>
                      </w:txbxContent>
                    </wps:txbx>
                    <wps:bodyPr wrap="none" lIns="0" tIns="0" rIns="0" bIns="0" upright="1">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hKIG9K8BAABM&#10;AwAADgAAAAAAAAABACAAAAAeAQAAZHJzL2Uyb0RvYy54bWxQSwUGAAAAAAYABgBZAQAAPwUAAAAA&#10;">
              <v:fill on="f" focussize="0,0"/>
              <v:stroke on="f"/>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42</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43</w:t>
                          </w:r>
                          <w:r>
                            <w:rPr>
                              <w:rFonts w:hint="eastAsia"/>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HZOF/WwAQAA&#10;TAMAAA4AAAAAAAAAAQAgAAAAHgEAAGRycy9lMm9Eb2MueG1sUEsFBgAAAAAGAAYAWQEAAEAFAAAA&#10;AA==&#10;">
              <v:fill on="f" focussize="0,0"/>
              <v:stroke on="f"/>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43</w:t>
                    </w:r>
                    <w:r>
                      <w:rPr>
                        <w:rFonts w:hint="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44</w:t>
                          </w:r>
                          <w:r>
                            <w:rPr>
                              <w:rFonts w:hint="eastAsia"/>
                            </w:rPr>
                            <w:fldChar w:fldCharType="end"/>
                          </w:r>
                        </w:p>
                      </w:txbxContent>
                    </wps:txbx>
                    <wps:bodyPr wrap="none" lIns="0" tIns="0" rIns="0" bIns="0" upright="1">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ZG9om68BAABM&#10;AwAADgAAAAAAAAABACAAAAAeAQAAZHJzL2Uyb0RvYy54bWxQSwUGAAAAAAYABgBZAQAAPwUAAAAA&#10;">
              <v:fill on="f" focussize="0,0"/>
              <v:stroke on="f"/>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44</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45</w:t>
                          </w:r>
                          <w:r>
                            <w:rPr>
                              <w:rFonts w:hint="eastAsia"/>
                            </w:rPr>
                            <w:fldChar w:fldCharType="end"/>
                          </w:r>
                        </w:p>
                      </w:txbxContent>
                    </wps:txbx>
                    <wps:bodyPr wrap="none" lIns="0" tIns="0" rIns="0" bIns="0" upright="1">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Jq/ri2wAQAA&#10;TAMAAA4AAAAAAAAAAQAgAAAAHgEAAGRycy9lMm9Eb2MueG1sUEsFBgAAAAAGAAYAWQEAAEAFAAAA&#10;AA==&#10;">
              <v:fill on="f" focussize="0,0"/>
              <v:stroke on="f"/>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45</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4"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46</w:t>
                          </w:r>
                          <w:r>
                            <w:rPr>
                              <w:rFonts w:hint="eastAsia"/>
                            </w:rPr>
                            <w:fldChar w:fldCharType="end"/>
                          </w:r>
                        </w:p>
                      </w:txbxContent>
                    </wps:txbx>
                    <wps:bodyPr wrap="none" lIns="0" tIns="0" rIns="0" bIns="0" upright="1">
                      <a:spAutoFit/>
                    </wps:bodyPr>
                  </wps:wsp>
                </a:graphicData>
              </a:graphic>
            </wp:anchor>
          </w:drawing>
        </mc:Choice>
        <mc:Fallback>
          <w:pict>
            <v:shape id="文本框 9"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EwRQfCwAQAA&#10;TAMAAA4AAAAAAAAAAQAgAAAAHgEAAGRycy9lMm9Eb2MueG1sUEsFBgAAAAAGAAYAWQEAAEAFAAAA&#10;AA==&#10;">
              <v:fill on="f" focussize="0,0"/>
              <v:stroke on="f"/>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46</w:t>
                    </w:r>
                    <w:r>
                      <w:rPr>
                        <w:rFonts w:hint="eastAsia"/>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47</w:t>
                          </w:r>
                          <w:r>
                            <w:rPr>
                              <w:rFonts w:hint="eastAsia"/>
                            </w:rPr>
                            <w:fldChar w:fldCharType="end"/>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AHGkZmwAQAA&#10;TQMAAA4AAAAAAAAAAQAgAAAAHgEAAGRycy9lMm9Eb2MueG1sUEsFBgAAAAAGAAYAWQEAAEAFAAAA&#10;AA==&#10;">
              <v:fill on="f" focussize="0,0"/>
              <v:stroke on="f"/>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47</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2FDC81"/>
    <w:multiLevelType w:val="singleLevel"/>
    <w:tmpl w:val="892FDC81"/>
    <w:lvl w:ilvl="0" w:tentative="0">
      <w:start w:val="1"/>
      <w:numFmt w:val="decimal"/>
      <w:lvlText w:val="%1."/>
      <w:lvlJc w:val="left"/>
      <w:pPr>
        <w:tabs>
          <w:tab w:val="left" w:pos="312"/>
        </w:tabs>
      </w:pPr>
    </w:lvl>
  </w:abstractNum>
  <w:abstractNum w:abstractNumId="1">
    <w:nsid w:val="AB6D6F46"/>
    <w:multiLevelType w:val="singleLevel"/>
    <w:tmpl w:val="AB6D6F46"/>
    <w:lvl w:ilvl="0" w:tentative="0">
      <w:start w:val="1"/>
      <w:numFmt w:val="decimal"/>
      <w:lvlText w:val="%1."/>
      <w:lvlJc w:val="left"/>
      <w:pPr>
        <w:tabs>
          <w:tab w:val="left" w:pos="312"/>
        </w:tabs>
      </w:pPr>
    </w:lvl>
  </w:abstractNum>
  <w:abstractNum w:abstractNumId="2">
    <w:nsid w:val="AD4BFC30"/>
    <w:multiLevelType w:val="singleLevel"/>
    <w:tmpl w:val="AD4BFC30"/>
    <w:lvl w:ilvl="0" w:tentative="0">
      <w:start w:val="2"/>
      <w:numFmt w:val="chineseCounting"/>
      <w:suff w:val="nothing"/>
      <w:lvlText w:val="（%1）"/>
      <w:lvlJc w:val="left"/>
      <w:rPr>
        <w:rFonts w:hint="eastAsia"/>
      </w:rPr>
    </w:lvl>
  </w:abstractNum>
  <w:abstractNum w:abstractNumId="3">
    <w:nsid w:val="BA874DAB"/>
    <w:multiLevelType w:val="singleLevel"/>
    <w:tmpl w:val="BA874DAB"/>
    <w:lvl w:ilvl="0" w:tentative="0">
      <w:start w:val="1"/>
      <w:numFmt w:val="decimal"/>
      <w:lvlText w:val="%1."/>
      <w:lvlJc w:val="left"/>
      <w:pPr>
        <w:tabs>
          <w:tab w:val="left" w:pos="312"/>
        </w:tabs>
      </w:pPr>
    </w:lvl>
  </w:abstractNum>
  <w:abstractNum w:abstractNumId="4">
    <w:nsid w:val="D4601FA9"/>
    <w:multiLevelType w:val="singleLevel"/>
    <w:tmpl w:val="D4601FA9"/>
    <w:lvl w:ilvl="0" w:tentative="0">
      <w:start w:val="1"/>
      <w:numFmt w:val="decimal"/>
      <w:lvlText w:val="%1."/>
      <w:lvlJc w:val="left"/>
      <w:pPr>
        <w:tabs>
          <w:tab w:val="left" w:pos="312"/>
        </w:tabs>
      </w:pPr>
    </w:lvl>
  </w:abstractNum>
  <w:abstractNum w:abstractNumId="5">
    <w:nsid w:val="F2ACA052"/>
    <w:multiLevelType w:val="singleLevel"/>
    <w:tmpl w:val="F2ACA052"/>
    <w:lvl w:ilvl="0" w:tentative="0">
      <w:start w:val="1"/>
      <w:numFmt w:val="decimal"/>
      <w:lvlText w:val="%1."/>
      <w:lvlJc w:val="left"/>
      <w:pPr>
        <w:tabs>
          <w:tab w:val="left" w:pos="312"/>
        </w:tabs>
      </w:pPr>
    </w:lvl>
  </w:abstractNum>
  <w:abstractNum w:abstractNumId="6">
    <w:nsid w:val="09D4CC10"/>
    <w:multiLevelType w:val="singleLevel"/>
    <w:tmpl w:val="09D4CC10"/>
    <w:lvl w:ilvl="0" w:tentative="0">
      <w:start w:val="1"/>
      <w:numFmt w:val="decimal"/>
      <w:lvlText w:val="%1."/>
      <w:lvlJc w:val="left"/>
      <w:pPr>
        <w:tabs>
          <w:tab w:val="left" w:pos="312"/>
        </w:tabs>
      </w:pPr>
    </w:lvl>
  </w:abstractNum>
  <w:abstractNum w:abstractNumId="7">
    <w:nsid w:val="158E71DF"/>
    <w:multiLevelType w:val="singleLevel"/>
    <w:tmpl w:val="158E71DF"/>
    <w:lvl w:ilvl="0" w:tentative="0">
      <w:start w:val="1"/>
      <w:numFmt w:val="decimal"/>
      <w:lvlText w:val="%1."/>
      <w:lvlJc w:val="left"/>
      <w:pPr>
        <w:tabs>
          <w:tab w:val="left" w:pos="312"/>
        </w:tabs>
      </w:pPr>
    </w:lvl>
  </w:abstractNum>
  <w:abstractNum w:abstractNumId="8">
    <w:nsid w:val="26187B36"/>
    <w:multiLevelType w:val="singleLevel"/>
    <w:tmpl w:val="26187B36"/>
    <w:lvl w:ilvl="0" w:tentative="0">
      <w:start w:val="14"/>
      <w:numFmt w:val="decimal"/>
      <w:lvlText w:val="%1."/>
      <w:lvlJc w:val="left"/>
      <w:pPr>
        <w:tabs>
          <w:tab w:val="left" w:pos="312"/>
        </w:tabs>
      </w:pPr>
    </w:lvl>
  </w:abstractNum>
  <w:abstractNum w:abstractNumId="9">
    <w:nsid w:val="2C1D1274"/>
    <w:multiLevelType w:val="singleLevel"/>
    <w:tmpl w:val="2C1D1274"/>
    <w:lvl w:ilvl="0" w:tentative="0">
      <w:start w:val="2"/>
      <w:numFmt w:val="decimal"/>
      <w:lvlText w:val="%1."/>
      <w:lvlJc w:val="left"/>
      <w:pPr>
        <w:tabs>
          <w:tab w:val="left" w:pos="312"/>
        </w:tabs>
      </w:pPr>
    </w:lvl>
  </w:abstractNum>
  <w:abstractNum w:abstractNumId="10">
    <w:nsid w:val="3869A030"/>
    <w:multiLevelType w:val="singleLevel"/>
    <w:tmpl w:val="3869A030"/>
    <w:lvl w:ilvl="0" w:tentative="0">
      <w:start w:val="5"/>
      <w:numFmt w:val="chineseCounting"/>
      <w:suff w:val="nothing"/>
      <w:lvlText w:val="%1、"/>
      <w:lvlJc w:val="left"/>
      <w:rPr>
        <w:rFonts w:hint="eastAsia"/>
      </w:rPr>
    </w:lvl>
  </w:abstractNum>
  <w:abstractNum w:abstractNumId="11">
    <w:nsid w:val="3DD67F68"/>
    <w:multiLevelType w:val="singleLevel"/>
    <w:tmpl w:val="3DD67F68"/>
    <w:lvl w:ilvl="0" w:tentative="0">
      <w:start w:val="1"/>
      <w:numFmt w:val="decimal"/>
      <w:lvlText w:val="%1."/>
      <w:lvlJc w:val="left"/>
      <w:pPr>
        <w:tabs>
          <w:tab w:val="left" w:pos="312"/>
        </w:tabs>
      </w:pPr>
    </w:lvl>
  </w:abstractNum>
  <w:abstractNum w:abstractNumId="12">
    <w:nsid w:val="5ADE2D87"/>
    <w:multiLevelType w:val="singleLevel"/>
    <w:tmpl w:val="5ADE2D87"/>
    <w:lvl w:ilvl="0" w:tentative="0">
      <w:start w:val="1"/>
      <w:numFmt w:val="decimal"/>
      <w:lvlText w:val="%1."/>
      <w:lvlJc w:val="left"/>
      <w:pPr>
        <w:tabs>
          <w:tab w:val="left" w:pos="312"/>
        </w:tabs>
      </w:pPr>
    </w:lvl>
  </w:abstractNum>
  <w:abstractNum w:abstractNumId="13">
    <w:nsid w:val="6BCFD7AA"/>
    <w:multiLevelType w:val="singleLevel"/>
    <w:tmpl w:val="6BCFD7AA"/>
    <w:lvl w:ilvl="0" w:tentative="0">
      <w:start w:val="1"/>
      <w:numFmt w:val="decimal"/>
      <w:lvlText w:val="%1."/>
      <w:lvlJc w:val="left"/>
      <w:pPr>
        <w:tabs>
          <w:tab w:val="left" w:pos="312"/>
        </w:tabs>
      </w:pPr>
    </w:lvl>
  </w:abstractNum>
  <w:num w:numId="1">
    <w:abstractNumId w:val="10"/>
  </w:num>
  <w:num w:numId="2">
    <w:abstractNumId w:val="9"/>
  </w:num>
  <w:num w:numId="3">
    <w:abstractNumId w:val="2"/>
  </w:num>
  <w:num w:numId="4">
    <w:abstractNumId w:val="11"/>
  </w:num>
  <w:num w:numId="5">
    <w:abstractNumId w:val="5"/>
  </w:num>
  <w:num w:numId="6">
    <w:abstractNumId w:val="0"/>
  </w:num>
  <w:num w:numId="7">
    <w:abstractNumId w:val="3"/>
  </w:num>
  <w:num w:numId="8">
    <w:abstractNumId w:val="6"/>
  </w:num>
  <w:num w:numId="9">
    <w:abstractNumId w:val="1"/>
  </w:num>
  <w:num w:numId="10">
    <w:abstractNumId w:val="13"/>
  </w:num>
  <w:num w:numId="11">
    <w:abstractNumId w:val="8"/>
  </w:num>
  <w:num w:numId="12">
    <w:abstractNumId w:val="4"/>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hideSpellingErrors/>
  <w:documentProtection w:enforcement="0"/>
  <w:defaultTabStop w:val="420"/>
  <w:drawingGridVerticalSpacing w:val="159"/>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F8B"/>
    <w:rsid w:val="0001726A"/>
    <w:rsid w:val="000E796A"/>
    <w:rsid w:val="00172199"/>
    <w:rsid w:val="002A3064"/>
    <w:rsid w:val="002B05A9"/>
    <w:rsid w:val="00376453"/>
    <w:rsid w:val="003C5519"/>
    <w:rsid w:val="00411B06"/>
    <w:rsid w:val="004D7184"/>
    <w:rsid w:val="00650A72"/>
    <w:rsid w:val="0085538E"/>
    <w:rsid w:val="008C7FF1"/>
    <w:rsid w:val="008F4C1B"/>
    <w:rsid w:val="00992EB4"/>
    <w:rsid w:val="009E0BDC"/>
    <w:rsid w:val="00A00305"/>
    <w:rsid w:val="00B22F91"/>
    <w:rsid w:val="00D13F8B"/>
    <w:rsid w:val="00EC237C"/>
    <w:rsid w:val="021E02FD"/>
    <w:rsid w:val="0257666B"/>
    <w:rsid w:val="02D85557"/>
    <w:rsid w:val="02E23FEE"/>
    <w:rsid w:val="03092C38"/>
    <w:rsid w:val="04931CBF"/>
    <w:rsid w:val="056913D4"/>
    <w:rsid w:val="060B7FE7"/>
    <w:rsid w:val="0725098F"/>
    <w:rsid w:val="076B3B8A"/>
    <w:rsid w:val="0880415F"/>
    <w:rsid w:val="08EA20C5"/>
    <w:rsid w:val="0A9C682D"/>
    <w:rsid w:val="0B970F3A"/>
    <w:rsid w:val="0B987F68"/>
    <w:rsid w:val="0C106A03"/>
    <w:rsid w:val="0C676314"/>
    <w:rsid w:val="0C8039C8"/>
    <w:rsid w:val="0C8766DA"/>
    <w:rsid w:val="0C94401D"/>
    <w:rsid w:val="0D913940"/>
    <w:rsid w:val="0DE921BD"/>
    <w:rsid w:val="0E2C62DA"/>
    <w:rsid w:val="0F7D48BF"/>
    <w:rsid w:val="10991FB3"/>
    <w:rsid w:val="11D131DC"/>
    <w:rsid w:val="11D36973"/>
    <w:rsid w:val="128145FB"/>
    <w:rsid w:val="12A400AC"/>
    <w:rsid w:val="13980933"/>
    <w:rsid w:val="13C41BDE"/>
    <w:rsid w:val="13CF5C0E"/>
    <w:rsid w:val="14562A4C"/>
    <w:rsid w:val="148B0609"/>
    <w:rsid w:val="15CB0CAA"/>
    <w:rsid w:val="15E62277"/>
    <w:rsid w:val="16F82578"/>
    <w:rsid w:val="17F67606"/>
    <w:rsid w:val="18430979"/>
    <w:rsid w:val="187E3F78"/>
    <w:rsid w:val="19057188"/>
    <w:rsid w:val="192509D5"/>
    <w:rsid w:val="19BD6DBF"/>
    <w:rsid w:val="1A3F328F"/>
    <w:rsid w:val="1BC63E4D"/>
    <w:rsid w:val="1C4E68B4"/>
    <w:rsid w:val="1C9D1017"/>
    <w:rsid w:val="1CE817B3"/>
    <w:rsid w:val="1D3C347D"/>
    <w:rsid w:val="1DA55A72"/>
    <w:rsid w:val="1DCF3F8F"/>
    <w:rsid w:val="1DD118F4"/>
    <w:rsid w:val="1DED28FD"/>
    <w:rsid w:val="1EA40C3A"/>
    <w:rsid w:val="1EDF37CA"/>
    <w:rsid w:val="1FD043D1"/>
    <w:rsid w:val="20CC4A87"/>
    <w:rsid w:val="20DA4824"/>
    <w:rsid w:val="21217FC5"/>
    <w:rsid w:val="22265621"/>
    <w:rsid w:val="223F2DE7"/>
    <w:rsid w:val="225B495A"/>
    <w:rsid w:val="22E6362C"/>
    <w:rsid w:val="233900DE"/>
    <w:rsid w:val="245102B4"/>
    <w:rsid w:val="25636DDA"/>
    <w:rsid w:val="25B741CC"/>
    <w:rsid w:val="25F35F7C"/>
    <w:rsid w:val="268950B8"/>
    <w:rsid w:val="26D82E96"/>
    <w:rsid w:val="2750014F"/>
    <w:rsid w:val="27C32B46"/>
    <w:rsid w:val="28014276"/>
    <w:rsid w:val="28720ECE"/>
    <w:rsid w:val="28821B73"/>
    <w:rsid w:val="28AE74FC"/>
    <w:rsid w:val="28C64C47"/>
    <w:rsid w:val="296656F2"/>
    <w:rsid w:val="2BA8209D"/>
    <w:rsid w:val="2C3F3591"/>
    <w:rsid w:val="2C4C27B7"/>
    <w:rsid w:val="2C5F717C"/>
    <w:rsid w:val="2C681058"/>
    <w:rsid w:val="2C6F7D60"/>
    <w:rsid w:val="2C923C98"/>
    <w:rsid w:val="2CB620B1"/>
    <w:rsid w:val="2D2B5D8C"/>
    <w:rsid w:val="2D8D6DBD"/>
    <w:rsid w:val="2D8F7CAC"/>
    <w:rsid w:val="2DA56402"/>
    <w:rsid w:val="2E1560FA"/>
    <w:rsid w:val="2E1B5F17"/>
    <w:rsid w:val="2EED078C"/>
    <w:rsid w:val="2EFF7C75"/>
    <w:rsid w:val="2F053E0F"/>
    <w:rsid w:val="2FC87801"/>
    <w:rsid w:val="311333E1"/>
    <w:rsid w:val="3119071D"/>
    <w:rsid w:val="315A57C8"/>
    <w:rsid w:val="318F48CD"/>
    <w:rsid w:val="31F52F63"/>
    <w:rsid w:val="320724F1"/>
    <w:rsid w:val="320D5FBB"/>
    <w:rsid w:val="32541D10"/>
    <w:rsid w:val="32876991"/>
    <w:rsid w:val="328B2201"/>
    <w:rsid w:val="339401A5"/>
    <w:rsid w:val="340B65B0"/>
    <w:rsid w:val="34720350"/>
    <w:rsid w:val="34DC30F2"/>
    <w:rsid w:val="364B3905"/>
    <w:rsid w:val="36BD3463"/>
    <w:rsid w:val="36E921BE"/>
    <w:rsid w:val="37573A18"/>
    <w:rsid w:val="37A3087F"/>
    <w:rsid w:val="37F249FB"/>
    <w:rsid w:val="38BA4385"/>
    <w:rsid w:val="39B621E6"/>
    <w:rsid w:val="3AD31666"/>
    <w:rsid w:val="3BA53776"/>
    <w:rsid w:val="3F8F2863"/>
    <w:rsid w:val="403F4EA5"/>
    <w:rsid w:val="404F0905"/>
    <w:rsid w:val="40B1152B"/>
    <w:rsid w:val="41357F98"/>
    <w:rsid w:val="41BC66F8"/>
    <w:rsid w:val="4202105F"/>
    <w:rsid w:val="42187EF6"/>
    <w:rsid w:val="42834182"/>
    <w:rsid w:val="43491D36"/>
    <w:rsid w:val="43CB5286"/>
    <w:rsid w:val="43E96528"/>
    <w:rsid w:val="43F9742B"/>
    <w:rsid w:val="44214E08"/>
    <w:rsid w:val="44516B11"/>
    <w:rsid w:val="45B86413"/>
    <w:rsid w:val="46617473"/>
    <w:rsid w:val="46942E27"/>
    <w:rsid w:val="470F1B8F"/>
    <w:rsid w:val="483E2E32"/>
    <w:rsid w:val="48645851"/>
    <w:rsid w:val="492F5801"/>
    <w:rsid w:val="4A3956E1"/>
    <w:rsid w:val="4AB66A61"/>
    <w:rsid w:val="4B1D7422"/>
    <w:rsid w:val="4B2E7757"/>
    <w:rsid w:val="4B5274D6"/>
    <w:rsid w:val="4BBA1A99"/>
    <w:rsid w:val="4BDF21A1"/>
    <w:rsid w:val="4C550A35"/>
    <w:rsid w:val="4C5513A3"/>
    <w:rsid w:val="4CFF6A6A"/>
    <w:rsid w:val="4E361A2D"/>
    <w:rsid w:val="4F0C7C9E"/>
    <w:rsid w:val="4FEC1B35"/>
    <w:rsid w:val="4FFF2DB4"/>
    <w:rsid w:val="50794C60"/>
    <w:rsid w:val="50AA2C75"/>
    <w:rsid w:val="50B177E5"/>
    <w:rsid w:val="50C40873"/>
    <w:rsid w:val="526F3CEF"/>
    <w:rsid w:val="533573C4"/>
    <w:rsid w:val="53F614BB"/>
    <w:rsid w:val="54221A7A"/>
    <w:rsid w:val="5544125E"/>
    <w:rsid w:val="558B42D9"/>
    <w:rsid w:val="55946E43"/>
    <w:rsid w:val="56240787"/>
    <w:rsid w:val="58AA4CD4"/>
    <w:rsid w:val="58B0061A"/>
    <w:rsid w:val="58C36CEC"/>
    <w:rsid w:val="5A29189F"/>
    <w:rsid w:val="5A5438B1"/>
    <w:rsid w:val="5A822CDA"/>
    <w:rsid w:val="5B2873BF"/>
    <w:rsid w:val="5B5C44EA"/>
    <w:rsid w:val="5B7E0910"/>
    <w:rsid w:val="5BB50F59"/>
    <w:rsid w:val="5BFB3F45"/>
    <w:rsid w:val="5CEA388E"/>
    <w:rsid w:val="5D877CB8"/>
    <w:rsid w:val="5D9374E2"/>
    <w:rsid w:val="5DB27D82"/>
    <w:rsid w:val="5DC00FEE"/>
    <w:rsid w:val="5F10686C"/>
    <w:rsid w:val="5F50064B"/>
    <w:rsid w:val="5FFE715B"/>
    <w:rsid w:val="60D75406"/>
    <w:rsid w:val="616F5872"/>
    <w:rsid w:val="625B422B"/>
    <w:rsid w:val="62BC1E5B"/>
    <w:rsid w:val="64B528DB"/>
    <w:rsid w:val="654C4957"/>
    <w:rsid w:val="6561111E"/>
    <w:rsid w:val="65AA31AA"/>
    <w:rsid w:val="65CE2741"/>
    <w:rsid w:val="66322F8C"/>
    <w:rsid w:val="66327B7B"/>
    <w:rsid w:val="667B3A82"/>
    <w:rsid w:val="66A617D8"/>
    <w:rsid w:val="67924508"/>
    <w:rsid w:val="69BB485A"/>
    <w:rsid w:val="6AE01506"/>
    <w:rsid w:val="6B1C494E"/>
    <w:rsid w:val="6B396337"/>
    <w:rsid w:val="6BBA0D93"/>
    <w:rsid w:val="6D5D5A46"/>
    <w:rsid w:val="6DDB4C80"/>
    <w:rsid w:val="6E4444FC"/>
    <w:rsid w:val="6F1A78D1"/>
    <w:rsid w:val="6F2E2EB9"/>
    <w:rsid w:val="6FA2762F"/>
    <w:rsid w:val="703B4225"/>
    <w:rsid w:val="70500771"/>
    <w:rsid w:val="70D34C6E"/>
    <w:rsid w:val="70FD11BA"/>
    <w:rsid w:val="710D4240"/>
    <w:rsid w:val="71875855"/>
    <w:rsid w:val="72BD342A"/>
    <w:rsid w:val="72D359B0"/>
    <w:rsid w:val="74024698"/>
    <w:rsid w:val="7422106B"/>
    <w:rsid w:val="743E33D3"/>
    <w:rsid w:val="744E748D"/>
    <w:rsid w:val="74720B2A"/>
    <w:rsid w:val="74A45F4C"/>
    <w:rsid w:val="760445D5"/>
    <w:rsid w:val="76AE2A00"/>
    <w:rsid w:val="7771529E"/>
    <w:rsid w:val="786362E5"/>
    <w:rsid w:val="79284ED0"/>
    <w:rsid w:val="79F01AE9"/>
    <w:rsid w:val="7A4C188B"/>
    <w:rsid w:val="7B612510"/>
    <w:rsid w:val="7D815114"/>
    <w:rsid w:val="7DF31BCA"/>
    <w:rsid w:val="7E3827EF"/>
    <w:rsid w:val="7E3D72D0"/>
    <w:rsid w:val="7EAD12BF"/>
    <w:rsid w:val="7EE903F8"/>
    <w:rsid w:val="7FB35A77"/>
    <w:rsid w:val="7FFD3C4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adjustRightInd w:val="0"/>
      <w:spacing w:before="260" w:after="260" w:line="416" w:lineRule="atLeast"/>
      <w:jc w:val="left"/>
      <w:outlineLvl w:val="1"/>
    </w:pPr>
    <w:rPr>
      <w:rFonts w:ascii="Arial" w:hAnsi="Arial" w:eastAsia="黑体"/>
      <w:b/>
      <w:sz w:val="32"/>
    </w:rPr>
  </w:style>
  <w:style w:type="paragraph" w:styleId="4">
    <w:name w:val="heading 3"/>
    <w:basedOn w:val="1"/>
    <w:next w:val="1"/>
    <w:link w:val="22"/>
    <w:qFormat/>
    <w:uiPriority w:val="0"/>
    <w:pPr>
      <w:keepNext/>
      <w:keepLines/>
      <w:spacing w:before="260" w:after="260" w:line="415" w:lineRule="auto"/>
      <w:outlineLvl w:val="2"/>
    </w:pPr>
    <w:rPr>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0"/>
    <w:pPr>
      <w:spacing w:after="120"/>
    </w:pPr>
  </w:style>
  <w:style w:type="paragraph" w:styleId="6">
    <w:name w:val="toc 3"/>
    <w:basedOn w:val="1"/>
    <w:next w:val="1"/>
    <w:qFormat/>
    <w:uiPriority w:val="0"/>
    <w:pPr>
      <w:ind w:left="840" w:leftChars="400"/>
    </w:pPr>
  </w:style>
  <w:style w:type="paragraph" w:styleId="7">
    <w:name w:val="Plain Text"/>
    <w:basedOn w:val="1"/>
    <w:qFormat/>
    <w:uiPriority w:val="0"/>
    <w:rPr>
      <w:rFonts w:ascii="宋体" w:hAnsi="Courier New" w:cs="Courier New"/>
      <w:szCs w:val="21"/>
    </w:rPr>
  </w:style>
  <w:style w:type="paragraph" w:styleId="8">
    <w:name w:val="Body Text Indent 2"/>
    <w:basedOn w:val="1"/>
    <w:qFormat/>
    <w:uiPriority w:val="0"/>
    <w:pPr>
      <w:spacing w:after="120" w:line="480" w:lineRule="auto"/>
      <w:ind w:left="420" w:leftChars="200"/>
    </w:pPr>
  </w:style>
  <w:style w:type="paragraph" w:styleId="9">
    <w:name w:val="footer"/>
    <w:basedOn w:val="1"/>
    <w:link w:val="26"/>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qFormat/>
    <w:uiPriority w:val="0"/>
    <w:pPr>
      <w:spacing w:beforeAutospacing="1" w:afterAutospacing="1"/>
      <w:jc w:val="left"/>
    </w:pPr>
    <w:rPr>
      <w:rFonts w:cs="Times New Roman"/>
      <w:kern w:val="0"/>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page number"/>
    <w:basedOn w:val="16"/>
    <w:qFormat/>
    <w:uiPriority w:val="0"/>
  </w:style>
  <w:style w:type="character" w:styleId="19">
    <w:name w:val="Emphasis"/>
    <w:qFormat/>
    <w:uiPriority w:val="0"/>
    <w:rPr>
      <w:color w:val="CC0000"/>
    </w:rPr>
  </w:style>
  <w:style w:type="character" w:styleId="20">
    <w:name w:val="Hyperlink"/>
    <w:qFormat/>
    <w:uiPriority w:val="99"/>
    <w:rPr>
      <w:color w:val="333333"/>
      <w:u w:val="none"/>
    </w:rPr>
  </w:style>
  <w:style w:type="paragraph" w:customStyle="1" w:styleId="21">
    <w:name w:val="样式2正文1"/>
    <w:basedOn w:val="1"/>
    <w:qFormat/>
    <w:uiPriority w:val="0"/>
    <w:pPr>
      <w:tabs>
        <w:tab w:val="left" w:pos="1620"/>
      </w:tabs>
      <w:spacing w:line="440" w:lineRule="exact"/>
      <w:ind w:firstLine="200" w:firstLineChars="200"/>
    </w:pPr>
    <w:rPr>
      <w:rFonts w:hAnsi="宋体"/>
      <w:bCs/>
      <w:sz w:val="24"/>
    </w:rPr>
  </w:style>
  <w:style w:type="character" w:customStyle="1" w:styleId="22">
    <w:name w:val="标题 3 字符"/>
    <w:link w:val="4"/>
    <w:qFormat/>
    <w:uiPriority w:val="0"/>
    <w:rPr>
      <w:b/>
      <w:bCs/>
      <w:sz w:val="32"/>
      <w:szCs w:val="32"/>
    </w:rPr>
  </w:style>
  <w:style w:type="paragraph" w:customStyle="1" w:styleId="23">
    <w:name w:val="1正文"/>
    <w:basedOn w:val="1"/>
    <w:qFormat/>
    <w:uiPriority w:val="0"/>
    <w:pPr>
      <w:spacing w:line="360" w:lineRule="auto"/>
      <w:ind w:firstLine="480" w:firstLineChars="200"/>
    </w:pPr>
    <w:rPr>
      <w:rFonts w:cs="宋体"/>
      <w:szCs w:val="20"/>
    </w:rPr>
  </w:style>
  <w:style w:type="paragraph" w:customStyle="1" w:styleId="24">
    <w:name w:val="样式2"/>
    <w:basedOn w:val="3"/>
    <w:qFormat/>
    <w:uiPriority w:val="0"/>
    <w:pPr>
      <w:ind w:firstLine="480" w:firstLineChars="150"/>
    </w:pPr>
    <w:rPr>
      <w:rFonts w:ascii="Times New Roman" w:hAnsi="Times New Roman"/>
      <w:b w:val="0"/>
      <w:szCs w:val="32"/>
    </w:rPr>
  </w:style>
  <w:style w:type="paragraph" w:customStyle="1" w:styleId="25">
    <w:name w:val="列出段落1"/>
    <w:basedOn w:val="1"/>
    <w:qFormat/>
    <w:uiPriority w:val="0"/>
    <w:pPr>
      <w:ind w:firstLine="420" w:firstLineChars="200"/>
    </w:pPr>
    <w:rPr>
      <w:rFonts w:ascii="Calibri" w:hAnsi="Calibri"/>
      <w:szCs w:val="22"/>
    </w:rPr>
  </w:style>
  <w:style w:type="character" w:customStyle="1" w:styleId="26">
    <w:name w:val="页脚 字符"/>
    <w:basedOn w:val="16"/>
    <w:link w:val="9"/>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12.xml"/><Relationship Id="rId16" Type="http://schemas.openxmlformats.org/officeDocument/2006/relationships/header" Target="header3.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90</Pages>
  <Words>9418</Words>
  <Characters>53687</Characters>
  <Lines>447</Lines>
  <Paragraphs>125</Paragraphs>
  <TotalTime>100</TotalTime>
  <ScaleCrop>false</ScaleCrop>
  <LinksUpToDate>false</LinksUpToDate>
  <CharactersWithSpaces>62980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丫宝妈</cp:lastModifiedBy>
  <cp:lastPrinted>2019-11-15T02:05:00Z</cp:lastPrinted>
  <dcterms:modified xsi:type="dcterms:W3CDTF">2019-12-04T01:34:22Z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